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288" w:lineRule="auto"/>
        <w:ind w:firstLine="0"/>
        <w:jc w:val="center"/>
        <w:rPr>
          <w:rFonts w:hint="eastAsia" w:asciiTheme="minorEastAsia" w:hAnsiTheme="minorEastAsia" w:eastAsiaTheme="minorEastAsia"/>
          <w:b/>
          <w:sz w:val="44"/>
          <w:szCs w:val="44"/>
          <w:highlight w:val="none"/>
        </w:rPr>
      </w:pPr>
      <w:bookmarkStart w:id="32" w:name="_GoBack"/>
      <w:bookmarkEnd w:id="32"/>
      <w:r>
        <w:rPr>
          <w:highlight w:val="none"/>
        </w:rPr>
        <w:drawing>
          <wp:anchor distT="0" distB="0" distL="114300" distR="114300" simplePos="0" relativeHeight="251658240" behindDoc="0" locked="0" layoutInCell="1" allowOverlap="1">
            <wp:simplePos x="0" y="0"/>
            <wp:positionH relativeFrom="column">
              <wp:posOffset>-814070</wp:posOffset>
            </wp:positionH>
            <wp:positionV relativeFrom="paragraph">
              <wp:posOffset>254635</wp:posOffset>
            </wp:positionV>
            <wp:extent cx="2752725" cy="566420"/>
            <wp:effectExtent l="0" t="0" r="9525" b="5080"/>
            <wp:wrapSquare wrapText="bothSides"/>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2752725" cy="566420"/>
                    </a:xfrm>
                    <a:prstGeom prst="rect">
                      <a:avLst/>
                    </a:prstGeom>
                    <a:noFill/>
                  </pic:spPr>
                </pic:pic>
              </a:graphicData>
            </a:graphic>
          </wp:anchor>
        </w:drawing>
      </w:r>
      <w:r>
        <w:rPr>
          <w:highlight w:val="none"/>
        </w:rPr>
        <w:drawing>
          <wp:anchor distT="0" distB="0" distL="114300" distR="114300" simplePos="0" relativeHeight="251657216" behindDoc="1" locked="0" layoutInCell="1" allowOverlap="1">
            <wp:simplePos x="0" y="0"/>
            <wp:positionH relativeFrom="column">
              <wp:posOffset>-3936365</wp:posOffset>
            </wp:positionH>
            <wp:positionV relativeFrom="paragraph">
              <wp:posOffset>-913130</wp:posOffset>
            </wp:positionV>
            <wp:extent cx="8285480" cy="2368550"/>
            <wp:effectExtent l="0" t="0" r="1270" b="12700"/>
            <wp:wrapNone/>
            <wp:docPr id="24" name="图片 24" descr="未标题-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未标题-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8285480" cy="2368550"/>
                    </a:xfrm>
                    <a:prstGeom prst="rect">
                      <a:avLst/>
                    </a:prstGeom>
                    <a:noFill/>
                  </pic:spPr>
                </pic:pic>
              </a:graphicData>
            </a:graphic>
          </wp:anchor>
        </w:drawing>
      </w:r>
    </w:p>
    <w:p>
      <w:pPr>
        <w:snapToGrid w:val="0"/>
        <w:spacing w:line="288" w:lineRule="auto"/>
        <w:ind w:firstLine="0"/>
        <w:jc w:val="center"/>
        <w:rPr>
          <w:rFonts w:hint="eastAsia" w:asciiTheme="minorEastAsia" w:hAnsiTheme="minorEastAsia" w:eastAsiaTheme="minorEastAsia"/>
          <w:b/>
          <w:sz w:val="44"/>
          <w:szCs w:val="44"/>
          <w:highlight w:val="none"/>
        </w:rPr>
      </w:pPr>
    </w:p>
    <w:p>
      <w:pPr>
        <w:snapToGrid w:val="0"/>
        <w:spacing w:line="288" w:lineRule="auto"/>
        <w:ind w:firstLine="0"/>
        <w:jc w:val="center"/>
        <w:rPr>
          <w:rFonts w:hint="eastAsia" w:asciiTheme="minorEastAsia" w:hAnsiTheme="minorEastAsia" w:eastAsiaTheme="minorEastAsia"/>
          <w:b/>
          <w:sz w:val="44"/>
          <w:szCs w:val="44"/>
          <w:highlight w:val="none"/>
        </w:rPr>
      </w:pPr>
    </w:p>
    <w:p>
      <w:pPr>
        <w:snapToGrid w:val="0"/>
        <w:spacing w:line="288" w:lineRule="auto"/>
        <w:ind w:firstLine="0"/>
        <w:jc w:val="center"/>
        <w:rPr>
          <w:rFonts w:hint="eastAsia" w:asciiTheme="minorEastAsia" w:hAnsiTheme="minorEastAsia" w:eastAsiaTheme="minorEastAsia"/>
          <w:b/>
          <w:sz w:val="44"/>
          <w:szCs w:val="44"/>
          <w:highlight w:val="none"/>
        </w:rPr>
      </w:pPr>
    </w:p>
    <w:p>
      <w:pPr>
        <w:snapToGrid w:val="0"/>
        <w:spacing w:line="288" w:lineRule="auto"/>
        <w:ind w:firstLine="0"/>
        <w:jc w:val="center"/>
        <w:rPr>
          <w:rFonts w:asciiTheme="minorEastAsia" w:hAnsiTheme="minorEastAsia" w:eastAsiaTheme="minorEastAsia"/>
          <w:b/>
          <w:sz w:val="44"/>
          <w:szCs w:val="44"/>
          <w:highlight w:val="none"/>
        </w:rPr>
      </w:pPr>
      <w:r>
        <w:rPr>
          <w:rFonts w:hint="eastAsia" w:asciiTheme="minorEastAsia" w:hAnsiTheme="minorEastAsia" w:eastAsiaTheme="minorEastAsia"/>
          <w:b/>
          <w:sz w:val="44"/>
          <w:szCs w:val="44"/>
          <w:highlight w:val="none"/>
        </w:rPr>
        <w:t>500kV黎平变电站35kV 314断路器灭弧室大修</w:t>
      </w:r>
      <w:r>
        <w:rPr>
          <w:rFonts w:hint="eastAsia" w:asciiTheme="minorEastAsia" w:hAnsiTheme="minorEastAsia" w:eastAsiaTheme="minorEastAsia"/>
          <w:b/>
          <w:sz w:val="44"/>
          <w:szCs w:val="44"/>
          <w:highlight w:val="none"/>
          <w:lang w:eastAsia="zh-CN"/>
        </w:rPr>
        <w:t>施工（含物资）</w:t>
      </w:r>
      <w:r>
        <w:rPr>
          <w:rFonts w:hint="eastAsia" w:asciiTheme="minorEastAsia" w:hAnsiTheme="minorEastAsia" w:eastAsiaTheme="minorEastAsia"/>
          <w:b/>
          <w:sz w:val="44"/>
          <w:szCs w:val="44"/>
          <w:highlight w:val="none"/>
        </w:rPr>
        <w:t>技术规范书</w:t>
      </w:r>
    </w:p>
    <w:p>
      <w:pPr>
        <w:snapToGrid w:val="0"/>
        <w:spacing w:line="288" w:lineRule="auto"/>
        <w:rPr>
          <w:rFonts w:asciiTheme="minorEastAsia" w:hAnsiTheme="minorEastAsia" w:eastAsiaTheme="minorEastAsia"/>
          <w:b/>
          <w:sz w:val="30"/>
          <w:szCs w:val="30"/>
          <w:highlight w:val="none"/>
        </w:rPr>
      </w:pPr>
    </w:p>
    <w:p>
      <w:pPr>
        <w:snapToGrid w:val="0"/>
        <w:spacing w:line="288" w:lineRule="auto"/>
        <w:rPr>
          <w:rFonts w:asciiTheme="minorEastAsia" w:hAnsiTheme="minorEastAsia" w:eastAsiaTheme="minorEastAsia"/>
          <w:b/>
          <w:sz w:val="30"/>
          <w:szCs w:val="30"/>
          <w:highlight w:val="none"/>
        </w:rPr>
      </w:pPr>
    </w:p>
    <w:p>
      <w:pPr>
        <w:snapToGrid w:val="0"/>
        <w:spacing w:line="288" w:lineRule="auto"/>
        <w:ind w:firstLine="2393" w:firstLineChars="745"/>
        <w:rPr>
          <w:rFonts w:asciiTheme="minorEastAsia" w:hAnsiTheme="minorEastAsia" w:eastAsiaTheme="minorEastAsia"/>
          <w:b/>
          <w:sz w:val="32"/>
          <w:szCs w:val="32"/>
          <w:highlight w:val="none"/>
        </w:rPr>
      </w:pPr>
    </w:p>
    <w:p>
      <w:pPr>
        <w:snapToGrid w:val="0"/>
        <w:spacing w:line="288" w:lineRule="auto"/>
        <w:ind w:firstLine="2393" w:firstLineChars="745"/>
        <w:rPr>
          <w:rFonts w:asciiTheme="minorEastAsia" w:hAnsiTheme="minorEastAsia" w:eastAsiaTheme="minorEastAsia"/>
          <w:b/>
          <w:sz w:val="32"/>
          <w:szCs w:val="32"/>
          <w:highlight w:val="none"/>
        </w:rPr>
      </w:pPr>
      <w:r>
        <w:rPr>
          <w:rFonts w:hint="eastAsia" w:asciiTheme="minorEastAsia" w:hAnsiTheme="minorEastAsia" w:eastAsiaTheme="minorEastAsia"/>
          <w:b/>
          <w:sz w:val="32"/>
          <w:szCs w:val="32"/>
          <w:highlight w:val="none"/>
        </w:rPr>
        <w:t>批准：</w:t>
      </w:r>
    </w:p>
    <w:p>
      <w:pPr>
        <w:snapToGrid w:val="0"/>
        <w:spacing w:line="288" w:lineRule="auto"/>
        <w:ind w:firstLine="1606" w:firstLineChars="500"/>
        <w:rPr>
          <w:rFonts w:asciiTheme="minorEastAsia" w:hAnsiTheme="minorEastAsia" w:eastAsiaTheme="minorEastAsia"/>
          <w:b/>
          <w:sz w:val="32"/>
          <w:szCs w:val="32"/>
          <w:highlight w:val="none"/>
        </w:rPr>
      </w:pPr>
    </w:p>
    <w:p>
      <w:pPr>
        <w:snapToGrid w:val="0"/>
        <w:spacing w:line="288" w:lineRule="auto"/>
        <w:ind w:firstLine="1606" w:firstLineChars="500"/>
        <w:rPr>
          <w:rFonts w:asciiTheme="minorEastAsia" w:hAnsiTheme="minorEastAsia" w:eastAsiaTheme="minorEastAsia"/>
          <w:b/>
          <w:sz w:val="32"/>
          <w:szCs w:val="32"/>
          <w:highlight w:val="none"/>
        </w:rPr>
      </w:pPr>
    </w:p>
    <w:p>
      <w:pPr>
        <w:snapToGrid w:val="0"/>
        <w:spacing w:line="288" w:lineRule="auto"/>
        <w:ind w:firstLine="2393" w:firstLineChars="745"/>
        <w:rPr>
          <w:rFonts w:asciiTheme="minorEastAsia" w:hAnsiTheme="minorEastAsia" w:eastAsiaTheme="minorEastAsia"/>
          <w:b/>
          <w:sz w:val="32"/>
          <w:szCs w:val="32"/>
          <w:highlight w:val="none"/>
        </w:rPr>
      </w:pPr>
      <w:r>
        <w:rPr>
          <w:rFonts w:hint="eastAsia" w:asciiTheme="minorEastAsia" w:hAnsiTheme="minorEastAsia" w:eastAsiaTheme="minorEastAsia"/>
          <w:b/>
          <w:sz w:val="32"/>
          <w:szCs w:val="32"/>
          <w:highlight w:val="none"/>
        </w:rPr>
        <w:t>审定：</w:t>
      </w:r>
    </w:p>
    <w:p>
      <w:pPr>
        <w:snapToGrid w:val="0"/>
        <w:spacing w:line="288" w:lineRule="auto"/>
        <w:ind w:firstLine="1606" w:firstLineChars="500"/>
        <w:rPr>
          <w:rFonts w:asciiTheme="minorEastAsia" w:hAnsiTheme="minorEastAsia" w:eastAsiaTheme="minorEastAsia"/>
          <w:b/>
          <w:sz w:val="32"/>
          <w:szCs w:val="32"/>
          <w:highlight w:val="none"/>
        </w:rPr>
      </w:pPr>
    </w:p>
    <w:p>
      <w:pPr>
        <w:snapToGrid w:val="0"/>
        <w:spacing w:line="288" w:lineRule="auto"/>
        <w:ind w:firstLine="1606" w:firstLineChars="500"/>
        <w:rPr>
          <w:rFonts w:asciiTheme="minorEastAsia" w:hAnsiTheme="minorEastAsia" w:eastAsiaTheme="minorEastAsia"/>
          <w:b/>
          <w:sz w:val="32"/>
          <w:szCs w:val="32"/>
          <w:highlight w:val="none"/>
        </w:rPr>
      </w:pPr>
    </w:p>
    <w:p>
      <w:pPr>
        <w:snapToGrid w:val="0"/>
        <w:spacing w:line="288" w:lineRule="auto"/>
        <w:ind w:firstLine="2393" w:firstLineChars="745"/>
        <w:rPr>
          <w:rFonts w:asciiTheme="minorEastAsia" w:hAnsiTheme="minorEastAsia" w:eastAsiaTheme="minorEastAsia"/>
          <w:b/>
          <w:sz w:val="32"/>
          <w:szCs w:val="32"/>
          <w:highlight w:val="none"/>
        </w:rPr>
      </w:pPr>
      <w:r>
        <w:rPr>
          <w:rFonts w:hint="eastAsia" w:asciiTheme="minorEastAsia" w:hAnsiTheme="minorEastAsia" w:eastAsiaTheme="minorEastAsia"/>
          <w:b/>
          <w:sz w:val="32"/>
          <w:szCs w:val="32"/>
          <w:highlight w:val="none"/>
        </w:rPr>
        <w:t>审核：</w:t>
      </w:r>
    </w:p>
    <w:p>
      <w:pPr>
        <w:snapToGrid w:val="0"/>
        <w:spacing w:line="288" w:lineRule="auto"/>
        <w:ind w:firstLine="1606" w:firstLineChars="500"/>
        <w:rPr>
          <w:rFonts w:asciiTheme="minorEastAsia" w:hAnsiTheme="minorEastAsia" w:eastAsiaTheme="minorEastAsia"/>
          <w:b/>
          <w:sz w:val="32"/>
          <w:szCs w:val="32"/>
          <w:highlight w:val="none"/>
        </w:rPr>
      </w:pPr>
    </w:p>
    <w:p>
      <w:pPr>
        <w:snapToGrid w:val="0"/>
        <w:spacing w:line="288" w:lineRule="auto"/>
        <w:ind w:firstLine="1606" w:firstLineChars="500"/>
        <w:rPr>
          <w:rFonts w:asciiTheme="minorEastAsia" w:hAnsiTheme="minorEastAsia" w:eastAsiaTheme="minorEastAsia"/>
          <w:b/>
          <w:sz w:val="32"/>
          <w:szCs w:val="32"/>
          <w:highlight w:val="none"/>
        </w:rPr>
      </w:pPr>
    </w:p>
    <w:p>
      <w:pPr>
        <w:snapToGrid w:val="0"/>
        <w:spacing w:line="288" w:lineRule="auto"/>
        <w:ind w:firstLine="2393" w:firstLineChars="745"/>
        <w:rPr>
          <w:rFonts w:asciiTheme="minorEastAsia" w:hAnsiTheme="minorEastAsia" w:eastAsiaTheme="minorEastAsia"/>
          <w:b/>
          <w:sz w:val="32"/>
          <w:szCs w:val="32"/>
          <w:highlight w:val="none"/>
        </w:rPr>
      </w:pPr>
      <w:r>
        <w:rPr>
          <w:rFonts w:hint="eastAsia" w:asciiTheme="minorEastAsia" w:hAnsiTheme="minorEastAsia" w:eastAsiaTheme="minorEastAsia"/>
          <w:b/>
          <w:sz w:val="32"/>
          <w:szCs w:val="32"/>
          <w:highlight w:val="none"/>
        </w:rPr>
        <w:t>编写：</w:t>
      </w:r>
    </w:p>
    <w:p>
      <w:pPr>
        <w:snapToGrid w:val="0"/>
        <w:spacing w:line="288" w:lineRule="auto"/>
        <w:ind w:firstLine="1771" w:firstLineChars="490"/>
        <w:jc w:val="left"/>
        <w:rPr>
          <w:rFonts w:asciiTheme="minorEastAsia" w:hAnsiTheme="minorEastAsia" w:eastAsiaTheme="minorEastAsia"/>
          <w:b/>
          <w:sz w:val="36"/>
          <w:highlight w:val="none"/>
        </w:rPr>
      </w:pPr>
    </w:p>
    <w:p>
      <w:pPr>
        <w:spacing w:line="360" w:lineRule="auto"/>
        <w:jc w:val="center"/>
        <w:rPr>
          <w:rFonts w:hint="eastAsia" w:asciiTheme="minorEastAsia" w:hAnsiTheme="minorEastAsia" w:eastAsiaTheme="minorEastAsia" w:cstheme="minorEastAsia"/>
          <w:b/>
          <w:bCs/>
          <w:sz w:val="32"/>
          <w:highlight w:val="none"/>
        </w:rPr>
      </w:pPr>
      <w:bookmarkStart w:id="0" w:name="_Toc320283051"/>
      <w:bookmarkStart w:id="1" w:name="_Toc321919025"/>
      <w:bookmarkStart w:id="2" w:name="_Toc318700418"/>
      <w:r>
        <w:rPr>
          <w:rFonts w:hint="eastAsia" w:asciiTheme="minorEastAsia" w:hAnsiTheme="minorEastAsia" w:eastAsiaTheme="minorEastAsia" w:cstheme="minorEastAsia"/>
          <w:b/>
          <w:bCs/>
          <w:sz w:val="32"/>
          <w:highlight w:val="none"/>
        </w:rPr>
        <w:t>超高压输电公司贵阳局</w:t>
      </w:r>
    </w:p>
    <w:p>
      <w:pPr>
        <w:spacing w:line="360" w:lineRule="auto"/>
        <w:jc w:val="center"/>
        <w:rPr>
          <w:rFonts w:hint="eastAsia" w:asciiTheme="minorEastAsia" w:hAnsiTheme="minorEastAsia" w:eastAsiaTheme="minorEastAsia" w:cstheme="minorEastAsia"/>
          <w:b/>
          <w:bCs/>
          <w:sz w:val="32"/>
          <w:highlight w:val="none"/>
        </w:rPr>
      </w:pPr>
      <w:r>
        <w:rPr>
          <w:rFonts w:hint="eastAsia" w:asciiTheme="minorEastAsia" w:hAnsiTheme="minorEastAsia" w:eastAsiaTheme="minorEastAsia" w:cstheme="minorEastAsia"/>
          <w:b/>
          <w:bCs/>
          <w:sz w:val="32"/>
          <w:highlight w:val="none"/>
        </w:rPr>
        <w:t>201</w:t>
      </w:r>
      <w:r>
        <w:rPr>
          <w:rFonts w:hint="eastAsia" w:asciiTheme="minorEastAsia" w:hAnsiTheme="minorEastAsia" w:eastAsiaTheme="minorEastAsia" w:cstheme="minorEastAsia"/>
          <w:b/>
          <w:bCs/>
          <w:sz w:val="32"/>
          <w:highlight w:val="none"/>
          <w:lang w:val="en-US" w:eastAsia="zh-CN"/>
        </w:rPr>
        <w:t>8</w:t>
      </w:r>
      <w:r>
        <w:rPr>
          <w:rFonts w:hint="eastAsia" w:asciiTheme="minorEastAsia" w:hAnsiTheme="minorEastAsia" w:eastAsiaTheme="minorEastAsia" w:cstheme="minorEastAsia"/>
          <w:b/>
          <w:bCs/>
          <w:sz w:val="32"/>
          <w:highlight w:val="none"/>
        </w:rPr>
        <w:t>年0</w:t>
      </w:r>
      <w:r>
        <w:rPr>
          <w:rFonts w:hint="eastAsia" w:asciiTheme="minorEastAsia" w:hAnsiTheme="minorEastAsia" w:eastAsiaTheme="minorEastAsia" w:cstheme="minorEastAsia"/>
          <w:b/>
          <w:bCs/>
          <w:sz w:val="32"/>
          <w:highlight w:val="none"/>
          <w:lang w:val="en-US" w:eastAsia="zh-CN"/>
        </w:rPr>
        <w:t>8</w:t>
      </w:r>
      <w:r>
        <w:rPr>
          <w:rFonts w:hint="eastAsia" w:asciiTheme="minorEastAsia" w:hAnsiTheme="minorEastAsia" w:eastAsiaTheme="minorEastAsia" w:cstheme="minorEastAsia"/>
          <w:b/>
          <w:bCs/>
          <w:sz w:val="32"/>
          <w:highlight w:val="none"/>
        </w:rPr>
        <w:t>月</w:t>
      </w:r>
    </w:p>
    <w:p>
      <w:pPr>
        <w:pStyle w:val="3"/>
        <w:keepNext w:val="0"/>
        <w:keepLines w:val="0"/>
        <w:tabs>
          <w:tab w:val="left" w:pos="480"/>
          <w:tab w:val="left" w:pos="720"/>
        </w:tabs>
        <w:topLinePunct/>
        <w:snapToGrid w:val="0"/>
        <w:spacing w:before="0" w:after="0" w:line="288" w:lineRule="auto"/>
        <w:ind w:firstLine="413" w:firstLineChars="196"/>
        <w:jc w:val="left"/>
        <w:rPr>
          <w:rFonts w:asciiTheme="minorEastAsia" w:hAnsiTheme="minorEastAsia" w:eastAsiaTheme="minorEastAsia"/>
          <w:sz w:val="21"/>
          <w:szCs w:val="21"/>
          <w:highlight w:val="none"/>
        </w:rPr>
      </w:pPr>
    </w:p>
    <w:p>
      <w:pPr>
        <w:rPr>
          <w:rFonts w:asciiTheme="minorEastAsia" w:hAnsiTheme="minorEastAsia" w:eastAsiaTheme="minorEastAsia"/>
          <w:sz w:val="21"/>
          <w:szCs w:val="21"/>
          <w:highlight w:val="none"/>
        </w:rPr>
      </w:pPr>
    </w:p>
    <w:p>
      <w:pPr>
        <w:rPr>
          <w:rFonts w:asciiTheme="minorEastAsia" w:hAnsiTheme="minorEastAsia" w:eastAsiaTheme="minorEastAsia"/>
          <w:sz w:val="21"/>
          <w:szCs w:val="21"/>
          <w:highlight w:val="none"/>
        </w:rPr>
      </w:pPr>
    </w:p>
    <w:p>
      <w:pPr>
        <w:pStyle w:val="33"/>
        <w:tabs>
          <w:tab w:val="right" w:leader="dot" w:pos="8306"/>
          <w:tab w:val="clear" w:pos="1680"/>
          <w:tab w:val="clear" w:pos="9288"/>
        </w:tabs>
      </w:pPr>
      <w:r>
        <w:rPr>
          <w:rFonts w:asciiTheme="minorEastAsia" w:hAnsiTheme="minorEastAsia" w:eastAsiaTheme="minorEastAsia"/>
          <w:sz w:val="21"/>
          <w:szCs w:val="21"/>
          <w:highlight w:val="none"/>
        </w:rPr>
        <w:fldChar w:fldCharType="begin"/>
      </w:r>
      <w:r>
        <w:rPr>
          <w:rFonts w:asciiTheme="minorEastAsia" w:hAnsiTheme="minorEastAsia" w:eastAsiaTheme="minorEastAsia"/>
          <w:sz w:val="21"/>
          <w:szCs w:val="21"/>
          <w:highlight w:val="none"/>
        </w:rPr>
        <w:instrText xml:space="preserve">TOC \o "1-2" \h \u </w:instrText>
      </w:r>
      <w:r>
        <w:rPr>
          <w:rFonts w:asciiTheme="minorEastAsia" w:hAnsiTheme="minorEastAsia" w:eastAsiaTheme="minorEastAsia"/>
          <w:sz w:val="21"/>
          <w:szCs w:val="21"/>
          <w:highlight w:val="none"/>
        </w:rPr>
        <w:fldChar w:fldCharType="separate"/>
      </w:r>
      <w:r>
        <w:rPr>
          <w:rFonts w:asciiTheme="minorEastAsia" w:hAnsiTheme="minorEastAsia" w:eastAsiaTheme="minorEastAsia"/>
          <w:szCs w:val="21"/>
          <w:highlight w:val="none"/>
        </w:rPr>
        <w:fldChar w:fldCharType="begin"/>
      </w:r>
      <w:r>
        <w:rPr>
          <w:rFonts w:asciiTheme="minorEastAsia" w:hAnsiTheme="minorEastAsia" w:eastAsiaTheme="minorEastAsia"/>
          <w:szCs w:val="21"/>
          <w:highlight w:val="none"/>
        </w:rPr>
        <w:instrText xml:space="preserve"> HYPERLINK \l _Toc6712 </w:instrText>
      </w:r>
      <w:r>
        <w:rPr>
          <w:rFonts w:asciiTheme="minorEastAsia" w:hAnsiTheme="minorEastAsia" w:eastAsiaTheme="minorEastAsia"/>
          <w:szCs w:val="21"/>
          <w:highlight w:val="none"/>
        </w:rPr>
        <w:fldChar w:fldCharType="separate"/>
      </w:r>
      <w:r>
        <w:rPr>
          <w:rFonts w:hint="default" w:asciiTheme="minorEastAsia" w:hAnsiTheme="minorEastAsia" w:eastAsiaTheme="minorEastAsia"/>
          <w:bCs/>
          <w:szCs w:val="24"/>
          <w:lang w:val="en-US" w:eastAsia="zh-CN"/>
        </w:rPr>
        <w:t xml:space="preserve">1. </w:t>
      </w:r>
      <w:r>
        <w:rPr>
          <w:rFonts w:hint="eastAsia" w:asciiTheme="minorEastAsia" w:hAnsiTheme="minorEastAsia" w:eastAsiaTheme="minorEastAsia"/>
          <w:bCs/>
          <w:szCs w:val="24"/>
          <w:highlight w:val="none"/>
          <w:lang w:val="en-US" w:eastAsia="zh-CN"/>
        </w:rPr>
        <w:t>总则</w:t>
      </w:r>
      <w:r>
        <w:tab/>
      </w:r>
      <w:r>
        <w:fldChar w:fldCharType="begin"/>
      </w:r>
      <w:r>
        <w:instrText xml:space="preserve"> PAGEREF _Toc6712 </w:instrText>
      </w:r>
      <w:r>
        <w:fldChar w:fldCharType="separate"/>
      </w:r>
      <w:r>
        <w:t>2</w:t>
      </w:r>
      <w:r>
        <w:fldChar w:fldCharType="end"/>
      </w:r>
      <w:r>
        <w:rPr>
          <w:rFonts w:asciiTheme="minorEastAsia" w:hAnsiTheme="minorEastAsia" w:eastAsiaTheme="minorEastAsia"/>
          <w:szCs w:val="21"/>
          <w:highlight w:val="none"/>
        </w:rPr>
        <w:fldChar w:fldCharType="end"/>
      </w:r>
    </w:p>
    <w:p>
      <w:pPr>
        <w:pStyle w:val="33"/>
        <w:tabs>
          <w:tab w:val="right" w:leader="dot" w:pos="8306"/>
          <w:tab w:val="clear" w:pos="1680"/>
          <w:tab w:val="clear" w:pos="9288"/>
        </w:tabs>
      </w:pPr>
      <w:r>
        <w:rPr>
          <w:rFonts w:asciiTheme="minorEastAsia" w:hAnsiTheme="minorEastAsia" w:eastAsiaTheme="minorEastAsia"/>
          <w:szCs w:val="21"/>
          <w:highlight w:val="none"/>
        </w:rPr>
        <w:fldChar w:fldCharType="begin"/>
      </w:r>
      <w:r>
        <w:rPr>
          <w:rFonts w:asciiTheme="minorEastAsia" w:hAnsiTheme="minorEastAsia" w:eastAsiaTheme="minorEastAsia"/>
          <w:szCs w:val="21"/>
          <w:highlight w:val="none"/>
        </w:rPr>
        <w:instrText xml:space="preserve"> HYPERLINK \l _Toc6077 </w:instrText>
      </w:r>
      <w:r>
        <w:rPr>
          <w:rFonts w:asciiTheme="minorEastAsia" w:hAnsiTheme="minorEastAsia" w:eastAsiaTheme="minorEastAsia"/>
          <w:szCs w:val="21"/>
          <w:highlight w:val="none"/>
        </w:rPr>
        <w:fldChar w:fldCharType="separate"/>
      </w:r>
      <w:r>
        <w:rPr>
          <w:rFonts w:hint="default" w:asciiTheme="minorEastAsia" w:hAnsiTheme="minorEastAsia" w:eastAsiaTheme="minorEastAsia"/>
          <w:bCs/>
          <w:szCs w:val="24"/>
          <w:lang w:val="en-US" w:eastAsia="zh-CN"/>
        </w:rPr>
        <w:t xml:space="preserve">2. </w:t>
      </w:r>
      <w:r>
        <w:rPr>
          <w:rFonts w:hint="eastAsia" w:asciiTheme="minorEastAsia" w:hAnsiTheme="minorEastAsia" w:eastAsiaTheme="minorEastAsia"/>
          <w:bCs/>
          <w:szCs w:val="24"/>
          <w:highlight w:val="none"/>
          <w:lang w:val="en-US" w:eastAsia="zh-CN"/>
        </w:rPr>
        <w:t>工程概况</w:t>
      </w:r>
      <w:r>
        <w:tab/>
      </w:r>
      <w:r>
        <w:fldChar w:fldCharType="begin"/>
      </w:r>
      <w:r>
        <w:instrText xml:space="preserve"> PAGEREF _Toc6077 </w:instrText>
      </w:r>
      <w:r>
        <w:fldChar w:fldCharType="separate"/>
      </w:r>
      <w:r>
        <w:t>2</w:t>
      </w:r>
      <w:r>
        <w:fldChar w:fldCharType="end"/>
      </w:r>
      <w:r>
        <w:rPr>
          <w:rFonts w:asciiTheme="minorEastAsia" w:hAnsiTheme="minorEastAsia" w:eastAsiaTheme="minorEastAsia"/>
          <w:szCs w:val="21"/>
          <w:highlight w:val="none"/>
        </w:rPr>
        <w:fldChar w:fldCharType="end"/>
      </w:r>
    </w:p>
    <w:p>
      <w:pPr>
        <w:pStyle w:val="33"/>
        <w:tabs>
          <w:tab w:val="right" w:leader="dot" w:pos="8306"/>
          <w:tab w:val="clear" w:pos="1680"/>
          <w:tab w:val="clear" w:pos="9288"/>
        </w:tabs>
      </w:pPr>
      <w:r>
        <w:rPr>
          <w:rFonts w:asciiTheme="minorEastAsia" w:hAnsiTheme="minorEastAsia" w:eastAsiaTheme="minorEastAsia"/>
          <w:szCs w:val="21"/>
          <w:highlight w:val="none"/>
        </w:rPr>
        <w:fldChar w:fldCharType="begin"/>
      </w:r>
      <w:r>
        <w:rPr>
          <w:rFonts w:asciiTheme="minorEastAsia" w:hAnsiTheme="minorEastAsia" w:eastAsiaTheme="minorEastAsia"/>
          <w:szCs w:val="21"/>
          <w:highlight w:val="none"/>
        </w:rPr>
        <w:instrText xml:space="preserve"> HYPERLINK \l _Toc28113 </w:instrText>
      </w:r>
      <w:r>
        <w:rPr>
          <w:rFonts w:asciiTheme="minorEastAsia" w:hAnsiTheme="minorEastAsia" w:eastAsiaTheme="minorEastAsia"/>
          <w:szCs w:val="21"/>
          <w:highlight w:val="none"/>
        </w:rPr>
        <w:fldChar w:fldCharType="separate"/>
      </w:r>
      <w:r>
        <w:rPr>
          <w:rFonts w:hint="default" w:asciiTheme="minorEastAsia" w:hAnsiTheme="minorEastAsia" w:eastAsiaTheme="minorEastAsia"/>
          <w:bCs/>
          <w:szCs w:val="24"/>
          <w:lang w:val="en-US" w:eastAsia="zh-CN"/>
        </w:rPr>
        <w:t xml:space="preserve">3. </w:t>
      </w:r>
      <w:r>
        <w:rPr>
          <w:rFonts w:hint="eastAsia" w:asciiTheme="minorEastAsia" w:hAnsiTheme="minorEastAsia" w:eastAsiaTheme="minorEastAsia"/>
          <w:bCs/>
          <w:szCs w:val="24"/>
          <w:highlight w:val="none"/>
          <w:lang w:val="en-US" w:eastAsia="zh-CN"/>
        </w:rPr>
        <w:t>技术参数</w:t>
      </w:r>
      <w:r>
        <w:tab/>
      </w:r>
      <w:r>
        <w:fldChar w:fldCharType="begin"/>
      </w:r>
      <w:r>
        <w:instrText xml:space="preserve"> PAGEREF _Toc28113 </w:instrText>
      </w:r>
      <w:r>
        <w:fldChar w:fldCharType="separate"/>
      </w:r>
      <w:r>
        <w:t>3</w:t>
      </w:r>
      <w:r>
        <w:fldChar w:fldCharType="end"/>
      </w:r>
      <w:r>
        <w:rPr>
          <w:rFonts w:asciiTheme="minorEastAsia" w:hAnsiTheme="minorEastAsia" w:eastAsiaTheme="minorEastAsia"/>
          <w:szCs w:val="21"/>
          <w:highlight w:val="none"/>
        </w:rPr>
        <w:fldChar w:fldCharType="end"/>
      </w:r>
    </w:p>
    <w:p>
      <w:pPr>
        <w:pStyle w:val="33"/>
        <w:tabs>
          <w:tab w:val="right" w:leader="dot" w:pos="8306"/>
          <w:tab w:val="clear" w:pos="1680"/>
          <w:tab w:val="clear" w:pos="9288"/>
        </w:tabs>
      </w:pPr>
      <w:r>
        <w:rPr>
          <w:rFonts w:asciiTheme="minorEastAsia" w:hAnsiTheme="minorEastAsia" w:eastAsiaTheme="minorEastAsia"/>
          <w:szCs w:val="21"/>
          <w:highlight w:val="none"/>
        </w:rPr>
        <w:fldChar w:fldCharType="begin"/>
      </w:r>
      <w:r>
        <w:rPr>
          <w:rFonts w:asciiTheme="minorEastAsia" w:hAnsiTheme="minorEastAsia" w:eastAsiaTheme="minorEastAsia"/>
          <w:szCs w:val="21"/>
          <w:highlight w:val="none"/>
        </w:rPr>
        <w:instrText xml:space="preserve"> HYPERLINK \l _Toc1308 </w:instrText>
      </w:r>
      <w:r>
        <w:rPr>
          <w:rFonts w:asciiTheme="minorEastAsia" w:hAnsiTheme="minorEastAsia" w:eastAsiaTheme="minorEastAsia"/>
          <w:szCs w:val="21"/>
          <w:highlight w:val="none"/>
        </w:rPr>
        <w:fldChar w:fldCharType="separate"/>
      </w:r>
      <w:r>
        <w:rPr>
          <w:rFonts w:hint="default" w:asciiTheme="minorEastAsia" w:hAnsiTheme="minorEastAsia" w:eastAsiaTheme="minorEastAsia"/>
          <w:bCs/>
          <w:szCs w:val="24"/>
          <w:lang w:val="en-US" w:eastAsia="zh-CN"/>
        </w:rPr>
        <w:t xml:space="preserve">4. </w:t>
      </w:r>
      <w:r>
        <w:rPr>
          <w:rFonts w:hint="eastAsia" w:asciiTheme="minorEastAsia" w:hAnsiTheme="minorEastAsia" w:eastAsiaTheme="minorEastAsia"/>
          <w:bCs/>
          <w:szCs w:val="24"/>
          <w:highlight w:val="none"/>
          <w:lang w:val="en-US" w:eastAsia="zh-CN"/>
        </w:rPr>
        <w:t>试验</w:t>
      </w:r>
      <w:r>
        <w:tab/>
      </w:r>
      <w:r>
        <w:fldChar w:fldCharType="begin"/>
      </w:r>
      <w:r>
        <w:instrText xml:space="preserve"> PAGEREF _Toc1308 </w:instrText>
      </w:r>
      <w:r>
        <w:fldChar w:fldCharType="separate"/>
      </w:r>
      <w:r>
        <w:t>5</w:t>
      </w:r>
      <w:r>
        <w:fldChar w:fldCharType="end"/>
      </w:r>
      <w:r>
        <w:rPr>
          <w:rFonts w:asciiTheme="minorEastAsia" w:hAnsiTheme="minorEastAsia" w:eastAsiaTheme="minorEastAsia"/>
          <w:szCs w:val="21"/>
          <w:highlight w:val="none"/>
        </w:rPr>
        <w:fldChar w:fldCharType="end"/>
      </w:r>
    </w:p>
    <w:p>
      <w:pPr>
        <w:pStyle w:val="33"/>
        <w:tabs>
          <w:tab w:val="right" w:leader="dot" w:pos="8306"/>
          <w:tab w:val="clear" w:pos="1680"/>
          <w:tab w:val="clear" w:pos="9288"/>
        </w:tabs>
      </w:pPr>
      <w:r>
        <w:rPr>
          <w:rFonts w:asciiTheme="minorEastAsia" w:hAnsiTheme="minorEastAsia" w:eastAsiaTheme="minorEastAsia"/>
          <w:szCs w:val="21"/>
          <w:highlight w:val="none"/>
        </w:rPr>
        <w:fldChar w:fldCharType="begin"/>
      </w:r>
      <w:r>
        <w:rPr>
          <w:rFonts w:asciiTheme="minorEastAsia" w:hAnsiTheme="minorEastAsia" w:eastAsiaTheme="minorEastAsia"/>
          <w:szCs w:val="21"/>
          <w:highlight w:val="none"/>
        </w:rPr>
        <w:instrText xml:space="preserve"> HYPERLINK \l _Toc8788 </w:instrText>
      </w:r>
      <w:r>
        <w:rPr>
          <w:rFonts w:asciiTheme="minorEastAsia" w:hAnsiTheme="minorEastAsia" w:eastAsiaTheme="minorEastAsia"/>
          <w:szCs w:val="21"/>
          <w:highlight w:val="none"/>
        </w:rPr>
        <w:fldChar w:fldCharType="separate"/>
      </w:r>
      <w:r>
        <w:rPr>
          <w:rFonts w:hint="default" w:asciiTheme="minorEastAsia" w:hAnsiTheme="minorEastAsia" w:eastAsiaTheme="minorEastAsia"/>
          <w:bCs/>
          <w:szCs w:val="24"/>
          <w:lang w:val="en-US" w:eastAsia="zh-CN"/>
        </w:rPr>
        <w:t xml:space="preserve">5. </w:t>
      </w:r>
      <w:r>
        <w:rPr>
          <w:rFonts w:hint="eastAsia" w:asciiTheme="minorEastAsia" w:hAnsiTheme="minorEastAsia" w:eastAsiaTheme="minorEastAsia"/>
          <w:bCs/>
          <w:szCs w:val="24"/>
          <w:highlight w:val="none"/>
          <w:lang w:val="en-US" w:eastAsia="zh-CN"/>
        </w:rPr>
        <w:t>设备材料供应</w:t>
      </w:r>
      <w:r>
        <w:tab/>
      </w:r>
      <w:r>
        <w:fldChar w:fldCharType="begin"/>
      </w:r>
      <w:r>
        <w:instrText xml:space="preserve"> PAGEREF _Toc8788 </w:instrText>
      </w:r>
      <w:r>
        <w:fldChar w:fldCharType="separate"/>
      </w:r>
      <w:r>
        <w:t>8</w:t>
      </w:r>
      <w:r>
        <w:fldChar w:fldCharType="end"/>
      </w:r>
      <w:r>
        <w:rPr>
          <w:rFonts w:asciiTheme="minorEastAsia" w:hAnsiTheme="minorEastAsia" w:eastAsiaTheme="minorEastAsia"/>
          <w:szCs w:val="21"/>
          <w:highlight w:val="none"/>
        </w:rPr>
        <w:fldChar w:fldCharType="end"/>
      </w:r>
    </w:p>
    <w:p>
      <w:pPr>
        <w:pStyle w:val="33"/>
        <w:tabs>
          <w:tab w:val="right" w:leader="dot" w:pos="8306"/>
          <w:tab w:val="clear" w:pos="1680"/>
          <w:tab w:val="clear" w:pos="9288"/>
        </w:tabs>
      </w:pPr>
      <w:r>
        <w:rPr>
          <w:rFonts w:asciiTheme="minorEastAsia" w:hAnsiTheme="minorEastAsia" w:eastAsiaTheme="minorEastAsia"/>
          <w:szCs w:val="21"/>
          <w:highlight w:val="none"/>
        </w:rPr>
        <w:fldChar w:fldCharType="begin"/>
      </w:r>
      <w:r>
        <w:rPr>
          <w:rFonts w:asciiTheme="minorEastAsia" w:hAnsiTheme="minorEastAsia" w:eastAsiaTheme="minorEastAsia"/>
          <w:szCs w:val="21"/>
          <w:highlight w:val="none"/>
        </w:rPr>
        <w:instrText xml:space="preserve"> HYPERLINK \l _Toc21078 </w:instrText>
      </w:r>
      <w:r>
        <w:rPr>
          <w:rFonts w:asciiTheme="minorEastAsia" w:hAnsiTheme="minorEastAsia" w:eastAsiaTheme="minorEastAsia"/>
          <w:szCs w:val="21"/>
          <w:highlight w:val="none"/>
        </w:rPr>
        <w:fldChar w:fldCharType="separate"/>
      </w:r>
      <w:r>
        <w:rPr>
          <w:rFonts w:hint="default" w:asciiTheme="minorEastAsia" w:hAnsiTheme="minorEastAsia" w:eastAsiaTheme="minorEastAsia"/>
          <w:bCs/>
          <w:szCs w:val="24"/>
          <w:lang w:val="en-US" w:eastAsia="zh-CN"/>
        </w:rPr>
        <w:t xml:space="preserve">6. </w:t>
      </w:r>
      <w:r>
        <w:rPr>
          <w:rFonts w:hint="eastAsia" w:asciiTheme="minorEastAsia" w:hAnsiTheme="minorEastAsia" w:eastAsiaTheme="minorEastAsia"/>
          <w:bCs/>
          <w:szCs w:val="24"/>
          <w:highlight w:val="none"/>
          <w:lang w:val="en-US" w:eastAsia="zh-CN"/>
        </w:rPr>
        <w:t>检修标准及规范</w:t>
      </w:r>
      <w:r>
        <w:tab/>
      </w:r>
      <w:r>
        <w:fldChar w:fldCharType="begin"/>
      </w:r>
      <w:r>
        <w:instrText xml:space="preserve"> PAGEREF _Toc21078 </w:instrText>
      </w:r>
      <w:r>
        <w:fldChar w:fldCharType="separate"/>
      </w:r>
      <w:r>
        <w:t>9</w:t>
      </w:r>
      <w:r>
        <w:fldChar w:fldCharType="end"/>
      </w:r>
      <w:r>
        <w:rPr>
          <w:rFonts w:asciiTheme="minorEastAsia" w:hAnsiTheme="minorEastAsia" w:eastAsiaTheme="minorEastAsia"/>
          <w:szCs w:val="21"/>
          <w:highlight w:val="none"/>
        </w:rPr>
        <w:fldChar w:fldCharType="end"/>
      </w:r>
    </w:p>
    <w:p>
      <w:pPr>
        <w:pStyle w:val="33"/>
        <w:tabs>
          <w:tab w:val="right" w:leader="dot" w:pos="8306"/>
          <w:tab w:val="clear" w:pos="1680"/>
          <w:tab w:val="clear" w:pos="9288"/>
        </w:tabs>
      </w:pPr>
      <w:r>
        <w:rPr>
          <w:rFonts w:asciiTheme="minorEastAsia" w:hAnsiTheme="minorEastAsia" w:eastAsiaTheme="minorEastAsia"/>
          <w:szCs w:val="21"/>
          <w:highlight w:val="none"/>
        </w:rPr>
        <w:fldChar w:fldCharType="begin"/>
      </w:r>
      <w:r>
        <w:rPr>
          <w:rFonts w:asciiTheme="minorEastAsia" w:hAnsiTheme="minorEastAsia" w:eastAsiaTheme="minorEastAsia"/>
          <w:szCs w:val="21"/>
          <w:highlight w:val="none"/>
        </w:rPr>
        <w:instrText xml:space="preserve"> HYPERLINK \l _Toc22659 </w:instrText>
      </w:r>
      <w:r>
        <w:rPr>
          <w:rFonts w:asciiTheme="minorEastAsia" w:hAnsiTheme="minorEastAsia" w:eastAsiaTheme="minorEastAsia"/>
          <w:szCs w:val="21"/>
          <w:highlight w:val="none"/>
        </w:rPr>
        <w:fldChar w:fldCharType="separate"/>
      </w:r>
      <w:r>
        <w:rPr>
          <w:rFonts w:hint="default" w:asciiTheme="minorEastAsia" w:hAnsiTheme="minorEastAsia" w:eastAsiaTheme="minorEastAsia"/>
          <w:bCs/>
          <w:szCs w:val="24"/>
          <w:lang w:val="en-US" w:eastAsia="zh-CN"/>
        </w:rPr>
        <w:t xml:space="preserve">7. </w:t>
      </w:r>
      <w:r>
        <w:rPr>
          <w:rFonts w:hint="eastAsia" w:asciiTheme="minorEastAsia" w:hAnsiTheme="minorEastAsia" w:eastAsiaTheme="minorEastAsia"/>
          <w:bCs/>
          <w:szCs w:val="24"/>
          <w:highlight w:val="none"/>
          <w:lang w:val="en-US" w:eastAsia="zh-CN"/>
        </w:rPr>
        <w:t>安全文明施工要求</w:t>
      </w:r>
      <w:r>
        <w:tab/>
      </w:r>
      <w:r>
        <w:fldChar w:fldCharType="begin"/>
      </w:r>
      <w:r>
        <w:instrText xml:space="preserve"> PAGEREF _Toc22659 </w:instrText>
      </w:r>
      <w:r>
        <w:fldChar w:fldCharType="separate"/>
      </w:r>
      <w:r>
        <w:t>10</w:t>
      </w:r>
      <w:r>
        <w:fldChar w:fldCharType="end"/>
      </w:r>
      <w:r>
        <w:rPr>
          <w:rFonts w:asciiTheme="minorEastAsia" w:hAnsiTheme="minorEastAsia" w:eastAsiaTheme="minorEastAsia"/>
          <w:szCs w:val="21"/>
          <w:highlight w:val="none"/>
        </w:rPr>
        <w:fldChar w:fldCharType="end"/>
      </w:r>
    </w:p>
    <w:p>
      <w:pPr>
        <w:pStyle w:val="33"/>
        <w:tabs>
          <w:tab w:val="right" w:leader="dot" w:pos="8306"/>
          <w:tab w:val="clear" w:pos="1680"/>
          <w:tab w:val="clear" w:pos="9288"/>
        </w:tabs>
      </w:pPr>
      <w:r>
        <w:rPr>
          <w:rFonts w:asciiTheme="minorEastAsia" w:hAnsiTheme="minorEastAsia" w:eastAsiaTheme="minorEastAsia"/>
          <w:szCs w:val="21"/>
          <w:highlight w:val="none"/>
        </w:rPr>
        <w:fldChar w:fldCharType="begin"/>
      </w:r>
      <w:r>
        <w:rPr>
          <w:rFonts w:asciiTheme="minorEastAsia" w:hAnsiTheme="minorEastAsia" w:eastAsiaTheme="minorEastAsia"/>
          <w:szCs w:val="21"/>
          <w:highlight w:val="none"/>
        </w:rPr>
        <w:instrText xml:space="preserve"> HYPERLINK \l _Toc15312 </w:instrText>
      </w:r>
      <w:r>
        <w:rPr>
          <w:rFonts w:asciiTheme="minorEastAsia" w:hAnsiTheme="minorEastAsia" w:eastAsiaTheme="minorEastAsia"/>
          <w:szCs w:val="21"/>
          <w:highlight w:val="none"/>
        </w:rPr>
        <w:fldChar w:fldCharType="separate"/>
      </w:r>
      <w:r>
        <w:rPr>
          <w:rFonts w:hint="default" w:asciiTheme="minorEastAsia" w:hAnsiTheme="minorEastAsia" w:eastAsiaTheme="minorEastAsia"/>
          <w:bCs/>
          <w:szCs w:val="24"/>
          <w:lang w:val="en-US" w:eastAsia="zh-CN"/>
        </w:rPr>
        <w:t xml:space="preserve">8. </w:t>
      </w:r>
      <w:r>
        <w:rPr>
          <w:rFonts w:hint="eastAsia" w:asciiTheme="minorEastAsia" w:hAnsiTheme="minorEastAsia" w:eastAsiaTheme="minorEastAsia"/>
          <w:bCs/>
          <w:szCs w:val="24"/>
          <w:highlight w:val="none"/>
          <w:lang w:val="en-US" w:eastAsia="zh-CN"/>
        </w:rPr>
        <w:t>质量要求</w:t>
      </w:r>
      <w:r>
        <w:tab/>
      </w:r>
      <w:r>
        <w:fldChar w:fldCharType="begin"/>
      </w:r>
      <w:r>
        <w:instrText xml:space="preserve"> PAGEREF _Toc15312 </w:instrText>
      </w:r>
      <w:r>
        <w:fldChar w:fldCharType="separate"/>
      </w:r>
      <w:r>
        <w:t>11</w:t>
      </w:r>
      <w:r>
        <w:fldChar w:fldCharType="end"/>
      </w:r>
      <w:r>
        <w:rPr>
          <w:rFonts w:asciiTheme="minorEastAsia" w:hAnsiTheme="minorEastAsia" w:eastAsiaTheme="minorEastAsia"/>
          <w:szCs w:val="21"/>
          <w:highlight w:val="none"/>
        </w:rPr>
        <w:fldChar w:fldCharType="end"/>
      </w:r>
    </w:p>
    <w:p>
      <w:pPr>
        <w:pStyle w:val="33"/>
        <w:tabs>
          <w:tab w:val="right" w:leader="dot" w:pos="8306"/>
          <w:tab w:val="clear" w:pos="1680"/>
          <w:tab w:val="clear" w:pos="9288"/>
        </w:tabs>
      </w:pPr>
      <w:r>
        <w:rPr>
          <w:rFonts w:asciiTheme="minorEastAsia" w:hAnsiTheme="minorEastAsia" w:eastAsiaTheme="minorEastAsia"/>
          <w:szCs w:val="21"/>
          <w:highlight w:val="none"/>
        </w:rPr>
        <w:fldChar w:fldCharType="begin"/>
      </w:r>
      <w:r>
        <w:rPr>
          <w:rFonts w:asciiTheme="minorEastAsia" w:hAnsiTheme="minorEastAsia" w:eastAsiaTheme="minorEastAsia"/>
          <w:szCs w:val="21"/>
          <w:highlight w:val="none"/>
        </w:rPr>
        <w:instrText xml:space="preserve"> HYPERLINK \l _Toc18200 </w:instrText>
      </w:r>
      <w:r>
        <w:rPr>
          <w:rFonts w:asciiTheme="minorEastAsia" w:hAnsiTheme="minorEastAsia" w:eastAsiaTheme="minorEastAsia"/>
          <w:szCs w:val="21"/>
          <w:highlight w:val="none"/>
        </w:rPr>
        <w:fldChar w:fldCharType="separate"/>
      </w:r>
      <w:r>
        <w:rPr>
          <w:rFonts w:hint="default" w:asciiTheme="minorEastAsia" w:hAnsiTheme="minorEastAsia" w:eastAsiaTheme="minorEastAsia"/>
          <w:bCs/>
          <w:szCs w:val="24"/>
          <w:lang w:val="en-US" w:eastAsia="zh-CN"/>
        </w:rPr>
        <w:t xml:space="preserve">9. </w:t>
      </w:r>
      <w:r>
        <w:rPr>
          <w:rFonts w:hint="eastAsia" w:asciiTheme="minorEastAsia" w:hAnsiTheme="minorEastAsia" w:eastAsiaTheme="minorEastAsia"/>
          <w:bCs/>
          <w:szCs w:val="24"/>
          <w:highlight w:val="none"/>
          <w:lang w:val="en-US" w:eastAsia="zh-CN"/>
        </w:rPr>
        <w:t>质量管理</w:t>
      </w:r>
      <w:r>
        <w:tab/>
      </w:r>
      <w:r>
        <w:fldChar w:fldCharType="begin"/>
      </w:r>
      <w:r>
        <w:instrText xml:space="preserve"> PAGEREF _Toc18200 </w:instrText>
      </w:r>
      <w:r>
        <w:fldChar w:fldCharType="separate"/>
      </w:r>
      <w:r>
        <w:t>11</w:t>
      </w:r>
      <w:r>
        <w:fldChar w:fldCharType="end"/>
      </w:r>
      <w:r>
        <w:rPr>
          <w:rFonts w:asciiTheme="minorEastAsia" w:hAnsiTheme="minorEastAsia" w:eastAsiaTheme="minorEastAsia"/>
          <w:szCs w:val="21"/>
          <w:highlight w:val="none"/>
        </w:rPr>
        <w:fldChar w:fldCharType="end"/>
      </w:r>
    </w:p>
    <w:p>
      <w:pPr>
        <w:pStyle w:val="33"/>
        <w:tabs>
          <w:tab w:val="right" w:leader="dot" w:pos="8306"/>
          <w:tab w:val="clear" w:pos="1680"/>
          <w:tab w:val="clear" w:pos="9288"/>
        </w:tabs>
      </w:pPr>
      <w:r>
        <w:rPr>
          <w:rFonts w:asciiTheme="minorEastAsia" w:hAnsiTheme="minorEastAsia" w:eastAsiaTheme="minorEastAsia"/>
          <w:szCs w:val="21"/>
          <w:highlight w:val="none"/>
        </w:rPr>
        <w:fldChar w:fldCharType="begin"/>
      </w:r>
      <w:r>
        <w:rPr>
          <w:rFonts w:asciiTheme="minorEastAsia" w:hAnsiTheme="minorEastAsia" w:eastAsiaTheme="minorEastAsia"/>
          <w:szCs w:val="21"/>
          <w:highlight w:val="none"/>
        </w:rPr>
        <w:instrText xml:space="preserve"> HYPERLINK \l _Toc421 </w:instrText>
      </w:r>
      <w:r>
        <w:rPr>
          <w:rFonts w:asciiTheme="minorEastAsia" w:hAnsiTheme="minorEastAsia" w:eastAsiaTheme="minorEastAsia"/>
          <w:szCs w:val="21"/>
          <w:highlight w:val="none"/>
        </w:rPr>
        <w:fldChar w:fldCharType="separate"/>
      </w:r>
      <w:r>
        <w:rPr>
          <w:rFonts w:hint="default" w:asciiTheme="minorEastAsia" w:hAnsiTheme="minorEastAsia" w:eastAsiaTheme="minorEastAsia"/>
          <w:bCs/>
          <w:szCs w:val="24"/>
          <w:lang w:val="en-US" w:eastAsia="zh-CN"/>
        </w:rPr>
        <w:t xml:space="preserve">10. </w:t>
      </w:r>
      <w:r>
        <w:rPr>
          <w:rFonts w:hint="eastAsia" w:asciiTheme="minorEastAsia" w:hAnsiTheme="minorEastAsia" w:eastAsiaTheme="minorEastAsia"/>
          <w:bCs/>
          <w:szCs w:val="24"/>
          <w:highlight w:val="none"/>
          <w:lang w:val="en-US" w:eastAsia="zh-CN"/>
        </w:rPr>
        <w:t>服务要求</w:t>
      </w:r>
      <w:r>
        <w:tab/>
      </w:r>
      <w:r>
        <w:fldChar w:fldCharType="begin"/>
      </w:r>
      <w:r>
        <w:instrText xml:space="preserve"> PAGEREF _Toc421 </w:instrText>
      </w:r>
      <w:r>
        <w:fldChar w:fldCharType="separate"/>
      </w:r>
      <w:r>
        <w:t>12</w:t>
      </w:r>
      <w:r>
        <w:fldChar w:fldCharType="end"/>
      </w:r>
      <w:r>
        <w:rPr>
          <w:rFonts w:asciiTheme="minorEastAsia" w:hAnsiTheme="minorEastAsia" w:eastAsiaTheme="minorEastAsia"/>
          <w:szCs w:val="21"/>
          <w:highlight w:val="none"/>
        </w:rPr>
        <w:fldChar w:fldCharType="end"/>
      </w:r>
    </w:p>
    <w:p>
      <w:pPr>
        <w:pStyle w:val="33"/>
        <w:tabs>
          <w:tab w:val="right" w:leader="dot" w:pos="8306"/>
          <w:tab w:val="clear" w:pos="1680"/>
          <w:tab w:val="clear" w:pos="9288"/>
        </w:tabs>
      </w:pPr>
      <w:r>
        <w:rPr>
          <w:rFonts w:asciiTheme="minorEastAsia" w:hAnsiTheme="minorEastAsia" w:eastAsiaTheme="minorEastAsia"/>
          <w:szCs w:val="21"/>
          <w:highlight w:val="none"/>
        </w:rPr>
        <w:fldChar w:fldCharType="begin"/>
      </w:r>
      <w:r>
        <w:rPr>
          <w:rFonts w:asciiTheme="minorEastAsia" w:hAnsiTheme="minorEastAsia" w:eastAsiaTheme="minorEastAsia"/>
          <w:szCs w:val="21"/>
          <w:highlight w:val="none"/>
        </w:rPr>
        <w:instrText xml:space="preserve"> HYPERLINK \l _Toc2304 </w:instrText>
      </w:r>
      <w:r>
        <w:rPr>
          <w:rFonts w:asciiTheme="minorEastAsia" w:hAnsiTheme="minorEastAsia" w:eastAsiaTheme="minorEastAsia"/>
          <w:szCs w:val="21"/>
          <w:highlight w:val="none"/>
        </w:rPr>
        <w:fldChar w:fldCharType="separate"/>
      </w:r>
      <w:r>
        <w:rPr>
          <w:rFonts w:hint="default" w:asciiTheme="minorEastAsia" w:hAnsiTheme="minorEastAsia" w:eastAsiaTheme="minorEastAsia"/>
          <w:bCs/>
          <w:szCs w:val="24"/>
          <w:lang w:val="en-US" w:eastAsia="zh-CN"/>
        </w:rPr>
        <w:t xml:space="preserve">11. </w:t>
      </w:r>
      <w:r>
        <w:rPr>
          <w:rFonts w:hint="eastAsia" w:asciiTheme="minorEastAsia" w:hAnsiTheme="minorEastAsia" w:eastAsiaTheme="minorEastAsia"/>
          <w:bCs/>
          <w:szCs w:val="24"/>
          <w:highlight w:val="none"/>
          <w:lang w:val="en-US" w:eastAsia="zh-CN"/>
        </w:rPr>
        <w:t>附件</w:t>
      </w:r>
      <w:r>
        <w:tab/>
      </w:r>
      <w:r>
        <w:fldChar w:fldCharType="begin"/>
      </w:r>
      <w:r>
        <w:instrText xml:space="preserve"> PAGEREF _Toc2304 </w:instrText>
      </w:r>
      <w:r>
        <w:fldChar w:fldCharType="separate"/>
      </w:r>
      <w:r>
        <w:t>12</w:t>
      </w:r>
      <w:r>
        <w:fldChar w:fldCharType="end"/>
      </w:r>
      <w:r>
        <w:rPr>
          <w:rFonts w:asciiTheme="minorEastAsia" w:hAnsiTheme="minorEastAsia" w:eastAsiaTheme="minorEastAsia"/>
          <w:szCs w:val="21"/>
          <w:highlight w:val="none"/>
        </w:rPr>
        <w:fldChar w:fldCharType="end"/>
      </w:r>
    </w:p>
    <w:p>
      <w:pPr>
        <w:rPr>
          <w:rFonts w:asciiTheme="minorEastAsia" w:hAnsiTheme="minorEastAsia" w:eastAsiaTheme="minorEastAsia"/>
          <w:sz w:val="21"/>
          <w:szCs w:val="21"/>
          <w:highlight w:val="none"/>
        </w:rPr>
      </w:pPr>
      <w:r>
        <w:rPr>
          <w:rFonts w:asciiTheme="minorEastAsia" w:hAnsiTheme="minorEastAsia" w:eastAsiaTheme="minorEastAsia"/>
          <w:szCs w:val="21"/>
          <w:highlight w:val="none"/>
        </w:rPr>
        <w:fldChar w:fldCharType="end"/>
      </w:r>
    </w:p>
    <w:p>
      <w:pPr>
        <w:widowControl/>
        <w:adjustRightInd/>
        <w:spacing w:line="240" w:lineRule="auto"/>
        <w:ind w:firstLine="0"/>
        <w:jc w:val="left"/>
        <w:textAlignment w:val="auto"/>
        <w:rPr>
          <w:rFonts w:asciiTheme="minorEastAsia" w:hAnsiTheme="minorEastAsia" w:eastAsiaTheme="minorEastAsia"/>
          <w:b/>
          <w:sz w:val="21"/>
          <w:szCs w:val="21"/>
          <w:highlight w:val="none"/>
        </w:rPr>
      </w:pPr>
      <w:r>
        <w:rPr>
          <w:rFonts w:asciiTheme="minorEastAsia" w:hAnsiTheme="minorEastAsia" w:eastAsiaTheme="minorEastAsia"/>
          <w:sz w:val="21"/>
          <w:szCs w:val="21"/>
          <w:highlight w:val="none"/>
        </w:rPr>
        <w:br w:type="page"/>
      </w:r>
    </w:p>
    <w:p>
      <w:pPr>
        <w:keepNext w:val="0"/>
        <w:keepLines w:val="0"/>
        <w:numPr>
          <w:ilvl w:val="0"/>
          <w:numId w:val="1"/>
        </w:numPr>
        <w:tabs>
          <w:tab w:val="left" w:pos="480"/>
          <w:tab w:val="left" w:pos="720"/>
        </w:tabs>
        <w:topLinePunct/>
        <w:snapToGrid w:val="0"/>
        <w:spacing w:before="0" w:after="0" w:line="312" w:lineRule="auto"/>
        <w:ind w:left="425" w:leftChars="0" w:hanging="425" w:firstLineChars="0"/>
        <w:jc w:val="left"/>
        <w:outlineLvl w:val="1"/>
        <w:rPr>
          <w:rFonts w:hint="eastAsia" w:asciiTheme="minorEastAsia" w:hAnsiTheme="minorEastAsia" w:eastAsiaTheme="minorEastAsia"/>
          <w:b/>
          <w:bCs/>
          <w:sz w:val="24"/>
          <w:szCs w:val="24"/>
          <w:highlight w:val="none"/>
          <w:lang w:val="en-US" w:eastAsia="zh-CN"/>
        </w:rPr>
      </w:pPr>
      <w:bookmarkStart w:id="3" w:name="_Toc6712"/>
      <w:r>
        <w:rPr>
          <w:rFonts w:hint="eastAsia" w:asciiTheme="minorEastAsia" w:hAnsiTheme="minorEastAsia" w:eastAsiaTheme="minorEastAsia"/>
          <w:b/>
          <w:bCs/>
          <w:sz w:val="24"/>
          <w:szCs w:val="24"/>
          <w:highlight w:val="none"/>
          <w:lang w:val="en-US" w:eastAsia="zh-CN"/>
        </w:rPr>
        <w:t>总则</w:t>
      </w:r>
      <w:bookmarkEnd w:id="3"/>
    </w:p>
    <w:p>
      <w:pPr>
        <w:snapToGrid w:val="0"/>
        <w:spacing w:line="312" w:lineRule="auto"/>
        <w:ind w:firstLine="480" w:firstLineChars="200"/>
        <w:outlineLvl w:val="9"/>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1.1本规范书适用于南方电网超高压输电公司</w:t>
      </w:r>
      <w:r>
        <w:rPr>
          <w:rFonts w:hint="eastAsia" w:asciiTheme="minorEastAsia" w:hAnsiTheme="minorEastAsia" w:eastAsiaTheme="minorEastAsia"/>
          <w:sz w:val="24"/>
          <w:szCs w:val="24"/>
          <w:highlight w:val="none"/>
          <w:lang w:eastAsia="zh-CN"/>
        </w:rPr>
        <w:t>贵阳局</w:t>
      </w:r>
      <w:r>
        <w:rPr>
          <w:rFonts w:hint="eastAsia" w:asciiTheme="minorEastAsia" w:hAnsiTheme="minorEastAsia" w:eastAsiaTheme="minorEastAsia"/>
          <w:sz w:val="24"/>
          <w:szCs w:val="24"/>
          <w:highlight w:val="none"/>
        </w:rPr>
        <w:t>“500kV黎平变电站35kV 314断路器灭弧室大修施工（含物资）”项目断路器返厂解体维修技术服务要求。</w:t>
      </w:r>
    </w:p>
    <w:p>
      <w:pPr>
        <w:snapToGrid w:val="0"/>
        <w:spacing w:line="312" w:lineRule="auto"/>
        <w:ind w:firstLine="480" w:firstLineChars="200"/>
        <w:outlineLvl w:val="9"/>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1.2规范书中提出的是最低限度的技术要求，并未对一切技术细节做出规定，也未充分引述有关标准和规范的条文。</w:t>
      </w:r>
    </w:p>
    <w:p>
      <w:pPr>
        <w:snapToGrid w:val="0"/>
        <w:spacing w:line="312" w:lineRule="auto"/>
        <w:ind w:firstLine="480" w:firstLineChars="200"/>
        <w:outlineLvl w:val="9"/>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1.3本规范书发出以后，如果投标方未以书面方式对本规范书的条文提出异议，那么招标方可以认为投标方提出的产品或采取的措施完全符合本规范书的要求。如有异议，投标方应在报价资料中以“对规范书的意见和同规范书的差异”为题的专门章节中加以详细描述。</w:t>
      </w:r>
    </w:p>
    <w:p>
      <w:pPr>
        <w:snapToGrid w:val="0"/>
        <w:spacing w:line="312" w:lineRule="auto"/>
        <w:ind w:firstLine="480" w:firstLineChars="200"/>
        <w:outlineLvl w:val="9"/>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1.4在签订合同之后, 招标方有权提出因规范标准和规程发生变化而产生的一些补充修改要求，具体款项由招标方、投标方共同商定。</w:t>
      </w:r>
    </w:p>
    <w:p>
      <w:pPr>
        <w:snapToGrid w:val="0"/>
        <w:spacing w:line="312" w:lineRule="auto"/>
        <w:ind w:firstLine="480" w:firstLineChars="200"/>
        <w:outlineLvl w:val="9"/>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1.5规范书所使用的标准,如遇与招标方所执行的标准发生矛盾时，应按较高的标准执行。</w:t>
      </w:r>
    </w:p>
    <w:p>
      <w:pPr>
        <w:snapToGrid w:val="0"/>
        <w:spacing w:line="312" w:lineRule="auto"/>
        <w:ind w:firstLine="480" w:firstLineChars="200"/>
        <w:outlineLvl w:val="9"/>
        <w:rPr>
          <w:rFonts w:hint="eastAsia" w:asciiTheme="minorEastAsia" w:hAnsiTheme="minorEastAsia" w:eastAsiaTheme="minorEastAsia"/>
          <w:b/>
          <w:bCs/>
          <w:sz w:val="28"/>
          <w:szCs w:val="28"/>
          <w:highlight w:val="none"/>
        </w:rPr>
      </w:pPr>
      <w:r>
        <w:rPr>
          <w:rFonts w:hint="eastAsia" w:asciiTheme="minorEastAsia" w:hAnsiTheme="minorEastAsia" w:eastAsiaTheme="minorEastAsia"/>
          <w:sz w:val="24"/>
          <w:szCs w:val="24"/>
          <w:highlight w:val="none"/>
        </w:rPr>
        <w:t>1.6本规范书经招标方、投标方确认后作为合同的技术附件，与合同正文具有同等效力。</w:t>
      </w:r>
    </w:p>
    <w:p>
      <w:pPr>
        <w:keepNext w:val="0"/>
        <w:keepLines w:val="0"/>
        <w:numPr>
          <w:ilvl w:val="0"/>
          <w:numId w:val="1"/>
        </w:numPr>
        <w:tabs>
          <w:tab w:val="left" w:pos="480"/>
          <w:tab w:val="left" w:pos="720"/>
        </w:tabs>
        <w:topLinePunct/>
        <w:snapToGrid w:val="0"/>
        <w:spacing w:before="0" w:after="0" w:line="312" w:lineRule="auto"/>
        <w:ind w:left="425" w:leftChars="0" w:hanging="425" w:firstLineChars="0"/>
        <w:jc w:val="left"/>
        <w:outlineLvl w:val="1"/>
        <w:rPr>
          <w:rFonts w:hint="eastAsia" w:asciiTheme="minorEastAsia" w:hAnsiTheme="minorEastAsia" w:eastAsiaTheme="minorEastAsia"/>
          <w:b/>
          <w:bCs/>
          <w:sz w:val="24"/>
          <w:szCs w:val="24"/>
          <w:highlight w:val="none"/>
          <w:lang w:val="en-US" w:eastAsia="zh-CN"/>
        </w:rPr>
      </w:pPr>
      <w:bookmarkStart w:id="4" w:name="_Toc6077"/>
      <w:r>
        <w:rPr>
          <w:rFonts w:hint="eastAsia" w:asciiTheme="minorEastAsia" w:hAnsiTheme="minorEastAsia" w:eastAsiaTheme="minorEastAsia"/>
          <w:b/>
          <w:bCs/>
          <w:sz w:val="24"/>
          <w:szCs w:val="24"/>
          <w:highlight w:val="none"/>
          <w:lang w:val="en-US" w:eastAsia="zh-CN"/>
        </w:rPr>
        <w:t>工程概况</w:t>
      </w:r>
      <w:bookmarkEnd w:id="0"/>
      <w:bookmarkEnd w:id="1"/>
      <w:bookmarkEnd w:id="2"/>
      <w:bookmarkEnd w:id="4"/>
    </w:p>
    <w:p>
      <w:pPr>
        <w:snapToGrid w:val="0"/>
        <w:spacing w:line="312" w:lineRule="auto"/>
        <w:ind w:firstLine="480" w:firstLineChars="200"/>
        <w:outlineLvl w:val="9"/>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2.1 工程简介：</w:t>
      </w:r>
    </w:p>
    <w:p>
      <w:pPr>
        <w:snapToGrid w:val="0"/>
        <w:spacing w:line="312" w:lineRule="auto"/>
        <w:ind w:firstLine="480" w:firstLineChars="200"/>
        <w:outlineLvl w:val="9"/>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本修理工程位于贵州省黔东南苗族侗族自治州黎平县。500kV黎平变电站35kV 314断路器由杭州西门子高压断路器有限公司生产，型号为3AP1FG。预防性试验中发现314断路器回路电阻超标，按照贵阳局反措要求,为保证黎平变电站35kV 314断路器安全稳定运行，需对回路电阻超标的断路器灭弧室进行返厂大修，更换主触头、弧触头。</w:t>
      </w:r>
    </w:p>
    <w:p>
      <w:pPr>
        <w:snapToGrid w:val="0"/>
        <w:spacing w:line="312" w:lineRule="auto"/>
        <w:ind w:firstLine="480" w:firstLineChars="200"/>
        <w:outlineLvl w:val="9"/>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投标方应仔细阅读包括本技术规范书在内的招标文件的所有条款，投标方提供的技术应符合本规范的要求。</w:t>
      </w:r>
    </w:p>
    <w:p>
      <w:pPr>
        <w:snapToGrid w:val="0"/>
        <w:spacing w:line="312" w:lineRule="auto"/>
        <w:ind w:firstLine="480" w:firstLineChars="200"/>
        <w:outlineLvl w:val="9"/>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2.2 工程规模</w:t>
      </w:r>
    </w:p>
    <w:p>
      <w:pPr>
        <w:snapToGrid w:val="0"/>
        <w:spacing w:line="312" w:lineRule="auto"/>
        <w:ind w:firstLine="480" w:firstLineChars="200"/>
        <w:outlineLvl w:val="9"/>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2.2.1本工程计划对500kV黎平变电站35kV 314断路器灭弧室按照3AP1FG型断路器技术规范进行返厂大修，对断路器灭弧室进行拆装、检查，更换主触头、弧触头、更换相应的部件，并对维修完毕的断路器进行电气、机械及SF6气体试验。</w:t>
      </w:r>
    </w:p>
    <w:p>
      <w:pPr>
        <w:snapToGrid w:val="0"/>
        <w:spacing w:line="312" w:lineRule="auto"/>
        <w:ind w:firstLine="480" w:firstLineChars="200"/>
        <w:outlineLvl w:val="9"/>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rPr>
        <w:t>2.2.2 35kV 314断路器主要检修工程量明细见下</w:t>
      </w:r>
      <w:r>
        <w:rPr>
          <w:rFonts w:hint="eastAsia" w:asciiTheme="minorEastAsia" w:hAnsiTheme="minorEastAsia" w:eastAsiaTheme="minorEastAsia"/>
          <w:sz w:val="24"/>
          <w:szCs w:val="24"/>
          <w:highlight w:val="none"/>
          <w:lang w:eastAsia="zh-CN"/>
        </w:rPr>
        <w:t>表</w:t>
      </w:r>
    </w:p>
    <w:p>
      <w:pPr>
        <w:snapToGrid w:val="0"/>
        <w:spacing w:line="312" w:lineRule="auto"/>
        <w:ind w:firstLine="480" w:firstLineChars="200"/>
        <w:outlineLvl w:val="9"/>
        <w:rPr>
          <w:rFonts w:hint="eastAsia" w:asciiTheme="minorEastAsia" w:hAnsiTheme="minorEastAsia" w:eastAsiaTheme="minorEastAsia"/>
          <w:sz w:val="24"/>
          <w:szCs w:val="24"/>
          <w:highlight w:val="none"/>
          <w:lang w:eastAsia="zh-CN"/>
        </w:rPr>
      </w:pPr>
    </w:p>
    <w:p>
      <w:pPr>
        <w:snapToGrid w:val="0"/>
        <w:spacing w:line="312" w:lineRule="auto"/>
        <w:ind w:firstLine="480" w:firstLineChars="200"/>
        <w:outlineLvl w:val="9"/>
        <w:rPr>
          <w:rFonts w:hint="eastAsia" w:asciiTheme="minorEastAsia" w:hAnsiTheme="minorEastAsia" w:eastAsiaTheme="minorEastAsia"/>
          <w:sz w:val="24"/>
          <w:szCs w:val="24"/>
          <w:highlight w:val="none"/>
          <w:lang w:eastAsia="zh-CN"/>
        </w:rPr>
      </w:pPr>
    </w:p>
    <w:p>
      <w:pPr>
        <w:snapToGrid w:val="0"/>
        <w:spacing w:line="312" w:lineRule="auto"/>
        <w:ind w:firstLine="480" w:firstLineChars="200"/>
        <w:outlineLvl w:val="9"/>
        <w:rPr>
          <w:rFonts w:hint="eastAsia" w:asciiTheme="minorEastAsia" w:hAnsiTheme="minorEastAsia" w:eastAsiaTheme="minorEastAsia"/>
          <w:sz w:val="24"/>
          <w:szCs w:val="24"/>
          <w:highlight w:val="none"/>
          <w:lang w:eastAsia="zh-CN"/>
        </w:rPr>
      </w:pPr>
    </w:p>
    <w:p>
      <w:pPr>
        <w:spacing w:line="360" w:lineRule="auto"/>
        <w:jc w:val="center"/>
        <w:outlineLvl w:val="9"/>
        <w:rPr>
          <w:rFonts w:ascii="宋体" w:hAnsi="宋体"/>
          <w:b/>
          <w:sz w:val="28"/>
          <w:szCs w:val="28"/>
          <w:highlight w:val="none"/>
        </w:rPr>
      </w:pPr>
      <w:r>
        <w:rPr>
          <w:rFonts w:hint="eastAsia" w:ascii="宋体" w:hAnsi="宋体"/>
          <w:b/>
          <w:sz w:val="28"/>
          <w:szCs w:val="28"/>
          <w:highlight w:val="none"/>
        </w:rPr>
        <w:t>500kV</w:t>
      </w:r>
      <w:r>
        <w:rPr>
          <w:rFonts w:hint="eastAsia" w:ascii="宋体" w:hAnsi="宋体"/>
          <w:b/>
          <w:sz w:val="28"/>
          <w:szCs w:val="28"/>
          <w:highlight w:val="none"/>
          <w:lang w:eastAsia="zh-CN"/>
        </w:rPr>
        <w:t>黎平</w:t>
      </w:r>
      <w:r>
        <w:rPr>
          <w:rFonts w:hint="eastAsia" w:ascii="宋体" w:hAnsi="宋体"/>
          <w:b/>
          <w:sz w:val="28"/>
          <w:szCs w:val="28"/>
          <w:highlight w:val="none"/>
        </w:rPr>
        <w:t>变电站</w:t>
      </w:r>
      <w:r>
        <w:rPr>
          <w:rFonts w:hint="eastAsia" w:ascii="宋体" w:hAnsi="宋体"/>
          <w:b/>
          <w:sz w:val="28"/>
          <w:szCs w:val="28"/>
          <w:highlight w:val="none"/>
          <w:lang w:val="en-US" w:eastAsia="zh-CN"/>
        </w:rPr>
        <w:t>35kV 314</w:t>
      </w:r>
      <w:r>
        <w:rPr>
          <w:rFonts w:hint="eastAsia" w:ascii="宋体" w:hAnsi="宋体"/>
          <w:b/>
          <w:sz w:val="28"/>
          <w:szCs w:val="28"/>
          <w:highlight w:val="none"/>
          <w:lang w:eastAsia="zh-CN"/>
        </w:rPr>
        <w:t>断路器</w:t>
      </w:r>
      <w:r>
        <w:rPr>
          <w:rFonts w:hint="eastAsia" w:ascii="宋体" w:hAnsi="宋体"/>
          <w:b/>
          <w:sz w:val="28"/>
          <w:szCs w:val="28"/>
          <w:highlight w:val="none"/>
          <w:lang w:val="en-US" w:eastAsia="zh-CN"/>
        </w:rPr>
        <w:t>灭弧室大修工</w:t>
      </w:r>
      <w:r>
        <w:rPr>
          <w:rFonts w:ascii="宋体" w:hAnsi="宋体"/>
          <w:b/>
          <w:sz w:val="28"/>
          <w:szCs w:val="28"/>
          <w:highlight w:val="none"/>
        </w:rPr>
        <w:t>程量明细表</w:t>
      </w:r>
    </w:p>
    <w:tbl>
      <w:tblPr>
        <w:tblStyle w:val="42"/>
        <w:tblW w:w="8453" w:type="dxa"/>
        <w:jc w:val="center"/>
        <w:tblInd w:w="-2145" w:type="dxa"/>
        <w:tblLayout w:type="fixed"/>
        <w:tblCellMar>
          <w:top w:w="0" w:type="dxa"/>
          <w:left w:w="108" w:type="dxa"/>
          <w:bottom w:w="0" w:type="dxa"/>
          <w:right w:w="108" w:type="dxa"/>
        </w:tblCellMar>
      </w:tblPr>
      <w:tblGrid>
        <w:gridCol w:w="652"/>
        <w:gridCol w:w="2126"/>
        <w:gridCol w:w="5675"/>
      </w:tblGrid>
      <w:tr>
        <w:tblPrEx>
          <w:tblLayout w:type="fixed"/>
          <w:tblCellMar>
            <w:top w:w="0" w:type="dxa"/>
            <w:left w:w="108" w:type="dxa"/>
            <w:bottom w:w="0" w:type="dxa"/>
            <w:right w:w="108" w:type="dxa"/>
          </w:tblCellMar>
        </w:tblPrEx>
        <w:trPr>
          <w:trHeight w:val="144" w:hRule="atLeast"/>
          <w:tblHeader/>
          <w:jc w:val="center"/>
        </w:trPr>
        <w:tc>
          <w:tcPr>
            <w:tcW w:w="652" w:type="dxa"/>
            <w:tcBorders>
              <w:top w:val="single" w:color="auto" w:sz="4" w:space="0"/>
              <w:left w:val="single" w:color="auto" w:sz="4" w:space="0"/>
              <w:bottom w:val="single" w:color="auto" w:sz="4" w:space="0"/>
              <w:right w:val="single" w:color="auto" w:sz="4" w:space="0"/>
            </w:tcBorders>
            <w:vAlign w:val="center"/>
          </w:tcPr>
          <w:p>
            <w:pPr>
              <w:spacing w:line="360" w:lineRule="auto"/>
              <w:ind w:left="0" w:leftChars="0" w:firstLine="0" w:firstLineChars="0"/>
              <w:jc w:val="center"/>
              <w:outlineLvl w:val="9"/>
              <w:rPr>
                <w:rFonts w:hint="eastAsia" w:asciiTheme="minorEastAsia" w:hAnsiTheme="minorEastAsia" w:eastAsiaTheme="minorEastAsia" w:cstheme="minorEastAsia"/>
                <w:b w:val="0"/>
                <w:bCs/>
                <w:sz w:val="18"/>
                <w:szCs w:val="18"/>
                <w:highlight w:val="none"/>
              </w:rPr>
            </w:pPr>
            <w:r>
              <w:rPr>
                <w:rFonts w:hint="eastAsia" w:asciiTheme="minorEastAsia" w:hAnsiTheme="minorEastAsia" w:eastAsiaTheme="minorEastAsia" w:cstheme="minorEastAsia"/>
                <w:b w:val="0"/>
                <w:bCs/>
                <w:sz w:val="18"/>
                <w:szCs w:val="18"/>
                <w:highlight w:val="none"/>
              </w:rPr>
              <w:t>序号</w:t>
            </w:r>
          </w:p>
        </w:tc>
        <w:tc>
          <w:tcPr>
            <w:tcW w:w="2126" w:type="dxa"/>
            <w:tcBorders>
              <w:top w:val="single" w:color="auto" w:sz="4" w:space="0"/>
              <w:left w:val="single" w:color="auto" w:sz="4" w:space="0"/>
              <w:bottom w:val="single" w:color="auto" w:sz="4" w:space="0"/>
              <w:right w:val="single" w:color="auto" w:sz="4" w:space="0"/>
            </w:tcBorders>
            <w:vAlign w:val="center"/>
          </w:tcPr>
          <w:p>
            <w:pPr>
              <w:spacing w:line="360" w:lineRule="auto"/>
              <w:ind w:left="0" w:leftChars="0" w:firstLine="0" w:firstLineChars="0"/>
              <w:jc w:val="center"/>
              <w:outlineLvl w:val="9"/>
              <w:rPr>
                <w:rFonts w:hint="eastAsia" w:asciiTheme="minorEastAsia" w:hAnsiTheme="minorEastAsia" w:eastAsiaTheme="minorEastAsia" w:cstheme="minorEastAsia"/>
                <w:b w:val="0"/>
                <w:bCs/>
                <w:sz w:val="18"/>
                <w:szCs w:val="18"/>
                <w:highlight w:val="none"/>
              </w:rPr>
            </w:pPr>
            <w:r>
              <w:rPr>
                <w:rFonts w:hint="eastAsia" w:asciiTheme="minorEastAsia" w:hAnsiTheme="minorEastAsia" w:eastAsiaTheme="minorEastAsia" w:cstheme="minorEastAsia"/>
                <w:b w:val="0"/>
                <w:bCs/>
                <w:sz w:val="18"/>
                <w:szCs w:val="18"/>
                <w:highlight w:val="none"/>
              </w:rPr>
              <w:t>检修项目</w:t>
            </w:r>
          </w:p>
        </w:tc>
        <w:tc>
          <w:tcPr>
            <w:tcW w:w="5675" w:type="dxa"/>
            <w:tcBorders>
              <w:top w:val="single" w:color="auto" w:sz="4" w:space="0"/>
              <w:left w:val="single" w:color="auto" w:sz="4" w:space="0"/>
              <w:bottom w:val="single" w:color="auto" w:sz="4" w:space="0"/>
              <w:right w:val="single" w:color="auto" w:sz="4" w:space="0"/>
            </w:tcBorders>
            <w:tcMar>
              <w:top w:w="57" w:type="dxa"/>
              <w:left w:w="85" w:type="dxa"/>
              <w:bottom w:w="57" w:type="dxa"/>
              <w:right w:w="85" w:type="dxa"/>
            </w:tcMar>
            <w:vAlign w:val="center"/>
          </w:tcPr>
          <w:p>
            <w:pPr>
              <w:spacing w:line="360" w:lineRule="auto"/>
              <w:ind w:left="0" w:leftChars="0" w:firstLine="0" w:firstLineChars="0"/>
              <w:jc w:val="center"/>
              <w:outlineLvl w:val="9"/>
              <w:rPr>
                <w:rFonts w:hint="eastAsia" w:asciiTheme="minorEastAsia" w:hAnsiTheme="minorEastAsia" w:eastAsiaTheme="minorEastAsia" w:cstheme="minorEastAsia"/>
                <w:b w:val="0"/>
                <w:bCs/>
                <w:sz w:val="18"/>
                <w:szCs w:val="18"/>
                <w:highlight w:val="none"/>
              </w:rPr>
            </w:pPr>
            <w:r>
              <w:rPr>
                <w:rFonts w:hint="eastAsia" w:asciiTheme="minorEastAsia" w:hAnsiTheme="minorEastAsia" w:eastAsiaTheme="minorEastAsia" w:cstheme="minorEastAsia"/>
                <w:b w:val="0"/>
                <w:bCs/>
                <w:sz w:val="18"/>
                <w:szCs w:val="18"/>
                <w:highlight w:val="none"/>
              </w:rPr>
              <w:t>检修要求</w:t>
            </w:r>
          </w:p>
        </w:tc>
      </w:tr>
      <w:tr>
        <w:tblPrEx>
          <w:tblLayout w:type="fixed"/>
          <w:tblCellMar>
            <w:top w:w="0" w:type="dxa"/>
            <w:left w:w="108" w:type="dxa"/>
            <w:bottom w:w="0" w:type="dxa"/>
            <w:right w:w="108" w:type="dxa"/>
          </w:tblCellMar>
        </w:tblPrEx>
        <w:trPr>
          <w:trHeight w:val="888" w:hRule="atLeast"/>
          <w:jc w:val="center"/>
        </w:trPr>
        <w:tc>
          <w:tcPr>
            <w:tcW w:w="652" w:type="dxa"/>
            <w:tcBorders>
              <w:top w:val="single" w:color="auto" w:sz="4" w:space="0"/>
              <w:left w:val="single" w:color="auto" w:sz="4" w:space="0"/>
              <w:bottom w:val="single" w:color="auto" w:sz="4" w:space="0"/>
              <w:right w:val="single" w:color="auto" w:sz="4" w:space="0"/>
            </w:tcBorders>
            <w:vAlign w:val="center"/>
          </w:tcPr>
          <w:p>
            <w:pPr>
              <w:spacing w:line="360" w:lineRule="auto"/>
              <w:ind w:left="0" w:leftChars="0" w:firstLine="0" w:firstLineChars="0"/>
              <w:jc w:val="both"/>
              <w:outlineLvl w:val="9"/>
              <w:rPr>
                <w:rFonts w:hint="eastAsia" w:asciiTheme="minorEastAsia" w:hAnsiTheme="minorEastAsia" w:eastAsiaTheme="minorEastAsia" w:cstheme="minorEastAsia"/>
                <w:b w:val="0"/>
                <w:bCs/>
                <w:sz w:val="18"/>
                <w:szCs w:val="18"/>
                <w:highlight w:val="none"/>
                <w:lang w:eastAsia="zh-CN"/>
              </w:rPr>
            </w:pPr>
            <w:r>
              <w:rPr>
                <w:rFonts w:hint="eastAsia" w:asciiTheme="minorEastAsia" w:hAnsiTheme="minorEastAsia" w:eastAsiaTheme="minorEastAsia" w:cstheme="minorEastAsia"/>
                <w:b w:val="0"/>
                <w:bCs/>
                <w:sz w:val="18"/>
                <w:szCs w:val="18"/>
                <w:highlight w:val="none"/>
                <w:lang w:val="en-US" w:eastAsia="zh-CN"/>
              </w:rPr>
              <w:t>1</w:t>
            </w:r>
          </w:p>
        </w:tc>
        <w:tc>
          <w:tcPr>
            <w:tcW w:w="2126" w:type="dxa"/>
            <w:tcBorders>
              <w:top w:val="single" w:color="auto" w:sz="4" w:space="0"/>
              <w:left w:val="single" w:color="auto" w:sz="4" w:space="0"/>
              <w:bottom w:val="single" w:color="auto" w:sz="4" w:space="0"/>
              <w:right w:val="single" w:color="auto" w:sz="4" w:space="0"/>
            </w:tcBorders>
            <w:vAlign w:val="center"/>
          </w:tcPr>
          <w:p>
            <w:pPr>
              <w:spacing w:line="360" w:lineRule="auto"/>
              <w:ind w:left="0" w:leftChars="0" w:firstLine="0" w:firstLineChars="0"/>
              <w:jc w:val="both"/>
              <w:outlineLvl w:val="9"/>
              <w:rPr>
                <w:rFonts w:hint="eastAsia" w:asciiTheme="minorEastAsia" w:hAnsiTheme="minorEastAsia" w:eastAsiaTheme="minorEastAsia" w:cstheme="minorEastAsia"/>
                <w:b w:val="0"/>
                <w:bCs/>
                <w:sz w:val="18"/>
                <w:szCs w:val="18"/>
                <w:highlight w:val="none"/>
              </w:rPr>
            </w:pPr>
            <w:r>
              <w:rPr>
                <w:rFonts w:hint="eastAsia" w:asciiTheme="minorEastAsia" w:hAnsiTheme="minorEastAsia" w:eastAsiaTheme="minorEastAsia" w:cstheme="minorEastAsia"/>
                <w:b w:val="0"/>
                <w:bCs/>
                <w:sz w:val="18"/>
                <w:szCs w:val="18"/>
                <w:highlight w:val="none"/>
              </w:rPr>
              <w:t>灭弧室现场拆卸</w:t>
            </w:r>
          </w:p>
        </w:tc>
        <w:tc>
          <w:tcPr>
            <w:tcW w:w="5675" w:type="dxa"/>
            <w:tcBorders>
              <w:top w:val="single" w:color="auto" w:sz="4" w:space="0"/>
              <w:left w:val="single" w:color="auto" w:sz="4" w:space="0"/>
              <w:bottom w:val="single" w:color="auto" w:sz="4" w:space="0"/>
              <w:right w:val="single" w:color="auto" w:sz="4" w:space="0"/>
            </w:tcBorders>
            <w:tcMar>
              <w:top w:w="57" w:type="dxa"/>
              <w:left w:w="85" w:type="dxa"/>
              <w:bottom w:w="57" w:type="dxa"/>
              <w:right w:w="85" w:type="dxa"/>
            </w:tcMar>
            <w:vAlign w:val="center"/>
          </w:tcPr>
          <w:p>
            <w:pPr>
              <w:spacing w:line="360" w:lineRule="auto"/>
              <w:ind w:left="0" w:leftChars="0" w:firstLine="0" w:firstLineChars="0"/>
              <w:jc w:val="both"/>
              <w:outlineLvl w:val="9"/>
              <w:rPr>
                <w:rFonts w:hint="eastAsia" w:asciiTheme="minorEastAsia" w:hAnsiTheme="minorEastAsia" w:eastAsiaTheme="minorEastAsia" w:cstheme="minorEastAsia"/>
                <w:b w:val="0"/>
                <w:bCs/>
                <w:sz w:val="18"/>
                <w:szCs w:val="18"/>
                <w:highlight w:val="none"/>
              </w:rPr>
            </w:pPr>
            <w:r>
              <w:rPr>
                <w:rFonts w:hint="eastAsia" w:asciiTheme="minorEastAsia" w:hAnsiTheme="minorEastAsia" w:eastAsiaTheme="minorEastAsia" w:cstheme="minorEastAsia"/>
                <w:b w:val="0"/>
                <w:bCs/>
                <w:sz w:val="18"/>
                <w:szCs w:val="18"/>
                <w:highlight w:val="none"/>
              </w:rPr>
              <w:t>施工单位负责现场拆卸灭弧室，</w:t>
            </w:r>
            <w:r>
              <w:rPr>
                <w:rFonts w:hint="eastAsia" w:asciiTheme="minorEastAsia" w:hAnsiTheme="minorEastAsia" w:eastAsiaTheme="minorEastAsia" w:cstheme="minorEastAsia"/>
                <w:b w:val="0"/>
                <w:bCs/>
                <w:sz w:val="18"/>
                <w:szCs w:val="18"/>
                <w:highlight w:val="none"/>
                <w:lang w:eastAsia="zh-CN"/>
              </w:rPr>
              <w:t>投标方</w:t>
            </w:r>
            <w:r>
              <w:rPr>
                <w:rFonts w:hint="eastAsia" w:asciiTheme="minorEastAsia" w:hAnsiTheme="minorEastAsia" w:eastAsiaTheme="minorEastAsia" w:cstheme="minorEastAsia"/>
                <w:b w:val="0"/>
                <w:bCs/>
                <w:sz w:val="18"/>
                <w:szCs w:val="18"/>
                <w:highlight w:val="none"/>
              </w:rPr>
              <w:t>进行技术指导，根据3AP1FG型</w:t>
            </w:r>
            <w:r>
              <w:rPr>
                <w:rFonts w:hint="eastAsia" w:asciiTheme="minorEastAsia" w:hAnsiTheme="minorEastAsia" w:eastAsiaTheme="minorEastAsia" w:cstheme="minorEastAsia"/>
                <w:b w:val="0"/>
                <w:bCs/>
                <w:sz w:val="18"/>
                <w:szCs w:val="18"/>
                <w:highlight w:val="none"/>
                <w:lang w:eastAsia="zh-CN"/>
              </w:rPr>
              <w:t>断路器</w:t>
            </w:r>
            <w:r>
              <w:rPr>
                <w:rFonts w:hint="eastAsia" w:asciiTheme="minorEastAsia" w:hAnsiTheme="minorEastAsia" w:eastAsiaTheme="minorEastAsia" w:cstheme="minorEastAsia"/>
                <w:b w:val="0"/>
                <w:bCs/>
                <w:sz w:val="18"/>
                <w:szCs w:val="18"/>
                <w:highlight w:val="none"/>
              </w:rPr>
              <w:t>返修技术规范要求进行拆卸，做好密封措施。</w:t>
            </w:r>
          </w:p>
        </w:tc>
      </w:tr>
      <w:tr>
        <w:tblPrEx>
          <w:tblLayout w:type="fixed"/>
          <w:tblCellMar>
            <w:top w:w="0" w:type="dxa"/>
            <w:left w:w="108" w:type="dxa"/>
            <w:bottom w:w="0" w:type="dxa"/>
            <w:right w:w="108" w:type="dxa"/>
          </w:tblCellMar>
        </w:tblPrEx>
        <w:trPr>
          <w:trHeight w:val="601" w:hRule="atLeast"/>
          <w:jc w:val="center"/>
        </w:trPr>
        <w:tc>
          <w:tcPr>
            <w:tcW w:w="652" w:type="dxa"/>
            <w:tcBorders>
              <w:top w:val="single" w:color="auto" w:sz="4" w:space="0"/>
              <w:left w:val="single" w:color="auto" w:sz="4" w:space="0"/>
              <w:bottom w:val="single" w:color="auto" w:sz="4" w:space="0"/>
              <w:right w:val="single" w:color="auto" w:sz="4" w:space="0"/>
            </w:tcBorders>
            <w:vAlign w:val="center"/>
          </w:tcPr>
          <w:p>
            <w:pPr>
              <w:spacing w:line="360" w:lineRule="auto"/>
              <w:ind w:left="0" w:leftChars="0" w:firstLine="0" w:firstLineChars="0"/>
              <w:jc w:val="both"/>
              <w:outlineLvl w:val="9"/>
              <w:rPr>
                <w:rFonts w:hint="eastAsia" w:asciiTheme="minorEastAsia" w:hAnsiTheme="minorEastAsia" w:eastAsiaTheme="minorEastAsia" w:cstheme="minorEastAsia"/>
                <w:b w:val="0"/>
                <w:bCs/>
                <w:sz w:val="18"/>
                <w:szCs w:val="18"/>
                <w:highlight w:val="none"/>
                <w:lang w:val="en-US" w:eastAsia="zh-CN"/>
              </w:rPr>
            </w:pPr>
            <w:r>
              <w:rPr>
                <w:rFonts w:hint="eastAsia" w:asciiTheme="minorEastAsia" w:hAnsiTheme="minorEastAsia" w:eastAsiaTheme="minorEastAsia" w:cstheme="minorEastAsia"/>
                <w:b w:val="0"/>
                <w:bCs/>
                <w:sz w:val="18"/>
                <w:szCs w:val="18"/>
                <w:highlight w:val="none"/>
                <w:lang w:val="en-US" w:eastAsia="zh-CN"/>
              </w:rPr>
              <w:t>2</w:t>
            </w:r>
          </w:p>
        </w:tc>
        <w:tc>
          <w:tcPr>
            <w:tcW w:w="2126" w:type="dxa"/>
            <w:tcBorders>
              <w:top w:val="single" w:color="auto" w:sz="4" w:space="0"/>
              <w:left w:val="single" w:color="auto" w:sz="4" w:space="0"/>
              <w:bottom w:val="single" w:color="auto" w:sz="4" w:space="0"/>
              <w:right w:val="single" w:color="auto" w:sz="4" w:space="0"/>
            </w:tcBorders>
            <w:vAlign w:val="center"/>
          </w:tcPr>
          <w:p>
            <w:pPr>
              <w:spacing w:line="360" w:lineRule="auto"/>
              <w:ind w:left="0" w:leftChars="0" w:firstLine="0" w:firstLineChars="0"/>
              <w:jc w:val="both"/>
              <w:outlineLvl w:val="9"/>
              <w:rPr>
                <w:rFonts w:hint="eastAsia" w:asciiTheme="minorEastAsia" w:hAnsiTheme="minorEastAsia" w:eastAsiaTheme="minorEastAsia" w:cstheme="minorEastAsia"/>
                <w:b w:val="0"/>
                <w:bCs/>
                <w:sz w:val="18"/>
                <w:szCs w:val="18"/>
                <w:highlight w:val="none"/>
                <w:lang w:eastAsia="zh-CN"/>
              </w:rPr>
            </w:pPr>
            <w:r>
              <w:rPr>
                <w:rFonts w:hint="eastAsia" w:asciiTheme="minorEastAsia" w:hAnsiTheme="minorEastAsia" w:eastAsiaTheme="minorEastAsia" w:cstheme="minorEastAsia"/>
                <w:b w:val="0"/>
                <w:bCs/>
                <w:sz w:val="18"/>
                <w:szCs w:val="18"/>
                <w:highlight w:val="none"/>
                <w:lang w:eastAsia="zh-CN"/>
              </w:rPr>
              <w:t>灭弧室返厂运输</w:t>
            </w:r>
          </w:p>
        </w:tc>
        <w:tc>
          <w:tcPr>
            <w:tcW w:w="5675" w:type="dxa"/>
            <w:tcBorders>
              <w:top w:val="single" w:color="auto" w:sz="4" w:space="0"/>
              <w:left w:val="single" w:color="auto" w:sz="4" w:space="0"/>
              <w:bottom w:val="single" w:color="auto" w:sz="4" w:space="0"/>
              <w:right w:val="single" w:color="auto" w:sz="4" w:space="0"/>
            </w:tcBorders>
            <w:tcMar>
              <w:top w:w="57" w:type="dxa"/>
              <w:left w:w="85" w:type="dxa"/>
              <w:bottom w:w="57" w:type="dxa"/>
              <w:right w:w="85" w:type="dxa"/>
            </w:tcMar>
            <w:vAlign w:val="center"/>
          </w:tcPr>
          <w:p>
            <w:pPr>
              <w:spacing w:line="360" w:lineRule="auto"/>
              <w:ind w:left="0" w:leftChars="0" w:firstLine="0" w:firstLineChars="0"/>
              <w:jc w:val="both"/>
              <w:outlineLvl w:val="9"/>
              <w:rPr>
                <w:rFonts w:hint="eastAsia" w:asciiTheme="minorEastAsia" w:hAnsiTheme="minorEastAsia" w:eastAsiaTheme="minorEastAsia" w:cstheme="minorEastAsia"/>
                <w:b w:val="0"/>
                <w:bCs/>
                <w:sz w:val="18"/>
                <w:szCs w:val="18"/>
                <w:highlight w:val="none"/>
                <w:lang w:eastAsia="zh-CN"/>
              </w:rPr>
            </w:pPr>
            <w:r>
              <w:rPr>
                <w:rFonts w:hint="eastAsia" w:asciiTheme="minorEastAsia" w:hAnsiTheme="minorEastAsia" w:eastAsiaTheme="minorEastAsia" w:cstheme="minorEastAsia"/>
                <w:b w:val="0"/>
                <w:bCs/>
                <w:sz w:val="18"/>
                <w:szCs w:val="18"/>
                <w:highlight w:val="none"/>
                <w:lang w:eastAsia="zh-CN"/>
              </w:rPr>
              <w:t>投标方负责</w:t>
            </w:r>
            <w:r>
              <w:rPr>
                <w:rFonts w:hint="eastAsia" w:asciiTheme="minorEastAsia" w:hAnsiTheme="minorEastAsia" w:eastAsiaTheme="minorEastAsia" w:cstheme="minorEastAsia"/>
                <w:b w:val="0"/>
                <w:bCs/>
                <w:sz w:val="18"/>
                <w:szCs w:val="18"/>
                <w:highlight w:val="none"/>
              </w:rPr>
              <w:t>3AP1FG型</w:t>
            </w:r>
            <w:r>
              <w:rPr>
                <w:rFonts w:hint="eastAsia" w:asciiTheme="minorEastAsia" w:hAnsiTheme="minorEastAsia" w:eastAsiaTheme="minorEastAsia" w:cstheme="minorEastAsia"/>
                <w:b w:val="0"/>
                <w:bCs/>
                <w:sz w:val="18"/>
                <w:szCs w:val="18"/>
                <w:highlight w:val="none"/>
                <w:lang w:eastAsia="zh-CN"/>
              </w:rPr>
              <w:t>断路器返厂运输。</w:t>
            </w:r>
          </w:p>
        </w:tc>
      </w:tr>
      <w:tr>
        <w:tblPrEx>
          <w:tblLayout w:type="fixed"/>
          <w:tblCellMar>
            <w:top w:w="0" w:type="dxa"/>
            <w:left w:w="108" w:type="dxa"/>
            <w:bottom w:w="0" w:type="dxa"/>
            <w:right w:w="108" w:type="dxa"/>
          </w:tblCellMar>
        </w:tblPrEx>
        <w:trPr>
          <w:trHeight w:val="888" w:hRule="atLeast"/>
          <w:jc w:val="center"/>
        </w:trPr>
        <w:tc>
          <w:tcPr>
            <w:tcW w:w="652" w:type="dxa"/>
            <w:tcBorders>
              <w:top w:val="single" w:color="auto" w:sz="4" w:space="0"/>
              <w:left w:val="single" w:color="auto" w:sz="4" w:space="0"/>
              <w:bottom w:val="single" w:color="auto" w:sz="4" w:space="0"/>
              <w:right w:val="single" w:color="auto" w:sz="4" w:space="0"/>
            </w:tcBorders>
            <w:vAlign w:val="center"/>
          </w:tcPr>
          <w:p>
            <w:pPr>
              <w:spacing w:line="360" w:lineRule="auto"/>
              <w:ind w:left="0" w:leftChars="0" w:firstLine="0" w:firstLineChars="0"/>
              <w:jc w:val="both"/>
              <w:outlineLvl w:val="9"/>
              <w:rPr>
                <w:rFonts w:hint="eastAsia" w:asciiTheme="minorEastAsia" w:hAnsiTheme="minorEastAsia" w:eastAsiaTheme="minorEastAsia" w:cstheme="minorEastAsia"/>
                <w:b w:val="0"/>
                <w:bCs/>
                <w:sz w:val="18"/>
                <w:szCs w:val="18"/>
                <w:highlight w:val="none"/>
                <w:lang w:eastAsia="zh-CN"/>
              </w:rPr>
            </w:pPr>
            <w:r>
              <w:rPr>
                <w:rFonts w:hint="eastAsia" w:asciiTheme="minorEastAsia" w:hAnsiTheme="minorEastAsia" w:eastAsiaTheme="minorEastAsia" w:cstheme="minorEastAsia"/>
                <w:b w:val="0"/>
                <w:bCs/>
                <w:sz w:val="18"/>
                <w:szCs w:val="18"/>
                <w:highlight w:val="none"/>
                <w:lang w:val="en-US" w:eastAsia="zh-CN"/>
              </w:rPr>
              <w:t>3</w:t>
            </w:r>
          </w:p>
        </w:tc>
        <w:tc>
          <w:tcPr>
            <w:tcW w:w="2126" w:type="dxa"/>
            <w:tcBorders>
              <w:top w:val="single" w:color="auto" w:sz="4" w:space="0"/>
              <w:left w:val="single" w:color="auto" w:sz="4" w:space="0"/>
              <w:bottom w:val="single" w:color="auto" w:sz="4" w:space="0"/>
              <w:right w:val="single" w:color="auto" w:sz="4" w:space="0"/>
            </w:tcBorders>
            <w:vAlign w:val="center"/>
          </w:tcPr>
          <w:p>
            <w:pPr>
              <w:spacing w:line="360" w:lineRule="auto"/>
              <w:ind w:left="0" w:leftChars="0" w:firstLine="0" w:firstLineChars="0"/>
              <w:jc w:val="both"/>
              <w:outlineLvl w:val="9"/>
              <w:rPr>
                <w:rFonts w:hint="eastAsia" w:asciiTheme="minorEastAsia" w:hAnsiTheme="minorEastAsia" w:eastAsiaTheme="minorEastAsia" w:cstheme="minorEastAsia"/>
                <w:b w:val="0"/>
                <w:bCs/>
                <w:sz w:val="18"/>
                <w:szCs w:val="18"/>
                <w:highlight w:val="none"/>
              </w:rPr>
            </w:pPr>
            <w:r>
              <w:rPr>
                <w:rFonts w:hint="eastAsia" w:asciiTheme="minorEastAsia" w:hAnsiTheme="minorEastAsia" w:eastAsiaTheme="minorEastAsia" w:cstheme="minorEastAsia"/>
                <w:b w:val="0"/>
                <w:bCs/>
                <w:sz w:val="18"/>
                <w:szCs w:val="18"/>
                <w:highlight w:val="none"/>
              </w:rPr>
              <w:t>灭弧室厂内解体大修</w:t>
            </w:r>
          </w:p>
        </w:tc>
        <w:tc>
          <w:tcPr>
            <w:tcW w:w="5675" w:type="dxa"/>
            <w:tcBorders>
              <w:top w:val="single" w:color="auto" w:sz="4" w:space="0"/>
              <w:left w:val="single" w:color="auto" w:sz="4" w:space="0"/>
              <w:bottom w:val="single" w:color="auto" w:sz="4" w:space="0"/>
              <w:right w:val="single" w:color="auto" w:sz="4" w:space="0"/>
            </w:tcBorders>
            <w:tcMar>
              <w:top w:w="57" w:type="dxa"/>
              <w:left w:w="85" w:type="dxa"/>
              <w:bottom w:w="57" w:type="dxa"/>
              <w:right w:w="85" w:type="dxa"/>
            </w:tcMar>
            <w:vAlign w:val="center"/>
          </w:tcPr>
          <w:p>
            <w:pPr>
              <w:spacing w:line="360" w:lineRule="auto"/>
              <w:ind w:left="0" w:leftChars="0" w:firstLine="0" w:firstLineChars="0"/>
              <w:jc w:val="both"/>
              <w:outlineLvl w:val="9"/>
              <w:rPr>
                <w:rFonts w:hint="eastAsia" w:asciiTheme="minorEastAsia" w:hAnsiTheme="minorEastAsia" w:eastAsiaTheme="minorEastAsia" w:cstheme="minorEastAsia"/>
                <w:b w:val="0"/>
                <w:bCs/>
                <w:sz w:val="18"/>
                <w:szCs w:val="18"/>
                <w:highlight w:val="none"/>
              </w:rPr>
            </w:pPr>
            <w:r>
              <w:rPr>
                <w:rFonts w:hint="eastAsia" w:asciiTheme="minorEastAsia" w:hAnsiTheme="minorEastAsia" w:eastAsiaTheme="minorEastAsia" w:cstheme="minorEastAsia"/>
                <w:b w:val="0"/>
                <w:bCs/>
                <w:sz w:val="18"/>
                <w:szCs w:val="18"/>
                <w:highlight w:val="none"/>
              </w:rPr>
              <w:t>1）查找、分析回路电阻超标原因，出具分析报告，提出预防及后续处理措施；</w:t>
            </w:r>
          </w:p>
          <w:p>
            <w:pPr>
              <w:spacing w:line="360" w:lineRule="auto"/>
              <w:ind w:left="0" w:leftChars="0" w:firstLine="0" w:firstLineChars="0"/>
              <w:jc w:val="both"/>
              <w:outlineLvl w:val="9"/>
              <w:rPr>
                <w:rFonts w:hint="eastAsia" w:asciiTheme="minorEastAsia" w:hAnsiTheme="minorEastAsia" w:eastAsiaTheme="minorEastAsia" w:cstheme="minorEastAsia"/>
                <w:b w:val="0"/>
                <w:bCs/>
                <w:sz w:val="18"/>
                <w:szCs w:val="18"/>
                <w:highlight w:val="none"/>
              </w:rPr>
            </w:pPr>
            <w:r>
              <w:rPr>
                <w:rFonts w:hint="eastAsia" w:asciiTheme="minorEastAsia" w:hAnsiTheme="minorEastAsia" w:eastAsiaTheme="minorEastAsia" w:cstheme="minorEastAsia"/>
                <w:b w:val="0"/>
                <w:bCs/>
                <w:sz w:val="18"/>
                <w:szCs w:val="18"/>
                <w:highlight w:val="none"/>
              </w:rPr>
              <w:t>2）按照3AP1FG型</w:t>
            </w:r>
            <w:r>
              <w:rPr>
                <w:rFonts w:hint="eastAsia" w:asciiTheme="minorEastAsia" w:hAnsiTheme="minorEastAsia" w:eastAsiaTheme="minorEastAsia" w:cstheme="minorEastAsia"/>
                <w:b w:val="0"/>
                <w:bCs/>
                <w:sz w:val="18"/>
                <w:szCs w:val="18"/>
                <w:highlight w:val="none"/>
                <w:lang w:eastAsia="zh-CN"/>
              </w:rPr>
              <w:t>断路器</w:t>
            </w:r>
            <w:r>
              <w:rPr>
                <w:rFonts w:hint="eastAsia" w:asciiTheme="minorEastAsia" w:hAnsiTheme="minorEastAsia" w:eastAsiaTheme="minorEastAsia" w:cstheme="minorEastAsia"/>
                <w:b w:val="0"/>
                <w:bCs/>
                <w:sz w:val="18"/>
                <w:szCs w:val="18"/>
                <w:highlight w:val="none"/>
              </w:rPr>
              <w:t>技术规范对灭弧室进行</w:t>
            </w:r>
            <w:r>
              <w:rPr>
                <w:rFonts w:hint="eastAsia" w:asciiTheme="minorEastAsia" w:hAnsiTheme="minorEastAsia" w:eastAsiaTheme="minorEastAsia" w:cstheme="minorEastAsia"/>
                <w:b w:val="0"/>
                <w:bCs/>
                <w:sz w:val="18"/>
                <w:szCs w:val="18"/>
                <w:highlight w:val="none"/>
                <w:lang w:eastAsia="zh-CN"/>
              </w:rPr>
              <w:t>解体大修，更换触头、吸附剂、密封圈等。</w:t>
            </w:r>
          </w:p>
        </w:tc>
      </w:tr>
      <w:tr>
        <w:tblPrEx>
          <w:tblLayout w:type="fixed"/>
          <w:tblCellMar>
            <w:top w:w="0" w:type="dxa"/>
            <w:left w:w="108" w:type="dxa"/>
            <w:bottom w:w="0" w:type="dxa"/>
            <w:right w:w="108" w:type="dxa"/>
          </w:tblCellMar>
        </w:tblPrEx>
        <w:trPr>
          <w:trHeight w:val="596" w:hRule="atLeast"/>
          <w:jc w:val="center"/>
        </w:trPr>
        <w:tc>
          <w:tcPr>
            <w:tcW w:w="652" w:type="dxa"/>
            <w:tcBorders>
              <w:top w:val="single" w:color="auto" w:sz="4" w:space="0"/>
              <w:left w:val="single" w:color="auto" w:sz="4" w:space="0"/>
              <w:bottom w:val="single" w:color="auto" w:sz="4" w:space="0"/>
              <w:right w:val="single" w:color="auto" w:sz="4" w:space="0"/>
            </w:tcBorders>
            <w:vAlign w:val="center"/>
          </w:tcPr>
          <w:p>
            <w:pPr>
              <w:spacing w:line="360" w:lineRule="auto"/>
              <w:ind w:left="0" w:leftChars="0" w:firstLine="0" w:firstLineChars="0"/>
              <w:jc w:val="both"/>
              <w:outlineLvl w:val="9"/>
              <w:rPr>
                <w:rFonts w:hint="eastAsia" w:asciiTheme="minorEastAsia" w:hAnsiTheme="minorEastAsia" w:eastAsiaTheme="minorEastAsia" w:cstheme="minorEastAsia"/>
                <w:b w:val="0"/>
                <w:bCs/>
                <w:sz w:val="18"/>
                <w:szCs w:val="18"/>
                <w:highlight w:val="none"/>
                <w:lang w:eastAsia="zh-CN"/>
              </w:rPr>
            </w:pPr>
            <w:r>
              <w:rPr>
                <w:rFonts w:hint="eastAsia" w:asciiTheme="minorEastAsia" w:hAnsiTheme="minorEastAsia" w:eastAsiaTheme="minorEastAsia" w:cstheme="minorEastAsia"/>
                <w:b w:val="0"/>
                <w:bCs/>
                <w:sz w:val="18"/>
                <w:szCs w:val="18"/>
                <w:highlight w:val="none"/>
                <w:lang w:val="en-US" w:eastAsia="zh-CN"/>
              </w:rPr>
              <w:t>4</w:t>
            </w:r>
          </w:p>
        </w:tc>
        <w:tc>
          <w:tcPr>
            <w:tcW w:w="2126" w:type="dxa"/>
            <w:tcBorders>
              <w:top w:val="single" w:color="auto" w:sz="4" w:space="0"/>
              <w:left w:val="single" w:color="auto" w:sz="4" w:space="0"/>
              <w:bottom w:val="single" w:color="auto" w:sz="4" w:space="0"/>
              <w:right w:val="single" w:color="auto" w:sz="4" w:space="0"/>
            </w:tcBorders>
            <w:vAlign w:val="center"/>
          </w:tcPr>
          <w:p>
            <w:pPr>
              <w:spacing w:line="360" w:lineRule="auto"/>
              <w:ind w:left="0" w:leftChars="0" w:firstLine="0" w:firstLineChars="0"/>
              <w:jc w:val="both"/>
              <w:outlineLvl w:val="9"/>
              <w:rPr>
                <w:rFonts w:hint="eastAsia" w:asciiTheme="minorEastAsia" w:hAnsiTheme="minorEastAsia" w:eastAsiaTheme="minorEastAsia" w:cstheme="minorEastAsia"/>
                <w:b w:val="0"/>
                <w:bCs/>
                <w:sz w:val="18"/>
                <w:szCs w:val="18"/>
                <w:highlight w:val="none"/>
              </w:rPr>
            </w:pPr>
            <w:r>
              <w:rPr>
                <w:rFonts w:hint="eastAsia" w:asciiTheme="minorEastAsia" w:hAnsiTheme="minorEastAsia" w:eastAsiaTheme="minorEastAsia" w:cstheme="minorEastAsia"/>
                <w:b w:val="0"/>
                <w:bCs/>
                <w:sz w:val="18"/>
                <w:szCs w:val="18"/>
                <w:highlight w:val="none"/>
              </w:rPr>
              <w:t>灭弧室出厂试验</w:t>
            </w:r>
          </w:p>
        </w:tc>
        <w:tc>
          <w:tcPr>
            <w:tcW w:w="5675" w:type="dxa"/>
            <w:tcBorders>
              <w:top w:val="single" w:color="auto" w:sz="4" w:space="0"/>
              <w:left w:val="single" w:color="auto" w:sz="4" w:space="0"/>
              <w:bottom w:val="single" w:color="auto" w:sz="4" w:space="0"/>
              <w:right w:val="single" w:color="auto" w:sz="4" w:space="0"/>
            </w:tcBorders>
            <w:tcMar>
              <w:top w:w="57" w:type="dxa"/>
              <w:left w:w="85" w:type="dxa"/>
              <w:bottom w:w="57" w:type="dxa"/>
              <w:right w:w="85" w:type="dxa"/>
            </w:tcMar>
            <w:vAlign w:val="center"/>
          </w:tcPr>
          <w:p>
            <w:pPr>
              <w:spacing w:line="360" w:lineRule="auto"/>
              <w:ind w:left="0" w:leftChars="0" w:firstLine="0" w:firstLineChars="0"/>
              <w:jc w:val="both"/>
              <w:outlineLvl w:val="9"/>
              <w:rPr>
                <w:rFonts w:hint="eastAsia" w:asciiTheme="minorEastAsia" w:hAnsiTheme="minorEastAsia" w:eastAsiaTheme="minorEastAsia" w:cstheme="minorEastAsia"/>
                <w:b w:val="0"/>
                <w:bCs/>
                <w:sz w:val="18"/>
                <w:szCs w:val="18"/>
                <w:highlight w:val="none"/>
              </w:rPr>
            </w:pPr>
            <w:r>
              <w:rPr>
                <w:rFonts w:hint="eastAsia" w:asciiTheme="minorEastAsia" w:hAnsiTheme="minorEastAsia" w:eastAsiaTheme="minorEastAsia" w:cstheme="minorEastAsia"/>
                <w:b w:val="0"/>
                <w:bCs/>
                <w:sz w:val="18"/>
                <w:szCs w:val="18"/>
                <w:highlight w:val="none"/>
              </w:rPr>
              <w:t>按照3AP1FG型</w:t>
            </w:r>
            <w:r>
              <w:rPr>
                <w:rFonts w:hint="eastAsia" w:asciiTheme="minorEastAsia" w:hAnsiTheme="minorEastAsia" w:eastAsiaTheme="minorEastAsia" w:cstheme="minorEastAsia"/>
                <w:b w:val="0"/>
                <w:bCs/>
                <w:sz w:val="18"/>
                <w:szCs w:val="18"/>
                <w:highlight w:val="none"/>
                <w:lang w:eastAsia="zh-CN"/>
              </w:rPr>
              <w:t>断路器</w:t>
            </w:r>
            <w:r>
              <w:rPr>
                <w:rFonts w:hint="eastAsia" w:asciiTheme="minorEastAsia" w:hAnsiTheme="minorEastAsia" w:eastAsiaTheme="minorEastAsia" w:cstheme="minorEastAsia"/>
                <w:b w:val="0"/>
                <w:bCs/>
                <w:sz w:val="18"/>
                <w:szCs w:val="18"/>
                <w:highlight w:val="none"/>
              </w:rPr>
              <w:t>技术规范进行。</w:t>
            </w:r>
          </w:p>
        </w:tc>
      </w:tr>
      <w:tr>
        <w:tblPrEx>
          <w:tblLayout w:type="fixed"/>
          <w:tblCellMar>
            <w:top w:w="0" w:type="dxa"/>
            <w:left w:w="108" w:type="dxa"/>
            <w:bottom w:w="0" w:type="dxa"/>
            <w:right w:w="108" w:type="dxa"/>
          </w:tblCellMar>
        </w:tblPrEx>
        <w:trPr>
          <w:trHeight w:val="888" w:hRule="atLeast"/>
          <w:jc w:val="center"/>
        </w:trPr>
        <w:tc>
          <w:tcPr>
            <w:tcW w:w="652" w:type="dxa"/>
            <w:tcBorders>
              <w:top w:val="single" w:color="auto" w:sz="4" w:space="0"/>
              <w:left w:val="single" w:color="auto" w:sz="4" w:space="0"/>
              <w:bottom w:val="single" w:color="auto" w:sz="4" w:space="0"/>
              <w:right w:val="single" w:color="auto" w:sz="4" w:space="0"/>
            </w:tcBorders>
            <w:vAlign w:val="center"/>
          </w:tcPr>
          <w:p>
            <w:pPr>
              <w:spacing w:line="360" w:lineRule="auto"/>
              <w:ind w:left="0" w:leftChars="0" w:firstLine="0" w:firstLineChars="0"/>
              <w:jc w:val="both"/>
              <w:outlineLvl w:val="9"/>
              <w:rPr>
                <w:rFonts w:hint="eastAsia" w:asciiTheme="minorEastAsia" w:hAnsiTheme="minorEastAsia" w:eastAsiaTheme="minorEastAsia" w:cstheme="minorEastAsia"/>
                <w:b w:val="0"/>
                <w:bCs/>
                <w:sz w:val="18"/>
                <w:szCs w:val="18"/>
                <w:highlight w:val="none"/>
                <w:lang w:eastAsia="zh-CN"/>
              </w:rPr>
            </w:pPr>
            <w:r>
              <w:rPr>
                <w:rFonts w:hint="eastAsia" w:asciiTheme="minorEastAsia" w:hAnsiTheme="minorEastAsia" w:eastAsiaTheme="minorEastAsia" w:cstheme="minorEastAsia"/>
                <w:b w:val="0"/>
                <w:bCs/>
                <w:sz w:val="18"/>
                <w:szCs w:val="18"/>
                <w:highlight w:val="none"/>
                <w:lang w:val="en-US" w:eastAsia="zh-CN"/>
              </w:rPr>
              <w:t>5</w:t>
            </w:r>
          </w:p>
        </w:tc>
        <w:tc>
          <w:tcPr>
            <w:tcW w:w="2126" w:type="dxa"/>
            <w:tcBorders>
              <w:top w:val="single" w:color="auto" w:sz="4" w:space="0"/>
              <w:left w:val="single" w:color="auto" w:sz="4" w:space="0"/>
              <w:bottom w:val="single" w:color="auto" w:sz="4" w:space="0"/>
              <w:right w:val="single" w:color="auto" w:sz="4" w:space="0"/>
            </w:tcBorders>
            <w:vAlign w:val="center"/>
          </w:tcPr>
          <w:p>
            <w:pPr>
              <w:spacing w:line="360" w:lineRule="auto"/>
              <w:ind w:left="0" w:leftChars="0" w:firstLine="0" w:firstLineChars="0"/>
              <w:jc w:val="both"/>
              <w:outlineLvl w:val="9"/>
              <w:rPr>
                <w:rFonts w:hint="eastAsia" w:asciiTheme="minorEastAsia" w:hAnsiTheme="minorEastAsia" w:eastAsiaTheme="minorEastAsia" w:cstheme="minorEastAsia"/>
                <w:b w:val="0"/>
                <w:bCs/>
                <w:sz w:val="18"/>
                <w:szCs w:val="18"/>
                <w:highlight w:val="none"/>
              </w:rPr>
            </w:pPr>
            <w:r>
              <w:rPr>
                <w:rFonts w:hint="eastAsia" w:asciiTheme="minorEastAsia" w:hAnsiTheme="minorEastAsia" w:eastAsiaTheme="minorEastAsia" w:cstheme="minorEastAsia"/>
                <w:b w:val="0"/>
                <w:bCs/>
                <w:sz w:val="18"/>
                <w:szCs w:val="18"/>
                <w:highlight w:val="none"/>
              </w:rPr>
              <w:t>灭弧室现场安装</w:t>
            </w:r>
          </w:p>
        </w:tc>
        <w:tc>
          <w:tcPr>
            <w:tcW w:w="5675" w:type="dxa"/>
            <w:tcBorders>
              <w:top w:val="single" w:color="auto" w:sz="4" w:space="0"/>
              <w:left w:val="single" w:color="auto" w:sz="4" w:space="0"/>
              <w:bottom w:val="single" w:color="auto" w:sz="4" w:space="0"/>
              <w:right w:val="single" w:color="auto" w:sz="4" w:space="0"/>
            </w:tcBorders>
            <w:tcMar>
              <w:top w:w="57" w:type="dxa"/>
              <w:left w:w="85" w:type="dxa"/>
              <w:bottom w:w="57" w:type="dxa"/>
              <w:right w:w="85" w:type="dxa"/>
            </w:tcMar>
            <w:vAlign w:val="center"/>
          </w:tcPr>
          <w:p>
            <w:pPr>
              <w:spacing w:line="360" w:lineRule="auto"/>
              <w:ind w:left="0" w:leftChars="0" w:firstLine="0" w:firstLineChars="0"/>
              <w:jc w:val="both"/>
              <w:outlineLvl w:val="9"/>
              <w:rPr>
                <w:rFonts w:hint="eastAsia" w:asciiTheme="minorEastAsia" w:hAnsiTheme="minorEastAsia" w:eastAsiaTheme="minorEastAsia" w:cstheme="minorEastAsia"/>
                <w:b w:val="0"/>
                <w:bCs/>
                <w:sz w:val="18"/>
                <w:szCs w:val="18"/>
                <w:highlight w:val="none"/>
              </w:rPr>
            </w:pPr>
            <w:r>
              <w:rPr>
                <w:rFonts w:hint="eastAsia" w:asciiTheme="minorEastAsia" w:hAnsiTheme="minorEastAsia" w:eastAsiaTheme="minorEastAsia" w:cstheme="minorEastAsia"/>
                <w:b w:val="0"/>
                <w:bCs/>
                <w:sz w:val="18"/>
                <w:szCs w:val="18"/>
                <w:highlight w:val="none"/>
              </w:rPr>
              <w:t>施工单位负责进行灭弧室现场安装，</w:t>
            </w:r>
            <w:r>
              <w:rPr>
                <w:rFonts w:hint="eastAsia" w:asciiTheme="minorEastAsia" w:hAnsiTheme="minorEastAsia" w:eastAsiaTheme="minorEastAsia" w:cstheme="minorEastAsia"/>
                <w:b w:val="0"/>
                <w:bCs/>
                <w:sz w:val="18"/>
                <w:szCs w:val="18"/>
                <w:highlight w:val="none"/>
                <w:lang w:eastAsia="zh-CN"/>
              </w:rPr>
              <w:t>投标方</w:t>
            </w:r>
            <w:r>
              <w:rPr>
                <w:rFonts w:hint="eastAsia" w:asciiTheme="minorEastAsia" w:hAnsiTheme="minorEastAsia" w:eastAsiaTheme="minorEastAsia" w:cstheme="minorEastAsia"/>
                <w:b w:val="0"/>
                <w:bCs/>
                <w:sz w:val="18"/>
                <w:szCs w:val="18"/>
                <w:highlight w:val="none"/>
              </w:rPr>
              <w:t>提供技术指导，安装工艺符合3AP1FG型</w:t>
            </w:r>
            <w:r>
              <w:rPr>
                <w:rFonts w:hint="eastAsia" w:asciiTheme="minorEastAsia" w:hAnsiTheme="minorEastAsia" w:eastAsiaTheme="minorEastAsia" w:cstheme="minorEastAsia"/>
                <w:b w:val="0"/>
                <w:bCs/>
                <w:sz w:val="18"/>
                <w:szCs w:val="18"/>
                <w:highlight w:val="none"/>
                <w:lang w:eastAsia="zh-CN"/>
              </w:rPr>
              <w:t>断路器</w:t>
            </w:r>
            <w:r>
              <w:rPr>
                <w:rFonts w:hint="eastAsia" w:asciiTheme="minorEastAsia" w:hAnsiTheme="minorEastAsia" w:eastAsiaTheme="minorEastAsia" w:cstheme="minorEastAsia"/>
                <w:b w:val="0"/>
                <w:bCs/>
                <w:sz w:val="18"/>
                <w:szCs w:val="18"/>
                <w:highlight w:val="none"/>
              </w:rPr>
              <w:t>技术规范要求，螺栓按规定力矩紧固并涂覆防水密封胶。</w:t>
            </w:r>
          </w:p>
        </w:tc>
      </w:tr>
      <w:tr>
        <w:tblPrEx>
          <w:tblLayout w:type="fixed"/>
          <w:tblCellMar>
            <w:top w:w="0" w:type="dxa"/>
            <w:left w:w="108" w:type="dxa"/>
            <w:bottom w:w="0" w:type="dxa"/>
            <w:right w:w="108" w:type="dxa"/>
          </w:tblCellMar>
        </w:tblPrEx>
        <w:trPr>
          <w:trHeight w:val="888" w:hRule="atLeast"/>
          <w:jc w:val="center"/>
        </w:trPr>
        <w:tc>
          <w:tcPr>
            <w:tcW w:w="652" w:type="dxa"/>
            <w:tcBorders>
              <w:top w:val="single" w:color="auto" w:sz="4" w:space="0"/>
              <w:left w:val="single" w:color="auto" w:sz="4" w:space="0"/>
              <w:bottom w:val="single" w:color="auto" w:sz="4" w:space="0"/>
              <w:right w:val="single" w:color="auto" w:sz="4" w:space="0"/>
            </w:tcBorders>
            <w:vAlign w:val="center"/>
          </w:tcPr>
          <w:p>
            <w:pPr>
              <w:spacing w:line="360" w:lineRule="auto"/>
              <w:ind w:left="0" w:leftChars="0" w:firstLine="0" w:firstLineChars="0"/>
              <w:jc w:val="both"/>
              <w:outlineLvl w:val="9"/>
              <w:rPr>
                <w:rFonts w:hint="eastAsia" w:asciiTheme="minorEastAsia" w:hAnsiTheme="minorEastAsia" w:eastAsiaTheme="minorEastAsia" w:cstheme="minorEastAsia"/>
                <w:b w:val="0"/>
                <w:bCs/>
                <w:sz w:val="18"/>
                <w:szCs w:val="18"/>
                <w:highlight w:val="none"/>
                <w:lang w:eastAsia="zh-CN"/>
              </w:rPr>
            </w:pPr>
            <w:r>
              <w:rPr>
                <w:rFonts w:hint="eastAsia" w:asciiTheme="minorEastAsia" w:hAnsiTheme="minorEastAsia" w:eastAsiaTheme="minorEastAsia" w:cstheme="minorEastAsia"/>
                <w:b w:val="0"/>
                <w:bCs/>
                <w:sz w:val="18"/>
                <w:szCs w:val="18"/>
                <w:highlight w:val="none"/>
                <w:lang w:val="en-US" w:eastAsia="zh-CN"/>
              </w:rPr>
              <w:t>6</w:t>
            </w:r>
          </w:p>
        </w:tc>
        <w:tc>
          <w:tcPr>
            <w:tcW w:w="2126" w:type="dxa"/>
            <w:tcBorders>
              <w:top w:val="single" w:color="auto" w:sz="4" w:space="0"/>
              <w:left w:val="single" w:color="auto" w:sz="4" w:space="0"/>
              <w:bottom w:val="single" w:color="auto" w:sz="4" w:space="0"/>
              <w:right w:val="single" w:color="auto" w:sz="4" w:space="0"/>
            </w:tcBorders>
            <w:vAlign w:val="center"/>
          </w:tcPr>
          <w:p>
            <w:pPr>
              <w:spacing w:line="360" w:lineRule="auto"/>
              <w:ind w:left="0" w:leftChars="0" w:firstLine="0" w:firstLineChars="0"/>
              <w:jc w:val="both"/>
              <w:outlineLvl w:val="9"/>
              <w:rPr>
                <w:rFonts w:hint="eastAsia" w:asciiTheme="minorEastAsia" w:hAnsiTheme="minorEastAsia" w:eastAsiaTheme="minorEastAsia" w:cstheme="minorEastAsia"/>
                <w:b w:val="0"/>
                <w:bCs/>
                <w:sz w:val="18"/>
                <w:szCs w:val="18"/>
                <w:highlight w:val="none"/>
              </w:rPr>
            </w:pPr>
            <w:r>
              <w:rPr>
                <w:rFonts w:hint="eastAsia" w:asciiTheme="minorEastAsia" w:hAnsiTheme="minorEastAsia" w:eastAsiaTheme="minorEastAsia" w:cstheme="minorEastAsia"/>
                <w:b w:val="0"/>
                <w:bCs/>
                <w:sz w:val="18"/>
                <w:szCs w:val="18"/>
                <w:highlight w:val="none"/>
                <w:lang w:eastAsia="zh-CN"/>
              </w:rPr>
              <w:t>断路器</w:t>
            </w:r>
            <w:r>
              <w:rPr>
                <w:rFonts w:hint="eastAsia" w:asciiTheme="minorEastAsia" w:hAnsiTheme="minorEastAsia" w:eastAsiaTheme="minorEastAsia" w:cstheme="minorEastAsia"/>
                <w:b w:val="0"/>
                <w:bCs/>
                <w:sz w:val="18"/>
                <w:szCs w:val="18"/>
                <w:highlight w:val="none"/>
              </w:rPr>
              <w:t>现场交接试验</w:t>
            </w:r>
          </w:p>
        </w:tc>
        <w:tc>
          <w:tcPr>
            <w:tcW w:w="5675" w:type="dxa"/>
            <w:tcBorders>
              <w:top w:val="single" w:color="auto" w:sz="4" w:space="0"/>
              <w:left w:val="single" w:color="auto" w:sz="4" w:space="0"/>
              <w:bottom w:val="single" w:color="auto" w:sz="4" w:space="0"/>
              <w:right w:val="single" w:color="auto" w:sz="4" w:space="0"/>
            </w:tcBorders>
            <w:tcMar>
              <w:top w:w="57" w:type="dxa"/>
              <w:left w:w="85" w:type="dxa"/>
              <w:bottom w:w="57" w:type="dxa"/>
              <w:right w:w="85" w:type="dxa"/>
            </w:tcMar>
            <w:vAlign w:val="center"/>
          </w:tcPr>
          <w:p>
            <w:pPr>
              <w:spacing w:line="360" w:lineRule="auto"/>
              <w:ind w:left="0" w:leftChars="0" w:firstLine="0" w:firstLineChars="0"/>
              <w:jc w:val="both"/>
              <w:outlineLvl w:val="9"/>
              <w:rPr>
                <w:rFonts w:hint="eastAsia" w:asciiTheme="minorEastAsia" w:hAnsiTheme="minorEastAsia" w:eastAsiaTheme="minorEastAsia" w:cstheme="minorEastAsia"/>
                <w:b w:val="0"/>
                <w:bCs/>
                <w:sz w:val="18"/>
                <w:szCs w:val="18"/>
                <w:highlight w:val="none"/>
              </w:rPr>
            </w:pPr>
            <w:r>
              <w:rPr>
                <w:rFonts w:hint="eastAsia" w:asciiTheme="minorEastAsia" w:hAnsiTheme="minorEastAsia" w:eastAsiaTheme="minorEastAsia" w:cstheme="minorEastAsia"/>
                <w:b w:val="0"/>
                <w:bCs/>
                <w:sz w:val="18"/>
                <w:szCs w:val="18"/>
                <w:highlight w:val="none"/>
              </w:rPr>
              <w:t>1）依据GB50150-2006《电气装置安装工程 电气设备交接试验标准》和杭州西门子高压</w:t>
            </w:r>
            <w:r>
              <w:rPr>
                <w:rFonts w:hint="eastAsia" w:asciiTheme="minorEastAsia" w:hAnsiTheme="minorEastAsia" w:eastAsiaTheme="minorEastAsia" w:cstheme="minorEastAsia"/>
                <w:b w:val="0"/>
                <w:bCs/>
                <w:sz w:val="18"/>
                <w:szCs w:val="18"/>
                <w:highlight w:val="none"/>
                <w:lang w:eastAsia="zh-CN"/>
              </w:rPr>
              <w:t>断路器</w:t>
            </w:r>
            <w:r>
              <w:rPr>
                <w:rFonts w:hint="eastAsia" w:asciiTheme="minorEastAsia" w:hAnsiTheme="minorEastAsia" w:eastAsiaTheme="minorEastAsia" w:cstheme="minorEastAsia"/>
                <w:b w:val="0"/>
                <w:bCs/>
                <w:sz w:val="18"/>
                <w:szCs w:val="18"/>
                <w:highlight w:val="none"/>
              </w:rPr>
              <w:t>有限公司3AP1FG型</w:t>
            </w:r>
            <w:r>
              <w:rPr>
                <w:rFonts w:hint="eastAsia" w:asciiTheme="minorEastAsia" w:hAnsiTheme="minorEastAsia" w:eastAsiaTheme="minorEastAsia" w:cstheme="minorEastAsia"/>
                <w:b w:val="0"/>
                <w:bCs/>
                <w:sz w:val="18"/>
                <w:szCs w:val="18"/>
                <w:highlight w:val="none"/>
                <w:lang w:eastAsia="zh-CN"/>
              </w:rPr>
              <w:t>断路器</w:t>
            </w:r>
            <w:r>
              <w:rPr>
                <w:rFonts w:hint="eastAsia" w:asciiTheme="minorEastAsia" w:hAnsiTheme="minorEastAsia" w:eastAsiaTheme="minorEastAsia" w:cstheme="minorEastAsia"/>
                <w:b w:val="0"/>
                <w:bCs/>
                <w:sz w:val="18"/>
                <w:szCs w:val="18"/>
                <w:highlight w:val="none"/>
              </w:rPr>
              <w:t>技术规范进行交接试验；</w:t>
            </w:r>
          </w:p>
          <w:p>
            <w:pPr>
              <w:spacing w:line="360" w:lineRule="auto"/>
              <w:ind w:left="0" w:leftChars="0" w:firstLine="0" w:firstLineChars="0"/>
              <w:jc w:val="both"/>
              <w:outlineLvl w:val="9"/>
              <w:rPr>
                <w:rFonts w:hint="eastAsia" w:asciiTheme="minorEastAsia" w:hAnsiTheme="minorEastAsia" w:eastAsiaTheme="minorEastAsia" w:cstheme="minorEastAsia"/>
                <w:b w:val="0"/>
                <w:bCs/>
                <w:sz w:val="18"/>
                <w:szCs w:val="18"/>
                <w:highlight w:val="none"/>
              </w:rPr>
            </w:pPr>
            <w:r>
              <w:rPr>
                <w:rFonts w:hint="eastAsia" w:asciiTheme="minorEastAsia" w:hAnsiTheme="minorEastAsia" w:eastAsiaTheme="minorEastAsia" w:cstheme="minorEastAsia"/>
                <w:b w:val="0"/>
                <w:bCs/>
                <w:sz w:val="18"/>
                <w:szCs w:val="18"/>
                <w:highlight w:val="none"/>
                <w:lang w:eastAsia="zh-CN"/>
              </w:rPr>
              <w:t>2）试验结果应符合国家标准GB50150-2016《电气装置安装工程电气设备交接试验标准》和中国南方电网有限责任公司企业标准Q/CSG</w:t>
            </w:r>
            <w:r>
              <w:rPr>
                <w:rFonts w:hint="eastAsia" w:asciiTheme="minorEastAsia" w:hAnsiTheme="minorEastAsia" w:eastAsiaTheme="minorEastAsia" w:cstheme="minorEastAsia"/>
                <w:b w:val="0"/>
                <w:bCs/>
                <w:sz w:val="18"/>
                <w:szCs w:val="18"/>
                <w:highlight w:val="none"/>
                <w:lang w:val="en-US" w:eastAsia="zh-CN"/>
              </w:rPr>
              <w:t>1206007</w:t>
            </w:r>
            <w:r>
              <w:rPr>
                <w:rFonts w:hint="eastAsia" w:asciiTheme="minorEastAsia" w:hAnsiTheme="minorEastAsia" w:eastAsiaTheme="minorEastAsia" w:cstheme="minorEastAsia"/>
                <w:b w:val="0"/>
                <w:bCs/>
                <w:sz w:val="18"/>
                <w:szCs w:val="18"/>
                <w:highlight w:val="none"/>
                <w:lang w:eastAsia="zh-CN"/>
              </w:rPr>
              <w:t xml:space="preserve"> -201</w:t>
            </w:r>
            <w:r>
              <w:rPr>
                <w:rFonts w:hint="eastAsia" w:asciiTheme="minorEastAsia" w:hAnsiTheme="minorEastAsia" w:eastAsiaTheme="minorEastAsia" w:cstheme="minorEastAsia"/>
                <w:b w:val="0"/>
                <w:bCs/>
                <w:sz w:val="18"/>
                <w:szCs w:val="18"/>
                <w:highlight w:val="none"/>
                <w:lang w:val="en-US" w:eastAsia="zh-CN"/>
              </w:rPr>
              <w:t>7</w:t>
            </w:r>
            <w:r>
              <w:rPr>
                <w:rFonts w:hint="eastAsia" w:asciiTheme="minorEastAsia" w:hAnsiTheme="minorEastAsia" w:eastAsiaTheme="minorEastAsia" w:cstheme="minorEastAsia"/>
                <w:b w:val="0"/>
                <w:bCs/>
                <w:sz w:val="18"/>
                <w:szCs w:val="18"/>
                <w:highlight w:val="none"/>
                <w:lang w:eastAsia="zh-CN"/>
              </w:rPr>
              <w:t xml:space="preserve"> 《电力设备检修试验规程》的相关要求。</w:t>
            </w:r>
          </w:p>
        </w:tc>
      </w:tr>
    </w:tbl>
    <w:p>
      <w:pPr>
        <w:snapToGrid w:val="0"/>
        <w:spacing w:line="312" w:lineRule="auto"/>
        <w:ind w:firstLine="480" w:firstLineChars="200"/>
        <w:outlineLvl w:val="9"/>
        <w:rPr>
          <w:rFonts w:hint="eastAsia" w:asciiTheme="minorEastAsia" w:hAnsiTheme="minorEastAsia" w:eastAsiaTheme="minorEastAsia"/>
          <w:sz w:val="24"/>
          <w:szCs w:val="24"/>
          <w:highlight w:val="none"/>
          <w:lang w:val="en-US" w:eastAsia="zh-CN"/>
        </w:rPr>
      </w:pPr>
    </w:p>
    <w:p>
      <w:pPr>
        <w:snapToGrid w:val="0"/>
        <w:spacing w:line="312" w:lineRule="auto"/>
        <w:ind w:firstLine="480" w:firstLineChars="200"/>
        <w:outlineLvl w:val="9"/>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val="en-US" w:eastAsia="zh-CN"/>
        </w:rPr>
        <w:t>2</w:t>
      </w:r>
      <w:r>
        <w:rPr>
          <w:rFonts w:hint="eastAsia" w:asciiTheme="minorEastAsia" w:hAnsiTheme="minorEastAsia" w:eastAsiaTheme="minorEastAsia"/>
          <w:sz w:val="24"/>
          <w:szCs w:val="24"/>
          <w:highlight w:val="none"/>
        </w:rPr>
        <w:t>.2.</w:t>
      </w:r>
      <w:r>
        <w:rPr>
          <w:rFonts w:hint="eastAsia" w:asciiTheme="minorEastAsia" w:hAnsiTheme="minorEastAsia" w:eastAsiaTheme="minorEastAsia"/>
          <w:sz w:val="24"/>
          <w:szCs w:val="24"/>
          <w:highlight w:val="none"/>
          <w:lang w:val="en-US" w:eastAsia="zh-CN"/>
        </w:rPr>
        <w:t xml:space="preserve">3 </w:t>
      </w:r>
      <w:r>
        <w:rPr>
          <w:rFonts w:hint="eastAsia" w:asciiTheme="minorEastAsia" w:hAnsiTheme="minorEastAsia" w:eastAsiaTheme="minorEastAsia"/>
          <w:sz w:val="24"/>
          <w:szCs w:val="24"/>
          <w:highlight w:val="none"/>
        </w:rPr>
        <w:t>工程工期。</w:t>
      </w:r>
    </w:p>
    <w:p>
      <w:pPr>
        <w:snapToGrid w:val="0"/>
        <w:spacing w:line="312" w:lineRule="auto"/>
        <w:ind w:firstLine="480" w:firstLineChars="200"/>
        <w:outlineLvl w:val="9"/>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工程需要设备停电开展，具体设备停电时间以调度批复时间为准，投标方应在工程停电检修工期内完成相应的检修工作，如因投标方原因造成设备检修工作未按时完成导致设备延期复电造成电网运行风险，所有责任由投标方承担。</w:t>
      </w:r>
    </w:p>
    <w:p>
      <w:pPr>
        <w:snapToGrid w:val="0"/>
        <w:spacing w:line="312" w:lineRule="auto"/>
        <w:ind w:firstLine="480" w:firstLineChars="200"/>
        <w:outlineLvl w:val="9"/>
        <w:rPr>
          <w:rFonts w:hint="eastAsia" w:asciiTheme="minorEastAsia" w:hAnsiTheme="minorEastAsia" w:eastAsiaTheme="minorEastAsia"/>
          <w:sz w:val="24"/>
          <w:szCs w:val="24"/>
          <w:highlight w:val="none"/>
        </w:rPr>
      </w:pPr>
    </w:p>
    <w:p>
      <w:pPr>
        <w:keepNext w:val="0"/>
        <w:keepLines w:val="0"/>
        <w:numPr>
          <w:ilvl w:val="0"/>
          <w:numId w:val="1"/>
        </w:numPr>
        <w:tabs>
          <w:tab w:val="left" w:pos="480"/>
          <w:tab w:val="left" w:pos="720"/>
        </w:tabs>
        <w:topLinePunct/>
        <w:snapToGrid w:val="0"/>
        <w:spacing w:before="0" w:after="0" w:line="312" w:lineRule="auto"/>
        <w:ind w:left="425" w:leftChars="0" w:hanging="425" w:firstLineChars="0"/>
        <w:jc w:val="left"/>
        <w:outlineLvl w:val="1"/>
        <w:rPr>
          <w:rFonts w:hint="eastAsia" w:asciiTheme="minorEastAsia" w:hAnsiTheme="minorEastAsia" w:eastAsiaTheme="minorEastAsia"/>
          <w:b/>
          <w:bCs/>
          <w:sz w:val="24"/>
          <w:szCs w:val="24"/>
          <w:highlight w:val="none"/>
          <w:lang w:val="en-US" w:eastAsia="zh-CN"/>
        </w:rPr>
      </w:pPr>
      <w:bookmarkStart w:id="5" w:name="_Toc28113"/>
      <w:r>
        <w:rPr>
          <w:rFonts w:hint="eastAsia" w:asciiTheme="minorEastAsia" w:hAnsiTheme="minorEastAsia" w:eastAsiaTheme="minorEastAsia"/>
          <w:b/>
          <w:bCs/>
          <w:sz w:val="24"/>
          <w:szCs w:val="24"/>
          <w:highlight w:val="none"/>
          <w:lang w:val="en-US" w:eastAsia="zh-CN"/>
        </w:rPr>
        <w:t>技术参数</w:t>
      </w:r>
      <w:bookmarkEnd w:id="5"/>
    </w:p>
    <w:p>
      <w:pPr>
        <w:snapToGrid w:val="0"/>
        <w:spacing w:line="288" w:lineRule="auto"/>
        <w:ind w:firstLine="480" w:firstLineChars="200"/>
        <w:outlineLvl w:val="9"/>
        <w:rPr>
          <w:rFonts w:hint="eastAsia" w:asciiTheme="minorEastAsia" w:hAnsiTheme="minorEastAsia" w:eastAsiaTheme="minorEastAsia"/>
          <w:sz w:val="24"/>
          <w:szCs w:val="24"/>
          <w:highlight w:val="none"/>
          <w:lang w:val="en-US" w:eastAsia="zh-CN"/>
        </w:rPr>
      </w:pPr>
      <w:r>
        <w:rPr>
          <w:rFonts w:hint="eastAsia" w:asciiTheme="minorEastAsia" w:hAnsiTheme="minorEastAsia" w:eastAsiaTheme="minorEastAsia"/>
          <w:sz w:val="24"/>
          <w:szCs w:val="24"/>
          <w:highlight w:val="none"/>
          <w:lang w:val="en-US" w:eastAsia="zh-CN"/>
        </w:rPr>
        <w:t>因本项目为旧设备大修，相关技术参数应符合原设备技术参数，如下表：</w:t>
      </w:r>
    </w:p>
    <w:tbl>
      <w:tblPr>
        <w:tblStyle w:val="42"/>
        <w:tblW w:w="852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7"/>
        <w:gridCol w:w="960"/>
        <w:gridCol w:w="960"/>
        <w:gridCol w:w="285"/>
        <w:gridCol w:w="1941"/>
        <w:gridCol w:w="29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blHeader/>
          <w:jc w:val="center"/>
        </w:trPr>
        <w:tc>
          <w:tcPr>
            <w:tcW w:w="5613" w:type="dxa"/>
            <w:gridSpan w:val="5"/>
            <w:vAlign w:val="center"/>
          </w:tcPr>
          <w:p>
            <w:pPr>
              <w:snapToGrid w:val="0"/>
              <w:spacing w:line="288" w:lineRule="auto"/>
              <w:ind w:left="0" w:leftChars="0" w:firstLine="2310" w:firstLineChars="1100"/>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名    称</w:t>
            </w:r>
          </w:p>
        </w:tc>
        <w:tc>
          <w:tcPr>
            <w:tcW w:w="2909" w:type="dxa"/>
            <w:vAlign w:val="center"/>
          </w:tcPr>
          <w:p>
            <w:pPr>
              <w:snapToGrid w:val="0"/>
              <w:spacing w:line="288" w:lineRule="auto"/>
              <w:ind w:left="0" w:leftChars="0" w:firstLine="420" w:firstLineChars="200"/>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出 厂 标 准 参 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5613" w:type="dxa"/>
            <w:gridSpan w:val="5"/>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型  式</w:t>
            </w:r>
          </w:p>
        </w:tc>
        <w:tc>
          <w:tcPr>
            <w:tcW w:w="2909" w:type="dxa"/>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户外柱式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5613" w:type="dxa"/>
            <w:gridSpan w:val="5"/>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每相断口数</w:t>
            </w:r>
          </w:p>
        </w:tc>
        <w:tc>
          <w:tcPr>
            <w:tcW w:w="2909" w:type="dxa"/>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5613" w:type="dxa"/>
            <w:gridSpan w:val="5"/>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额定电压kV</w:t>
            </w:r>
          </w:p>
        </w:tc>
        <w:tc>
          <w:tcPr>
            <w:tcW w:w="2909" w:type="dxa"/>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145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5613" w:type="dxa"/>
            <w:gridSpan w:val="5"/>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额定电流A</w:t>
            </w:r>
          </w:p>
        </w:tc>
        <w:tc>
          <w:tcPr>
            <w:tcW w:w="2909" w:type="dxa"/>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3150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5613" w:type="dxa"/>
            <w:gridSpan w:val="5"/>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额定频率Hz</w:t>
            </w:r>
          </w:p>
        </w:tc>
        <w:tc>
          <w:tcPr>
            <w:tcW w:w="2909" w:type="dxa"/>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5613" w:type="dxa"/>
            <w:gridSpan w:val="5"/>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温升试验电流</w:t>
            </w:r>
          </w:p>
        </w:tc>
        <w:tc>
          <w:tcPr>
            <w:tcW w:w="2909" w:type="dxa"/>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In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0" w:hRule="atLeast"/>
          <w:jc w:val="center"/>
        </w:trPr>
        <w:tc>
          <w:tcPr>
            <w:tcW w:w="3387" w:type="dxa"/>
            <w:gridSpan w:val="3"/>
            <w:vMerge w:val="restart"/>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额定工频1min耐受电压 kV</w:t>
            </w:r>
          </w:p>
        </w:tc>
        <w:tc>
          <w:tcPr>
            <w:tcW w:w="2226" w:type="dxa"/>
            <w:gridSpan w:val="2"/>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断口</w:t>
            </w:r>
          </w:p>
        </w:tc>
        <w:tc>
          <w:tcPr>
            <w:tcW w:w="2909" w:type="dxa"/>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275+70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0" w:hRule="atLeast"/>
          <w:jc w:val="center"/>
        </w:trPr>
        <w:tc>
          <w:tcPr>
            <w:tcW w:w="3387" w:type="dxa"/>
            <w:gridSpan w:val="3"/>
            <w:vMerge w:val="continue"/>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p>
        </w:tc>
        <w:tc>
          <w:tcPr>
            <w:tcW w:w="2226" w:type="dxa"/>
            <w:gridSpan w:val="2"/>
            <w:vAlign w:val="center"/>
          </w:tcPr>
          <w:p>
            <w:pPr>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对地</w:t>
            </w:r>
          </w:p>
        </w:tc>
        <w:tc>
          <w:tcPr>
            <w:tcW w:w="2909" w:type="dxa"/>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275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0" w:hRule="atLeast"/>
          <w:jc w:val="center"/>
        </w:trPr>
        <w:tc>
          <w:tcPr>
            <w:tcW w:w="3387" w:type="dxa"/>
            <w:gridSpan w:val="3"/>
            <w:vMerge w:val="restart"/>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额定雷电冲击耐受电压(1.2/50μs)峰值kV</w:t>
            </w:r>
          </w:p>
        </w:tc>
        <w:tc>
          <w:tcPr>
            <w:tcW w:w="2226" w:type="dxa"/>
            <w:gridSpan w:val="2"/>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断口</w:t>
            </w:r>
          </w:p>
        </w:tc>
        <w:tc>
          <w:tcPr>
            <w:tcW w:w="2909" w:type="dxa"/>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650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0" w:hRule="atLeast"/>
          <w:jc w:val="center"/>
        </w:trPr>
        <w:tc>
          <w:tcPr>
            <w:tcW w:w="3387" w:type="dxa"/>
            <w:gridSpan w:val="3"/>
            <w:vMerge w:val="continue"/>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p>
        </w:tc>
        <w:tc>
          <w:tcPr>
            <w:tcW w:w="2226" w:type="dxa"/>
            <w:gridSpan w:val="2"/>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对地</w:t>
            </w:r>
          </w:p>
        </w:tc>
        <w:tc>
          <w:tcPr>
            <w:tcW w:w="2909" w:type="dxa"/>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650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05" w:hRule="atLeast"/>
          <w:jc w:val="center"/>
        </w:trPr>
        <w:tc>
          <w:tcPr>
            <w:tcW w:w="3387" w:type="dxa"/>
            <w:gridSpan w:val="3"/>
            <w:vMerge w:val="restart"/>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额定短路开断电流 kA</w:t>
            </w:r>
          </w:p>
        </w:tc>
        <w:tc>
          <w:tcPr>
            <w:tcW w:w="2226" w:type="dxa"/>
            <w:gridSpan w:val="2"/>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直流分量</w:t>
            </w:r>
          </w:p>
        </w:tc>
        <w:tc>
          <w:tcPr>
            <w:tcW w:w="2909" w:type="dxa"/>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0" w:hRule="atLeast"/>
          <w:jc w:val="center"/>
        </w:trPr>
        <w:tc>
          <w:tcPr>
            <w:tcW w:w="3387" w:type="dxa"/>
            <w:gridSpan w:val="3"/>
            <w:vMerge w:val="continue"/>
            <w:vAlign w:val="center"/>
          </w:tcPr>
          <w:p>
            <w:pPr>
              <w:snapToGrid w:val="0"/>
              <w:spacing w:line="288" w:lineRule="auto"/>
              <w:ind w:left="0" w:leftChars="0" w:firstLine="0" w:firstLineChars="0"/>
              <w:outlineLvl w:val="9"/>
              <w:rPr>
                <w:rFonts w:hint="eastAsia" w:asciiTheme="minorEastAsia" w:hAnsiTheme="minorEastAsia" w:eastAsiaTheme="minorEastAsia"/>
                <w:sz w:val="21"/>
                <w:szCs w:val="21"/>
                <w:highlight w:val="none"/>
                <w:lang w:val="en-US" w:eastAsia="zh-CN"/>
              </w:rPr>
            </w:pPr>
          </w:p>
        </w:tc>
        <w:tc>
          <w:tcPr>
            <w:tcW w:w="2226" w:type="dxa"/>
            <w:gridSpan w:val="2"/>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首相开断系数</w:t>
            </w:r>
          </w:p>
        </w:tc>
        <w:tc>
          <w:tcPr>
            <w:tcW w:w="2909" w:type="dxa"/>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5613" w:type="dxa"/>
            <w:gridSpan w:val="5"/>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额定短路关合电流kA</w:t>
            </w:r>
          </w:p>
        </w:tc>
        <w:tc>
          <w:tcPr>
            <w:tcW w:w="2909" w:type="dxa"/>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5613" w:type="dxa"/>
            <w:gridSpan w:val="5"/>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额定短时耐受电流及持续时间kA/s</w:t>
            </w:r>
          </w:p>
        </w:tc>
        <w:tc>
          <w:tcPr>
            <w:tcW w:w="2909" w:type="dxa"/>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40/ 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5613" w:type="dxa"/>
            <w:gridSpan w:val="5"/>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额定峰值耐受电流kA</w:t>
            </w:r>
          </w:p>
        </w:tc>
        <w:tc>
          <w:tcPr>
            <w:tcW w:w="2909" w:type="dxa"/>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5613" w:type="dxa"/>
            <w:gridSpan w:val="5"/>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合闸时间ms</w:t>
            </w:r>
          </w:p>
        </w:tc>
        <w:tc>
          <w:tcPr>
            <w:tcW w:w="2909" w:type="dxa"/>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5613" w:type="dxa"/>
            <w:gridSpan w:val="5"/>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固有分闸时间ms （普通分闸回路）</w:t>
            </w:r>
          </w:p>
        </w:tc>
        <w:tc>
          <w:tcPr>
            <w:tcW w:w="2909" w:type="dxa"/>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22±3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5613" w:type="dxa"/>
            <w:gridSpan w:val="5"/>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合分时间ms</w:t>
            </w:r>
          </w:p>
        </w:tc>
        <w:tc>
          <w:tcPr>
            <w:tcW w:w="2909" w:type="dxa"/>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0" w:hRule="atLeast"/>
          <w:jc w:val="center"/>
        </w:trPr>
        <w:tc>
          <w:tcPr>
            <w:tcW w:w="3672" w:type="dxa"/>
            <w:gridSpan w:val="4"/>
            <w:vMerge w:val="restart"/>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分闸不同期 ms</w:t>
            </w:r>
          </w:p>
        </w:tc>
        <w:tc>
          <w:tcPr>
            <w:tcW w:w="1941" w:type="dxa"/>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相间</w:t>
            </w:r>
          </w:p>
        </w:tc>
        <w:tc>
          <w:tcPr>
            <w:tcW w:w="2909" w:type="dxa"/>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0" w:hRule="atLeast"/>
          <w:jc w:val="center"/>
        </w:trPr>
        <w:tc>
          <w:tcPr>
            <w:tcW w:w="3672" w:type="dxa"/>
            <w:gridSpan w:val="4"/>
            <w:vMerge w:val="continue"/>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p>
        </w:tc>
        <w:tc>
          <w:tcPr>
            <w:tcW w:w="1941" w:type="dxa"/>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断口</w:t>
            </w:r>
          </w:p>
        </w:tc>
        <w:tc>
          <w:tcPr>
            <w:tcW w:w="2909" w:type="dxa"/>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0" w:hRule="atLeast"/>
          <w:jc w:val="center"/>
        </w:trPr>
        <w:tc>
          <w:tcPr>
            <w:tcW w:w="3672" w:type="dxa"/>
            <w:gridSpan w:val="4"/>
            <w:vMerge w:val="restart"/>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合闸不同期 ms</w:t>
            </w:r>
          </w:p>
        </w:tc>
        <w:tc>
          <w:tcPr>
            <w:tcW w:w="1941" w:type="dxa"/>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相间</w:t>
            </w:r>
          </w:p>
        </w:tc>
        <w:tc>
          <w:tcPr>
            <w:tcW w:w="2909" w:type="dxa"/>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0" w:hRule="atLeast"/>
          <w:jc w:val="center"/>
        </w:trPr>
        <w:tc>
          <w:tcPr>
            <w:tcW w:w="3672" w:type="dxa"/>
            <w:gridSpan w:val="4"/>
            <w:vMerge w:val="continue"/>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p>
        </w:tc>
        <w:tc>
          <w:tcPr>
            <w:tcW w:w="1941" w:type="dxa"/>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断口</w:t>
            </w:r>
          </w:p>
        </w:tc>
        <w:tc>
          <w:tcPr>
            <w:tcW w:w="2909" w:type="dxa"/>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5613" w:type="dxa"/>
            <w:gridSpan w:val="5"/>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机械稳定性</w:t>
            </w:r>
          </w:p>
        </w:tc>
        <w:tc>
          <w:tcPr>
            <w:tcW w:w="2909" w:type="dxa"/>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10000次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5613" w:type="dxa"/>
            <w:gridSpan w:val="5"/>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额定操作顺序</w:t>
            </w:r>
          </w:p>
        </w:tc>
        <w:tc>
          <w:tcPr>
            <w:tcW w:w="2909" w:type="dxa"/>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O-0.3s-CO-3min-CO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5613" w:type="dxa"/>
            <w:gridSpan w:val="5"/>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辅助和控制回路短时工频耐受电压kV</w:t>
            </w:r>
          </w:p>
        </w:tc>
        <w:tc>
          <w:tcPr>
            <w:tcW w:w="2909" w:type="dxa"/>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5613" w:type="dxa"/>
            <w:gridSpan w:val="5"/>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操动机构型式</w:t>
            </w:r>
          </w:p>
        </w:tc>
        <w:tc>
          <w:tcPr>
            <w:tcW w:w="2909" w:type="dxa"/>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弹簧机构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5613" w:type="dxa"/>
            <w:gridSpan w:val="5"/>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电动机电压 V</w:t>
            </w:r>
          </w:p>
        </w:tc>
        <w:tc>
          <w:tcPr>
            <w:tcW w:w="2909" w:type="dxa"/>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AC 380/DC 220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5613" w:type="dxa"/>
            <w:gridSpan w:val="5"/>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控制电压 V</w:t>
            </w:r>
          </w:p>
        </w:tc>
        <w:tc>
          <w:tcPr>
            <w:tcW w:w="2909" w:type="dxa"/>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DC 220 / DC 110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0" w:hRule="atLeast"/>
          <w:jc w:val="center"/>
        </w:trPr>
        <w:tc>
          <w:tcPr>
            <w:tcW w:w="2427" w:type="dxa"/>
            <w:gridSpan w:val="2"/>
            <w:vMerge w:val="restart"/>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合闸操作电源</w:t>
            </w:r>
          </w:p>
        </w:tc>
        <w:tc>
          <w:tcPr>
            <w:tcW w:w="3186" w:type="dxa"/>
            <w:gridSpan w:val="3"/>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额定操作电压</w:t>
            </w:r>
          </w:p>
        </w:tc>
        <w:tc>
          <w:tcPr>
            <w:tcW w:w="2909" w:type="dxa"/>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DC 220 / DC 110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0" w:hRule="atLeast"/>
          <w:jc w:val="center"/>
        </w:trPr>
        <w:tc>
          <w:tcPr>
            <w:tcW w:w="2427" w:type="dxa"/>
            <w:gridSpan w:val="2"/>
            <w:vMerge w:val="continue"/>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p>
        </w:tc>
        <w:tc>
          <w:tcPr>
            <w:tcW w:w="3186" w:type="dxa"/>
            <w:gridSpan w:val="3"/>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操作电压允许范围</w:t>
            </w:r>
          </w:p>
        </w:tc>
        <w:tc>
          <w:tcPr>
            <w:tcW w:w="2909" w:type="dxa"/>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80%~110%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0" w:hRule="atLeast"/>
          <w:jc w:val="center"/>
        </w:trPr>
        <w:tc>
          <w:tcPr>
            <w:tcW w:w="2427" w:type="dxa"/>
            <w:gridSpan w:val="2"/>
            <w:vMerge w:val="continue"/>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p>
        </w:tc>
        <w:tc>
          <w:tcPr>
            <w:tcW w:w="3186" w:type="dxa"/>
            <w:gridSpan w:val="3"/>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每相线圈数量</w:t>
            </w:r>
          </w:p>
        </w:tc>
        <w:tc>
          <w:tcPr>
            <w:tcW w:w="2909" w:type="dxa"/>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1 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0" w:hRule="atLeast"/>
          <w:jc w:val="center"/>
        </w:trPr>
        <w:tc>
          <w:tcPr>
            <w:tcW w:w="2427" w:type="dxa"/>
            <w:gridSpan w:val="2"/>
            <w:vMerge w:val="continue"/>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p>
        </w:tc>
        <w:tc>
          <w:tcPr>
            <w:tcW w:w="3186" w:type="dxa"/>
            <w:gridSpan w:val="3"/>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每只线圈稳态电流A</w:t>
            </w:r>
          </w:p>
        </w:tc>
        <w:tc>
          <w:tcPr>
            <w:tcW w:w="2909" w:type="dxa"/>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0" w:hRule="atLeast"/>
          <w:jc w:val="center"/>
        </w:trPr>
        <w:tc>
          <w:tcPr>
            <w:tcW w:w="2427" w:type="dxa"/>
            <w:gridSpan w:val="2"/>
            <w:vMerge w:val="restart"/>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分闸操作电源</w:t>
            </w:r>
          </w:p>
        </w:tc>
        <w:tc>
          <w:tcPr>
            <w:tcW w:w="3186" w:type="dxa"/>
            <w:gridSpan w:val="3"/>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额定操作电压 V</w:t>
            </w:r>
          </w:p>
        </w:tc>
        <w:tc>
          <w:tcPr>
            <w:tcW w:w="2909" w:type="dxa"/>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DC 220 / DC 110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0" w:hRule="atLeast"/>
          <w:jc w:val="center"/>
        </w:trPr>
        <w:tc>
          <w:tcPr>
            <w:tcW w:w="2427" w:type="dxa"/>
            <w:gridSpan w:val="2"/>
            <w:vMerge w:val="continue"/>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p>
        </w:tc>
        <w:tc>
          <w:tcPr>
            <w:tcW w:w="3186" w:type="dxa"/>
            <w:gridSpan w:val="3"/>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操作电压允许范围</w:t>
            </w:r>
          </w:p>
        </w:tc>
        <w:tc>
          <w:tcPr>
            <w:tcW w:w="2909" w:type="dxa"/>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65%~120%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0" w:hRule="atLeast"/>
          <w:jc w:val="center"/>
        </w:trPr>
        <w:tc>
          <w:tcPr>
            <w:tcW w:w="2427" w:type="dxa"/>
            <w:gridSpan w:val="2"/>
            <w:vMerge w:val="continue"/>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p>
        </w:tc>
        <w:tc>
          <w:tcPr>
            <w:tcW w:w="3186" w:type="dxa"/>
            <w:gridSpan w:val="3"/>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每相线圈数量</w:t>
            </w:r>
          </w:p>
        </w:tc>
        <w:tc>
          <w:tcPr>
            <w:tcW w:w="2909" w:type="dxa"/>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2 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5" w:hRule="atLeast"/>
          <w:jc w:val="center"/>
        </w:trPr>
        <w:tc>
          <w:tcPr>
            <w:tcW w:w="2427" w:type="dxa"/>
            <w:gridSpan w:val="2"/>
            <w:vMerge w:val="continue"/>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p>
        </w:tc>
        <w:tc>
          <w:tcPr>
            <w:tcW w:w="3186" w:type="dxa"/>
            <w:gridSpan w:val="3"/>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每只线圈稳态电流A</w:t>
            </w:r>
          </w:p>
        </w:tc>
        <w:tc>
          <w:tcPr>
            <w:tcW w:w="2909" w:type="dxa"/>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0" w:hRule="atLeast"/>
          <w:jc w:val="center"/>
        </w:trPr>
        <w:tc>
          <w:tcPr>
            <w:tcW w:w="2427" w:type="dxa"/>
            <w:gridSpan w:val="2"/>
            <w:vMerge w:val="restart"/>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加热器</w:t>
            </w:r>
          </w:p>
        </w:tc>
        <w:tc>
          <w:tcPr>
            <w:tcW w:w="3186" w:type="dxa"/>
            <w:gridSpan w:val="3"/>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工作电压 V</w:t>
            </w:r>
          </w:p>
        </w:tc>
        <w:tc>
          <w:tcPr>
            <w:tcW w:w="2909" w:type="dxa"/>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AC 380/AC 220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0" w:hRule="atLeast"/>
          <w:jc w:val="center"/>
        </w:trPr>
        <w:tc>
          <w:tcPr>
            <w:tcW w:w="2427" w:type="dxa"/>
            <w:gridSpan w:val="2"/>
            <w:vMerge w:val="continue"/>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p>
        </w:tc>
        <w:tc>
          <w:tcPr>
            <w:tcW w:w="3186" w:type="dxa"/>
            <w:gridSpan w:val="3"/>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每相功率W</w:t>
            </w:r>
          </w:p>
        </w:tc>
        <w:tc>
          <w:tcPr>
            <w:tcW w:w="2909" w:type="dxa"/>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104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0" w:hRule="atLeast"/>
          <w:jc w:val="center"/>
        </w:trPr>
        <w:tc>
          <w:tcPr>
            <w:tcW w:w="2427" w:type="dxa"/>
            <w:gridSpan w:val="2"/>
            <w:vMerge w:val="restart"/>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辅助开关触点</w:t>
            </w:r>
          </w:p>
        </w:tc>
        <w:tc>
          <w:tcPr>
            <w:tcW w:w="3186" w:type="dxa"/>
            <w:gridSpan w:val="3"/>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备用数量</w:t>
            </w:r>
          </w:p>
        </w:tc>
        <w:tc>
          <w:tcPr>
            <w:tcW w:w="2909" w:type="dxa"/>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12 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0" w:hRule="atLeast"/>
          <w:jc w:val="center"/>
        </w:trPr>
        <w:tc>
          <w:tcPr>
            <w:tcW w:w="2427" w:type="dxa"/>
            <w:gridSpan w:val="2"/>
            <w:vMerge w:val="continue"/>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p>
        </w:tc>
        <w:tc>
          <w:tcPr>
            <w:tcW w:w="3186" w:type="dxa"/>
            <w:gridSpan w:val="3"/>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开断能力</w:t>
            </w:r>
          </w:p>
        </w:tc>
        <w:tc>
          <w:tcPr>
            <w:tcW w:w="2909" w:type="dxa"/>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DC 220/3 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0" w:hRule="atLeast"/>
          <w:jc w:val="center"/>
        </w:trPr>
        <w:tc>
          <w:tcPr>
            <w:tcW w:w="1467" w:type="dxa"/>
            <w:vMerge w:val="restart"/>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弹簧操动机构</w:t>
            </w:r>
          </w:p>
        </w:tc>
        <w:tc>
          <w:tcPr>
            <w:tcW w:w="4146" w:type="dxa"/>
            <w:gridSpan w:val="4"/>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型号</w:t>
            </w:r>
          </w:p>
        </w:tc>
        <w:tc>
          <w:tcPr>
            <w:tcW w:w="2909" w:type="dxa"/>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BLK222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0" w:hRule="atLeast"/>
          <w:jc w:val="center"/>
        </w:trPr>
        <w:tc>
          <w:tcPr>
            <w:tcW w:w="1467" w:type="dxa"/>
            <w:vMerge w:val="continue"/>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p>
        </w:tc>
        <w:tc>
          <w:tcPr>
            <w:tcW w:w="4146" w:type="dxa"/>
            <w:gridSpan w:val="4"/>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功率</w:t>
            </w:r>
          </w:p>
        </w:tc>
        <w:tc>
          <w:tcPr>
            <w:tcW w:w="2909" w:type="dxa"/>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900W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0" w:hRule="atLeast"/>
          <w:jc w:val="center"/>
        </w:trPr>
        <w:tc>
          <w:tcPr>
            <w:tcW w:w="1467" w:type="dxa"/>
            <w:vMerge w:val="restart"/>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电气距离m</w:t>
            </w:r>
          </w:p>
        </w:tc>
        <w:tc>
          <w:tcPr>
            <w:tcW w:w="4146" w:type="dxa"/>
            <w:gridSpan w:val="4"/>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断路器相间距离</w:t>
            </w:r>
          </w:p>
        </w:tc>
        <w:tc>
          <w:tcPr>
            <w:tcW w:w="2909" w:type="dxa"/>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1750mm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0" w:hRule="atLeast"/>
          <w:jc w:val="center"/>
        </w:trPr>
        <w:tc>
          <w:tcPr>
            <w:tcW w:w="1467" w:type="dxa"/>
            <w:vMerge w:val="continue"/>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p>
        </w:tc>
        <w:tc>
          <w:tcPr>
            <w:tcW w:w="4146" w:type="dxa"/>
            <w:gridSpan w:val="4"/>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断路器绝缘底部至支架底部的距离</w:t>
            </w:r>
          </w:p>
        </w:tc>
        <w:tc>
          <w:tcPr>
            <w:tcW w:w="2909" w:type="dxa"/>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2.5m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0" w:hRule="atLeast"/>
          <w:jc w:val="center"/>
        </w:trPr>
        <w:tc>
          <w:tcPr>
            <w:tcW w:w="1467" w:type="dxa"/>
            <w:vMerge w:val="continue"/>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p>
        </w:tc>
        <w:tc>
          <w:tcPr>
            <w:tcW w:w="4146" w:type="dxa"/>
            <w:gridSpan w:val="4"/>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瓷套外绝缘爬距对地</w:t>
            </w:r>
          </w:p>
        </w:tc>
        <w:tc>
          <w:tcPr>
            <w:tcW w:w="2909" w:type="dxa"/>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4015mm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0" w:hRule="atLeast"/>
          <w:jc w:val="center"/>
        </w:trPr>
        <w:tc>
          <w:tcPr>
            <w:tcW w:w="1467" w:type="dxa"/>
            <w:vMerge w:val="continue"/>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p>
        </w:tc>
        <w:tc>
          <w:tcPr>
            <w:tcW w:w="4146" w:type="dxa"/>
            <w:gridSpan w:val="4"/>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瓷套外绝缘爬距（断口间）</w:t>
            </w:r>
          </w:p>
        </w:tc>
        <w:tc>
          <w:tcPr>
            <w:tcW w:w="2909" w:type="dxa"/>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3800mm</w:t>
            </w:r>
          </w:p>
        </w:tc>
      </w:tr>
    </w:tbl>
    <w:p>
      <w:pPr>
        <w:snapToGrid w:val="0"/>
        <w:spacing w:line="288" w:lineRule="auto"/>
        <w:ind w:left="0" w:leftChars="0" w:firstLine="480" w:firstLineChars="200"/>
        <w:outlineLvl w:val="9"/>
        <w:rPr>
          <w:rFonts w:hint="eastAsia" w:asciiTheme="minorEastAsia" w:hAnsiTheme="minorEastAsia" w:eastAsiaTheme="minorEastAsia"/>
          <w:sz w:val="24"/>
          <w:szCs w:val="24"/>
          <w:highlight w:val="none"/>
          <w:lang w:val="en-US" w:eastAsia="zh-CN"/>
        </w:rPr>
      </w:pPr>
      <w:r>
        <w:rPr>
          <w:rFonts w:hint="eastAsia" w:asciiTheme="minorEastAsia" w:hAnsiTheme="minorEastAsia" w:eastAsiaTheme="minorEastAsia"/>
          <w:sz w:val="24"/>
          <w:szCs w:val="24"/>
          <w:highlight w:val="none"/>
          <w:lang w:val="en-US" w:eastAsia="zh-CN"/>
        </w:rPr>
        <w:t>主要SF6气体压力技术规范</w:t>
      </w:r>
    </w:p>
    <w:tbl>
      <w:tblPr>
        <w:tblStyle w:val="42"/>
        <w:tblW w:w="8316" w:type="dxa"/>
        <w:jc w:val="center"/>
        <w:tblInd w:w="-5" w:type="dxa"/>
        <w:tblLayout w:type="fixed"/>
        <w:tblCellMar>
          <w:top w:w="0" w:type="dxa"/>
          <w:left w:w="0" w:type="dxa"/>
          <w:bottom w:w="0" w:type="dxa"/>
          <w:right w:w="0" w:type="dxa"/>
        </w:tblCellMar>
      </w:tblPr>
      <w:tblGrid>
        <w:gridCol w:w="4504"/>
        <w:gridCol w:w="3812"/>
      </w:tblGrid>
      <w:tr>
        <w:tblPrEx>
          <w:tblLayout w:type="fixed"/>
          <w:tblCellMar>
            <w:top w:w="0" w:type="dxa"/>
            <w:left w:w="0" w:type="dxa"/>
            <w:bottom w:w="0" w:type="dxa"/>
            <w:right w:w="0" w:type="dxa"/>
          </w:tblCellMar>
        </w:tblPrEx>
        <w:trPr>
          <w:trHeight w:val="23" w:hRule="atLeast"/>
          <w:jc w:val="center"/>
        </w:trPr>
        <w:tc>
          <w:tcPr>
            <w:tcW w:w="4504" w:type="dxa"/>
            <w:tcBorders>
              <w:top w:val="single" w:color="000000" w:sz="4" w:space="0"/>
              <w:left w:val="single" w:color="000000" w:sz="4" w:space="0"/>
              <w:bottom w:val="single" w:color="000000" w:sz="4" w:space="0"/>
              <w:right w:val="single" w:color="000000" w:sz="4" w:space="0"/>
            </w:tcBorders>
            <w:vAlign w:val="center"/>
          </w:tcPr>
          <w:p>
            <w:pPr>
              <w:snapToGrid w:val="0"/>
              <w:spacing w:line="288" w:lineRule="auto"/>
              <w:ind w:left="0" w:leftChars="0" w:firstLine="1680" w:firstLineChars="800"/>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名</w:t>
            </w:r>
            <w:r>
              <w:rPr>
                <w:rFonts w:hint="eastAsia" w:asciiTheme="minorEastAsia" w:hAnsiTheme="minorEastAsia" w:eastAsiaTheme="minorEastAsia"/>
                <w:sz w:val="21"/>
                <w:szCs w:val="21"/>
                <w:highlight w:val="none"/>
                <w:lang w:val="en-US" w:eastAsia="zh-CN"/>
              </w:rPr>
              <w:tab/>
            </w:r>
            <w:r>
              <w:rPr>
                <w:rFonts w:hint="eastAsia" w:asciiTheme="minorEastAsia" w:hAnsiTheme="minorEastAsia" w:eastAsiaTheme="minorEastAsia"/>
                <w:sz w:val="21"/>
                <w:szCs w:val="21"/>
                <w:highlight w:val="none"/>
                <w:lang w:val="en-US" w:eastAsia="zh-CN"/>
              </w:rPr>
              <w:t>称</w:t>
            </w:r>
          </w:p>
        </w:tc>
        <w:tc>
          <w:tcPr>
            <w:tcW w:w="3812" w:type="dxa"/>
            <w:tcBorders>
              <w:top w:val="single" w:color="000000" w:sz="4" w:space="0"/>
              <w:left w:val="single" w:color="000000" w:sz="4" w:space="0"/>
              <w:bottom w:val="single" w:color="000000" w:sz="4" w:space="0"/>
              <w:right w:val="single" w:color="000000" w:sz="4" w:space="0"/>
            </w:tcBorders>
            <w:vAlign w:val="center"/>
          </w:tcPr>
          <w:p>
            <w:pPr>
              <w:snapToGrid w:val="0"/>
              <w:spacing w:line="288" w:lineRule="auto"/>
              <w:ind w:left="0" w:leftChars="0" w:firstLine="840" w:firstLineChars="400"/>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出 厂 标 准 参 数</w:t>
            </w:r>
          </w:p>
        </w:tc>
      </w:tr>
      <w:tr>
        <w:tblPrEx>
          <w:tblLayout w:type="fixed"/>
          <w:tblCellMar>
            <w:top w:w="0" w:type="dxa"/>
            <w:left w:w="0" w:type="dxa"/>
            <w:bottom w:w="0" w:type="dxa"/>
            <w:right w:w="0" w:type="dxa"/>
          </w:tblCellMar>
        </w:tblPrEx>
        <w:trPr>
          <w:trHeight w:val="23" w:hRule="atLeast"/>
          <w:jc w:val="center"/>
        </w:trPr>
        <w:tc>
          <w:tcPr>
            <w:tcW w:w="4504" w:type="dxa"/>
            <w:vMerge w:val="restart"/>
            <w:tcBorders>
              <w:top w:val="single" w:color="000000" w:sz="4" w:space="0"/>
              <w:left w:val="single" w:color="000000" w:sz="4" w:space="0"/>
              <w:right w:val="single" w:color="000000"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SF6 气体压力</w:t>
            </w:r>
          </w:p>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（20℃表压）</w:t>
            </w:r>
          </w:p>
        </w:tc>
        <w:tc>
          <w:tcPr>
            <w:tcW w:w="3812" w:type="dxa"/>
            <w:tcBorders>
              <w:top w:val="single" w:color="000000" w:sz="4" w:space="0"/>
              <w:left w:val="single" w:color="000000" w:sz="4" w:space="0"/>
              <w:bottom w:val="single" w:color="000000" w:sz="4" w:space="0"/>
              <w:right w:val="single" w:color="000000"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最高：8bar</w:t>
            </w:r>
          </w:p>
        </w:tc>
      </w:tr>
      <w:tr>
        <w:tblPrEx>
          <w:tblLayout w:type="fixed"/>
          <w:tblCellMar>
            <w:top w:w="0" w:type="dxa"/>
            <w:left w:w="0" w:type="dxa"/>
            <w:bottom w:w="0" w:type="dxa"/>
            <w:right w:w="0" w:type="dxa"/>
          </w:tblCellMar>
        </w:tblPrEx>
        <w:trPr>
          <w:trHeight w:val="23" w:hRule="atLeast"/>
          <w:jc w:val="center"/>
        </w:trPr>
        <w:tc>
          <w:tcPr>
            <w:tcW w:w="4504" w:type="dxa"/>
            <w:vMerge w:val="continue"/>
            <w:tcBorders>
              <w:left w:val="single" w:color="000000" w:sz="4" w:space="0"/>
              <w:bottom w:val="single" w:color="000000" w:sz="4" w:space="0"/>
              <w:right w:val="single" w:color="000000"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p>
        </w:tc>
        <w:tc>
          <w:tcPr>
            <w:tcW w:w="3812" w:type="dxa"/>
            <w:tcBorders>
              <w:top w:val="single" w:color="000000" w:sz="4" w:space="0"/>
              <w:left w:val="single" w:color="000000" w:sz="4" w:space="0"/>
              <w:bottom w:val="single" w:color="000000" w:sz="4" w:space="0"/>
              <w:right w:val="single" w:color="000000"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额定：5bar</w:t>
            </w:r>
          </w:p>
        </w:tc>
      </w:tr>
      <w:tr>
        <w:tblPrEx>
          <w:tblLayout w:type="fixed"/>
          <w:tblCellMar>
            <w:top w:w="0" w:type="dxa"/>
            <w:left w:w="0" w:type="dxa"/>
            <w:bottom w:w="0" w:type="dxa"/>
            <w:right w:w="0" w:type="dxa"/>
          </w:tblCellMar>
        </w:tblPrEx>
        <w:trPr>
          <w:cantSplit/>
          <w:trHeight w:val="223" w:hRule="atLeast"/>
          <w:jc w:val="center"/>
        </w:trPr>
        <w:tc>
          <w:tcPr>
            <w:tcW w:w="4504" w:type="dxa"/>
            <w:vMerge w:val="restart"/>
            <w:tcBorders>
              <w:top w:val="single" w:color="000000" w:sz="4" w:space="0"/>
              <w:left w:val="single" w:color="000000" w:sz="4" w:space="0"/>
              <w:right w:val="single" w:color="000000"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SF6 气体湿度</w:t>
            </w:r>
          </w:p>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ppm(v)</w:t>
            </w:r>
          </w:p>
        </w:tc>
        <w:tc>
          <w:tcPr>
            <w:tcW w:w="3812" w:type="dxa"/>
            <w:tcBorders>
              <w:top w:val="single" w:color="000000" w:sz="4" w:space="0"/>
              <w:left w:val="single" w:color="000000" w:sz="4" w:space="0"/>
              <w:bottom w:val="single" w:color="000000" w:sz="4" w:space="0"/>
              <w:right w:val="single" w:color="000000"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交接验收≤150</w:t>
            </w:r>
          </w:p>
        </w:tc>
      </w:tr>
      <w:tr>
        <w:tblPrEx>
          <w:tblLayout w:type="fixed"/>
          <w:tblCellMar>
            <w:top w:w="0" w:type="dxa"/>
            <w:left w:w="0" w:type="dxa"/>
            <w:bottom w:w="0" w:type="dxa"/>
            <w:right w:w="0" w:type="dxa"/>
          </w:tblCellMar>
        </w:tblPrEx>
        <w:trPr>
          <w:cantSplit/>
          <w:trHeight w:val="299" w:hRule="atLeast"/>
          <w:jc w:val="center"/>
        </w:trPr>
        <w:tc>
          <w:tcPr>
            <w:tcW w:w="4504" w:type="dxa"/>
            <w:vMerge w:val="continue"/>
            <w:tcBorders>
              <w:left w:val="single" w:color="000000" w:sz="4" w:space="0"/>
              <w:bottom w:val="single" w:color="000000" w:sz="4" w:space="0"/>
              <w:right w:val="single" w:color="000000"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p>
        </w:tc>
        <w:tc>
          <w:tcPr>
            <w:tcW w:w="3812" w:type="dxa"/>
            <w:tcBorders>
              <w:top w:val="single" w:color="000000" w:sz="4" w:space="0"/>
              <w:left w:val="single" w:color="000000" w:sz="4" w:space="0"/>
              <w:bottom w:val="single" w:color="000000" w:sz="4" w:space="0"/>
              <w:right w:val="single" w:color="000000"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运行≤300</w:t>
            </w:r>
          </w:p>
        </w:tc>
      </w:tr>
      <w:tr>
        <w:tblPrEx>
          <w:tblLayout w:type="fixed"/>
          <w:tblCellMar>
            <w:top w:w="0" w:type="dxa"/>
            <w:left w:w="0" w:type="dxa"/>
            <w:bottom w:w="0" w:type="dxa"/>
            <w:right w:w="0" w:type="dxa"/>
          </w:tblCellMar>
        </w:tblPrEx>
        <w:trPr>
          <w:trHeight w:val="23" w:hRule="atLeast"/>
          <w:jc w:val="center"/>
        </w:trPr>
        <w:tc>
          <w:tcPr>
            <w:tcW w:w="4504" w:type="dxa"/>
            <w:tcBorders>
              <w:top w:val="single" w:color="000000" w:sz="4" w:space="0"/>
              <w:left w:val="single" w:color="000000" w:sz="4" w:space="0"/>
              <w:bottom w:val="single" w:color="000000" w:sz="4" w:space="0"/>
              <w:right w:val="single" w:color="000000"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20℃时 SF6 泄漏报警压 力,bar</w:t>
            </w:r>
          </w:p>
        </w:tc>
        <w:tc>
          <w:tcPr>
            <w:tcW w:w="3812" w:type="dxa"/>
            <w:tcBorders>
              <w:top w:val="single" w:color="000000" w:sz="4" w:space="0"/>
              <w:left w:val="single" w:color="000000" w:sz="4" w:space="0"/>
              <w:bottom w:val="single" w:color="000000" w:sz="4" w:space="0"/>
              <w:right w:val="single" w:color="000000"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4.5</w:t>
            </w:r>
          </w:p>
        </w:tc>
      </w:tr>
      <w:tr>
        <w:tblPrEx>
          <w:tblLayout w:type="fixed"/>
          <w:tblCellMar>
            <w:top w:w="0" w:type="dxa"/>
            <w:left w:w="0" w:type="dxa"/>
            <w:bottom w:w="0" w:type="dxa"/>
            <w:right w:w="0" w:type="dxa"/>
          </w:tblCellMar>
        </w:tblPrEx>
        <w:trPr>
          <w:trHeight w:val="23" w:hRule="atLeast"/>
          <w:jc w:val="center"/>
        </w:trPr>
        <w:tc>
          <w:tcPr>
            <w:tcW w:w="4504" w:type="dxa"/>
            <w:tcBorders>
              <w:top w:val="single" w:color="000000" w:sz="4" w:space="0"/>
              <w:left w:val="single" w:color="000000" w:sz="4" w:space="0"/>
              <w:bottom w:val="single" w:color="000000" w:sz="4" w:space="0"/>
              <w:right w:val="single" w:color="000000"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20℃时 SF6 泄漏闭锁压 力,bar</w:t>
            </w:r>
          </w:p>
        </w:tc>
        <w:tc>
          <w:tcPr>
            <w:tcW w:w="3812" w:type="dxa"/>
            <w:tcBorders>
              <w:top w:val="single" w:color="000000" w:sz="4" w:space="0"/>
              <w:left w:val="single" w:color="000000" w:sz="4" w:space="0"/>
              <w:bottom w:val="single" w:color="000000" w:sz="4" w:space="0"/>
              <w:right w:val="single" w:color="000000"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4.3</w:t>
            </w:r>
          </w:p>
        </w:tc>
      </w:tr>
      <w:tr>
        <w:tblPrEx>
          <w:tblLayout w:type="fixed"/>
          <w:tblCellMar>
            <w:top w:w="0" w:type="dxa"/>
            <w:left w:w="0" w:type="dxa"/>
            <w:bottom w:w="0" w:type="dxa"/>
            <w:right w:w="0" w:type="dxa"/>
          </w:tblCellMar>
        </w:tblPrEx>
        <w:trPr>
          <w:trHeight w:val="417" w:hRule="atLeast"/>
          <w:jc w:val="center"/>
        </w:trPr>
        <w:tc>
          <w:tcPr>
            <w:tcW w:w="4504" w:type="dxa"/>
            <w:tcBorders>
              <w:top w:val="single" w:color="000000" w:sz="4" w:space="0"/>
              <w:left w:val="single" w:color="000000" w:sz="4" w:space="0"/>
              <w:bottom w:val="single" w:color="000000" w:sz="4" w:space="0"/>
              <w:right w:val="single" w:color="000000"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SF6 泄漏率,%/年</w:t>
            </w:r>
          </w:p>
        </w:tc>
        <w:tc>
          <w:tcPr>
            <w:tcW w:w="3812" w:type="dxa"/>
            <w:tcBorders>
              <w:top w:val="single" w:color="000000" w:sz="4" w:space="0"/>
              <w:left w:val="single" w:color="000000" w:sz="4" w:space="0"/>
              <w:bottom w:val="single" w:color="000000" w:sz="4" w:space="0"/>
              <w:right w:val="single" w:color="000000"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1</w:t>
            </w:r>
          </w:p>
        </w:tc>
      </w:tr>
      <w:tr>
        <w:tblPrEx>
          <w:tblLayout w:type="fixed"/>
          <w:tblCellMar>
            <w:top w:w="0" w:type="dxa"/>
            <w:left w:w="0" w:type="dxa"/>
            <w:bottom w:w="0" w:type="dxa"/>
            <w:right w:w="0" w:type="dxa"/>
          </w:tblCellMar>
        </w:tblPrEx>
        <w:trPr>
          <w:cantSplit/>
          <w:trHeight w:val="179" w:hRule="atLeast"/>
          <w:jc w:val="center"/>
        </w:trPr>
        <w:tc>
          <w:tcPr>
            <w:tcW w:w="4504" w:type="dxa"/>
            <w:vMerge w:val="restart"/>
            <w:tcBorders>
              <w:top w:val="single" w:color="000000" w:sz="4" w:space="0"/>
              <w:left w:val="single" w:color="000000" w:sz="4" w:space="0"/>
              <w:right w:val="single" w:color="000000"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SF6 纯度,%</w:t>
            </w:r>
          </w:p>
        </w:tc>
        <w:tc>
          <w:tcPr>
            <w:tcW w:w="3812" w:type="dxa"/>
            <w:tcBorders>
              <w:top w:val="single" w:color="000000" w:sz="4" w:space="0"/>
              <w:left w:val="single" w:color="000000" w:sz="4" w:space="0"/>
              <w:bottom w:val="single" w:color="000000" w:sz="4" w:space="0"/>
              <w:right w:val="single" w:color="000000"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新安装断路器≥99.8</w:t>
            </w:r>
          </w:p>
        </w:tc>
      </w:tr>
      <w:tr>
        <w:tblPrEx>
          <w:tblLayout w:type="fixed"/>
          <w:tblCellMar>
            <w:top w:w="0" w:type="dxa"/>
            <w:left w:w="0" w:type="dxa"/>
            <w:bottom w:w="0" w:type="dxa"/>
            <w:right w:w="0" w:type="dxa"/>
          </w:tblCellMar>
        </w:tblPrEx>
        <w:trPr>
          <w:cantSplit/>
          <w:trHeight w:val="127" w:hRule="atLeast"/>
          <w:jc w:val="center"/>
        </w:trPr>
        <w:tc>
          <w:tcPr>
            <w:tcW w:w="4504" w:type="dxa"/>
            <w:vMerge w:val="continue"/>
            <w:tcBorders>
              <w:left w:val="single" w:color="000000" w:sz="4" w:space="0"/>
              <w:bottom w:val="single" w:color="000000" w:sz="4" w:space="0"/>
              <w:right w:val="single" w:color="000000"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p>
        </w:tc>
        <w:tc>
          <w:tcPr>
            <w:tcW w:w="3812" w:type="dxa"/>
            <w:tcBorders>
              <w:top w:val="single" w:color="000000" w:sz="4" w:space="0"/>
              <w:left w:val="single" w:color="000000" w:sz="4" w:space="0"/>
              <w:bottom w:val="single" w:color="000000" w:sz="4" w:space="0"/>
              <w:right w:val="single" w:color="000000"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运行中断路器≥95</w:t>
            </w:r>
          </w:p>
        </w:tc>
      </w:tr>
    </w:tbl>
    <w:p>
      <w:pPr>
        <w:snapToGrid w:val="0"/>
        <w:spacing w:line="312" w:lineRule="auto"/>
        <w:ind w:firstLine="480" w:firstLineChars="200"/>
        <w:outlineLvl w:val="9"/>
        <w:rPr>
          <w:rFonts w:hint="eastAsia" w:asciiTheme="minorEastAsia" w:hAnsiTheme="minorEastAsia" w:eastAsiaTheme="minorEastAsia"/>
          <w:sz w:val="24"/>
          <w:szCs w:val="24"/>
          <w:highlight w:val="none"/>
        </w:rPr>
      </w:pPr>
    </w:p>
    <w:p>
      <w:pPr>
        <w:keepNext w:val="0"/>
        <w:keepLines w:val="0"/>
        <w:numPr>
          <w:ilvl w:val="0"/>
          <w:numId w:val="1"/>
        </w:numPr>
        <w:tabs>
          <w:tab w:val="left" w:pos="480"/>
          <w:tab w:val="left" w:pos="720"/>
        </w:tabs>
        <w:topLinePunct/>
        <w:snapToGrid w:val="0"/>
        <w:spacing w:before="0" w:after="0" w:line="312" w:lineRule="auto"/>
        <w:ind w:left="425" w:leftChars="0" w:hanging="425" w:firstLineChars="0"/>
        <w:jc w:val="left"/>
        <w:outlineLvl w:val="1"/>
        <w:rPr>
          <w:rFonts w:hint="eastAsia" w:asciiTheme="minorEastAsia" w:hAnsiTheme="minorEastAsia" w:eastAsiaTheme="minorEastAsia"/>
          <w:b/>
          <w:bCs/>
          <w:sz w:val="24"/>
          <w:szCs w:val="24"/>
          <w:highlight w:val="none"/>
          <w:lang w:val="en-US" w:eastAsia="zh-CN"/>
        </w:rPr>
      </w:pPr>
      <w:bookmarkStart w:id="6" w:name="_Toc1308"/>
      <w:r>
        <w:rPr>
          <w:rFonts w:hint="eastAsia" w:asciiTheme="minorEastAsia" w:hAnsiTheme="minorEastAsia" w:eastAsiaTheme="minorEastAsia"/>
          <w:b/>
          <w:bCs/>
          <w:sz w:val="24"/>
          <w:szCs w:val="24"/>
          <w:highlight w:val="none"/>
          <w:lang w:val="en-US" w:eastAsia="zh-CN"/>
        </w:rPr>
        <w:t>试验</w:t>
      </w:r>
      <w:bookmarkEnd w:id="6"/>
    </w:p>
    <w:p>
      <w:pPr>
        <w:snapToGrid w:val="0"/>
        <w:spacing w:line="312" w:lineRule="auto"/>
        <w:outlineLvl w:val="9"/>
        <w:rPr>
          <w:rFonts w:hint="eastAsia" w:asciiTheme="minorEastAsia" w:hAnsiTheme="minorEastAsia" w:eastAsiaTheme="minorEastAsia"/>
          <w:sz w:val="24"/>
          <w:szCs w:val="24"/>
          <w:highlight w:val="none"/>
          <w:lang w:val="en-US" w:eastAsia="zh-CN"/>
        </w:rPr>
      </w:pPr>
      <w:r>
        <w:rPr>
          <w:rFonts w:hint="eastAsia" w:asciiTheme="minorEastAsia" w:hAnsiTheme="minorEastAsia" w:eastAsiaTheme="minorEastAsia"/>
          <w:sz w:val="24"/>
          <w:szCs w:val="24"/>
          <w:highlight w:val="none"/>
          <w:lang w:val="en-US" w:eastAsia="zh-CN"/>
        </w:rPr>
        <w:t>4.1 断路器解体前试验项目：</w:t>
      </w:r>
    </w:p>
    <w:p>
      <w:pPr>
        <w:snapToGrid w:val="0"/>
        <w:spacing w:line="312" w:lineRule="auto"/>
        <w:ind w:firstLine="480" w:firstLineChars="200"/>
        <w:outlineLvl w:val="9"/>
        <w:rPr>
          <w:rFonts w:hint="eastAsia" w:asciiTheme="minorEastAsia" w:hAnsiTheme="minorEastAsia" w:eastAsiaTheme="minorEastAsia"/>
          <w:sz w:val="24"/>
          <w:szCs w:val="24"/>
          <w:highlight w:val="none"/>
          <w:lang w:val="en-US" w:eastAsia="zh-CN"/>
        </w:rPr>
      </w:pPr>
      <w:r>
        <w:rPr>
          <w:rFonts w:hint="eastAsia" w:asciiTheme="minorEastAsia" w:hAnsiTheme="minorEastAsia" w:eastAsiaTheme="minorEastAsia"/>
          <w:sz w:val="24"/>
          <w:szCs w:val="24"/>
          <w:highlight w:val="none"/>
          <w:lang w:val="en-US" w:eastAsia="zh-CN"/>
        </w:rPr>
        <w:t>1) 主回路电阻测量；</w:t>
      </w:r>
    </w:p>
    <w:p>
      <w:pPr>
        <w:snapToGrid w:val="0"/>
        <w:spacing w:line="312" w:lineRule="auto"/>
        <w:ind w:firstLine="480" w:firstLineChars="200"/>
        <w:outlineLvl w:val="9"/>
        <w:rPr>
          <w:rFonts w:hint="eastAsia" w:asciiTheme="minorEastAsia" w:hAnsiTheme="minorEastAsia" w:eastAsiaTheme="minorEastAsia"/>
          <w:sz w:val="24"/>
          <w:szCs w:val="24"/>
          <w:highlight w:val="none"/>
          <w:lang w:val="en-US" w:eastAsia="zh-CN"/>
        </w:rPr>
      </w:pPr>
      <w:r>
        <w:rPr>
          <w:rFonts w:hint="eastAsia" w:asciiTheme="minorEastAsia" w:hAnsiTheme="minorEastAsia" w:eastAsiaTheme="minorEastAsia"/>
          <w:sz w:val="24"/>
          <w:szCs w:val="24"/>
          <w:highlight w:val="none"/>
          <w:lang w:val="en-US" w:eastAsia="zh-CN"/>
        </w:rPr>
        <w:t>2) 电接触行程测量；</w:t>
      </w:r>
    </w:p>
    <w:p>
      <w:pPr>
        <w:snapToGrid w:val="0"/>
        <w:spacing w:line="312" w:lineRule="auto"/>
        <w:ind w:firstLine="480" w:firstLineChars="200"/>
        <w:outlineLvl w:val="9"/>
        <w:rPr>
          <w:rFonts w:hint="eastAsia" w:asciiTheme="minorEastAsia" w:hAnsiTheme="minorEastAsia" w:eastAsiaTheme="minorEastAsia"/>
          <w:sz w:val="24"/>
          <w:szCs w:val="24"/>
          <w:highlight w:val="none"/>
          <w:lang w:val="en-US" w:eastAsia="zh-CN"/>
        </w:rPr>
      </w:pPr>
      <w:r>
        <w:rPr>
          <w:rFonts w:hint="eastAsia" w:asciiTheme="minorEastAsia" w:hAnsiTheme="minorEastAsia" w:eastAsiaTheme="minorEastAsia"/>
          <w:sz w:val="24"/>
          <w:szCs w:val="24"/>
          <w:highlight w:val="none"/>
          <w:lang w:val="en-US" w:eastAsia="zh-CN"/>
        </w:rPr>
        <w:t>3) 电流互感器极性测量（并做标记）；</w:t>
      </w:r>
    </w:p>
    <w:p>
      <w:pPr>
        <w:snapToGrid w:val="0"/>
        <w:spacing w:line="312" w:lineRule="auto"/>
        <w:ind w:firstLine="480" w:firstLineChars="200"/>
        <w:outlineLvl w:val="9"/>
        <w:rPr>
          <w:rFonts w:hint="eastAsia" w:asciiTheme="minorEastAsia" w:hAnsiTheme="minorEastAsia" w:eastAsiaTheme="minorEastAsia"/>
          <w:sz w:val="24"/>
          <w:szCs w:val="24"/>
          <w:highlight w:val="none"/>
          <w:lang w:val="en-US" w:eastAsia="zh-CN"/>
        </w:rPr>
      </w:pPr>
      <w:r>
        <w:rPr>
          <w:rFonts w:hint="eastAsia" w:asciiTheme="minorEastAsia" w:hAnsiTheme="minorEastAsia" w:eastAsiaTheme="minorEastAsia"/>
          <w:sz w:val="24"/>
          <w:szCs w:val="24"/>
          <w:highlight w:val="none"/>
          <w:lang w:val="en-US" w:eastAsia="zh-CN"/>
        </w:rPr>
        <w:t>4) 就地远方操作试验；</w:t>
      </w:r>
    </w:p>
    <w:p>
      <w:pPr>
        <w:snapToGrid w:val="0"/>
        <w:spacing w:line="312" w:lineRule="auto"/>
        <w:ind w:firstLine="480" w:firstLineChars="200"/>
        <w:outlineLvl w:val="9"/>
        <w:rPr>
          <w:rFonts w:hint="eastAsia" w:asciiTheme="minorEastAsia" w:hAnsiTheme="minorEastAsia" w:eastAsiaTheme="minorEastAsia"/>
          <w:sz w:val="24"/>
          <w:szCs w:val="24"/>
          <w:highlight w:val="none"/>
          <w:lang w:val="en-US" w:eastAsia="zh-CN"/>
        </w:rPr>
      </w:pPr>
      <w:r>
        <w:rPr>
          <w:rFonts w:hint="eastAsia" w:asciiTheme="minorEastAsia" w:hAnsiTheme="minorEastAsia" w:eastAsiaTheme="minorEastAsia"/>
          <w:sz w:val="24"/>
          <w:szCs w:val="24"/>
          <w:highlight w:val="none"/>
          <w:lang w:val="en-US" w:eastAsia="zh-CN"/>
        </w:rPr>
        <w:t>5) 操作次数的记录；</w:t>
      </w:r>
    </w:p>
    <w:p>
      <w:pPr>
        <w:snapToGrid w:val="0"/>
        <w:spacing w:line="312" w:lineRule="auto"/>
        <w:ind w:firstLine="480" w:firstLineChars="200"/>
        <w:outlineLvl w:val="9"/>
        <w:rPr>
          <w:rFonts w:hint="eastAsia" w:asciiTheme="minorEastAsia" w:hAnsiTheme="minorEastAsia" w:eastAsiaTheme="minorEastAsia"/>
          <w:sz w:val="24"/>
          <w:szCs w:val="24"/>
          <w:highlight w:val="none"/>
          <w:lang w:val="en-US" w:eastAsia="zh-CN"/>
        </w:rPr>
      </w:pPr>
      <w:r>
        <w:rPr>
          <w:rFonts w:hint="eastAsia" w:asciiTheme="minorEastAsia" w:hAnsiTheme="minorEastAsia" w:eastAsiaTheme="minorEastAsia"/>
          <w:sz w:val="24"/>
          <w:szCs w:val="24"/>
          <w:highlight w:val="none"/>
          <w:lang w:val="en-US" w:eastAsia="zh-CN"/>
        </w:rPr>
        <w:t>6) 断路器合、分时间测试（额定、高电压、低电压）；</w:t>
      </w:r>
    </w:p>
    <w:p>
      <w:pPr>
        <w:snapToGrid w:val="0"/>
        <w:spacing w:line="312" w:lineRule="auto"/>
        <w:ind w:firstLine="480" w:firstLineChars="200"/>
        <w:outlineLvl w:val="9"/>
        <w:rPr>
          <w:rFonts w:hint="eastAsia" w:asciiTheme="minorEastAsia" w:hAnsiTheme="minorEastAsia" w:eastAsiaTheme="minorEastAsia"/>
          <w:sz w:val="24"/>
          <w:szCs w:val="24"/>
          <w:highlight w:val="none"/>
          <w:lang w:val="en-US" w:eastAsia="zh-CN"/>
        </w:rPr>
      </w:pPr>
      <w:r>
        <w:rPr>
          <w:rFonts w:hint="eastAsia" w:asciiTheme="minorEastAsia" w:hAnsiTheme="minorEastAsia" w:eastAsiaTheme="minorEastAsia"/>
          <w:sz w:val="24"/>
          <w:szCs w:val="24"/>
          <w:highlight w:val="none"/>
          <w:lang w:val="en-US" w:eastAsia="zh-CN"/>
        </w:rPr>
        <w:t>7）开关编号的记录（包含出厂编号及现场的实际编号）。</w:t>
      </w:r>
    </w:p>
    <w:p>
      <w:pPr>
        <w:snapToGrid w:val="0"/>
        <w:spacing w:line="312" w:lineRule="auto"/>
        <w:ind w:firstLine="480" w:firstLineChars="200"/>
        <w:outlineLvl w:val="9"/>
        <w:rPr>
          <w:rFonts w:hint="eastAsia" w:asciiTheme="minorEastAsia" w:hAnsiTheme="minorEastAsia" w:eastAsiaTheme="minorEastAsia"/>
          <w:sz w:val="24"/>
          <w:szCs w:val="24"/>
          <w:highlight w:val="none"/>
          <w:lang w:val="en-US" w:eastAsia="zh-CN"/>
        </w:rPr>
      </w:pPr>
    </w:p>
    <w:p>
      <w:pPr>
        <w:snapToGrid w:val="0"/>
        <w:spacing w:line="312" w:lineRule="auto"/>
        <w:ind w:firstLine="480" w:firstLineChars="200"/>
        <w:outlineLvl w:val="9"/>
        <w:rPr>
          <w:rFonts w:hint="eastAsia" w:asciiTheme="minorEastAsia" w:hAnsiTheme="minorEastAsia" w:eastAsiaTheme="minorEastAsia"/>
          <w:sz w:val="24"/>
          <w:szCs w:val="24"/>
          <w:highlight w:val="none"/>
          <w:lang w:val="en-US" w:eastAsia="zh-CN"/>
        </w:rPr>
      </w:pPr>
      <w:r>
        <w:rPr>
          <w:rFonts w:hint="eastAsia" w:asciiTheme="minorEastAsia" w:hAnsiTheme="minorEastAsia" w:eastAsiaTheme="minorEastAsia"/>
          <w:sz w:val="24"/>
          <w:szCs w:val="24"/>
          <w:highlight w:val="none"/>
          <w:lang w:val="en-US" w:eastAsia="zh-CN"/>
        </w:rPr>
        <w:t>4.2 安装调试过程断路器试验项目</w:t>
      </w:r>
    </w:p>
    <w:p>
      <w:pPr>
        <w:snapToGrid w:val="0"/>
        <w:spacing w:line="312" w:lineRule="auto"/>
        <w:ind w:firstLine="480" w:firstLineChars="200"/>
        <w:outlineLvl w:val="9"/>
        <w:rPr>
          <w:rFonts w:hint="eastAsia" w:asciiTheme="minorEastAsia" w:hAnsiTheme="minorEastAsia" w:eastAsiaTheme="minorEastAsia"/>
          <w:sz w:val="24"/>
          <w:szCs w:val="24"/>
          <w:highlight w:val="none"/>
          <w:lang w:val="en-US" w:eastAsia="zh-CN"/>
        </w:rPr>
      </w:pPr>
      <w:r>
        <w:rPr>
          <w:rFonts w:hint="eastAsia" w:asciiTheme="minorEastAsia" w:hAnsiTheme="minorEastAsia" w:eastAsiaTheme="minorEastAsia"/>
          <w:sz w:val="24"/>
          <w:szCs w:val="24"/>
          <w:highlight w:val="none"/>
          <w:lang w:val="en-US" w:eastAsia="zh-CN"/>
        </w:rPr>
        <w:t>1) 接地端子是否安装及装配的螺钉是否拧紧</w:t>
      </w:r>
    </w:p>
    <w:p>
      <w:pPr>
        <w:snapToGrid w:val="0"/>
        <w:spacing w:line="312" w:lineRule="auto"/>
        <w:ind w:firstLine="480" w:firstLineChars="200"/>
        <w:outlineLvl w:val="9"/>
        <w:rPr>
          <w:rFonts w:hint="eastAsia" w:asciiTheme="minorEastAsia" w:hAnsiTheme="minorEastAsia" w:eastAsiaTheme="minorEastAsia"/>
          <w:sz w:val="24"/>
          <w:szCs w:val="24"/>
          <w:highlight w:val="none"/>
          <w:lang w:val="en-US" w:eastAsia="zh-CN"/>
        </w:rPr>
      </w:pPr>
      <w:r>
        <w:rPr>
          <w:rFonts w:hint="eastAsia" w:asciiTheme="minorEastAsia" w:hAnsiTheme="minorEastAsia" w:eastAsiaTheme="minorEastAsia"/>
          <w:sz w:val="24"/>
          <w:szCs w:val="24"/>
          <w:highlight w:val="none"/>
          <w:lang w:val="en-US" w:eastAsia="zh-CN"/>
        </w:rPr>
        <w:t>2) 瓷瓶有无损坏、罐体外表面是否需补漆</w:t>
      </w:r>
    </w:p>
    <w:p>
      <w:pPr>
        <w:snapToGrid w:val="0"/>
        <w:spacing w:line="312" w:lineRule="auto"/>
        <w:ind w:firstLine="480" w:firstLineChars="200"/>
        <w:outlineLvl w:val="9"/>
        <w:rPr>
          <w:rFonts w:hint="eastAsia" w:asciiTheme="minorEastAsia" w:hAnsiTheme="minorEastAsia" w:eastAsiaTheme="minorEastAsia"/>
          <w:sz w:val="24"/>
          <w:szCs w:val="24"/>
          <w:highlight w:val="none"/>
          <w:lang w:val="en-US" w:eastAsia="zh-CN"/>
        </w:rPr>
      </w:pPr>
      <w:r>
        <w:rPr>
          <w:rFonts w:hint="eastAsia" w:asciiTheme="minorEastAsia" w:hAnsiTheme="minorEastAsia" w:eastAsiaTheme="minorEastAsia"/>
          <w:sz w:val="24"/>
          <w:szCs w:val="24"/>
          <w:highlight w:val="none"/>
          <w:lang w:val="en-US" w:eastAsia="zh-CN"/>
        </w:rPr>
        <w:t>3) 主接线端子板装配方向是否正确</w:t>
      </w:r>
    </w:p>
    <w:p>
      <w:pPr>
        <w:snapToGrid w:val="0"/>
        <w:spacing w:line="312" w:lineRule="auto"/>
        <w:ind w:firstLine="480" w:firstLineChars="200"/>
        <w:outlineLvl w:val="9"/>
        <w:rPr>
          <w:rFonts w:hint="eastAsia" w:asciiTheme="minorEastAsia" w:hAnsiTheme="minorEastAsia" w:eastAsiaTheme="minorEastAsia"/>
          <w:sz w:val="24"/>
          <w:szCs w:val="24"/>
          <w:highlight w:val="none"/>
          <w:lang w:val="en-US" w:eastAsia="zh-CN"/>
        </w:rPr>
      </w:pPr>
      <w:r>
        <w:rPr>
          <w:rFonts w:hint="eastAsia" w:asciiTheme="minorEastAsia" w:hAnsiTheme="minorEastAsia" w:eastAsiaTheme="minorEastAsia"/>
          <w:sz w:val="24"/>
          <w:szCs w:val="24"/>
          <w:highlight w:val="none"/>
          <w:lang w:val="en-US" w:eastAsia="zh-CN"/>
        </w:rPr>
        <w:t>4) 二次接线检查，从控制室到断路器端子排的电气连接是否可靠、正确</w:t>
      </w:r>
    </w:p>
    <w:p>
      <w:pPr>
        <w:snapToGrid w:val="0"/>
        <w:spacing w:line="312" w:lineRule="auto"/>
        <w:ind w:firstLine="480" w:firstLineChars="200"/>
        <w:outlineLvl w:val="9"/>
        <w:rPr>
          <w:rFonts w:hint="eastAsia" w:asciiTheme="minorEastAsia" w:hAnsiTheme="minorEastAsia" w:eastAsiaTheme="minorEastAsia"/>
          <w:sz w:val="24"/>
          <w:szCs w:val="24"/>
          <w:highlight w:val="none"/>
          <w:lang w:val="en-US" w:eastAsia="zh-CN"/>
        </w:rPr>
      </w:pPr>
      <w:r>
        <w:rPr>
          <w:rFonts w:hint="eastAsia" w:asciiTheme="minorEastAsia" w:hAnsiTheme="minorEastAsia" w:eastAsiaTheme="minorEastAsia"/>
          <w:sz w:val="24"/>
          <w:szCs w:val="24"/>
          <w:highlight w:val="none"/>
          <w:lang w:val="en-US" w:eastAsia="zh-CN"/>
        </w:rPr>
        <w:t>5) 加热器通电10min以上确认是否导通</w:t>
      </w:r>
    </w:p>
    <w:p>
      <w:pPr>
        <w:snapToGrid w:val="0"/>
        <w:spacing w:line="312" w:lineRule="auto"/>
        <w:ind w:firstLine="480" w:firstLineChars="200"/>
        <w:outlineLvl w:val="9"/>
        <w:rPr>
          <w:rFonts w:hint="eastAsia" w:asciiTheme="minorEastAsia" w:hAnsiTheme="minorEastAsia" w:eastAsiaTheme="minorEastAsia"/>
          <w:sz w:val="24"/>
          <w:szCs w:val="24"/>
          <w:highlight w:val="none"/>
          <w:lang w:val="en-US" w:eastAsia="zh-CN"/>
        </w:rPr>
      </w:pPr>
      <w:r>
        <w:rPr>
          <w:rFonts w:hint="eastAsia" w:asciiTheme="minorEastAsia" w:hAnsiTheme="minorEastAsia" w:eastAsiaTheme="minorEastAsia"/>
          <w:sz w:val="24"/>
          <w:szCs w:val="24"/>
          <w:highlight w:val="none"/>
          <w:lang w:val="en-US" w:eastAsia="zh-CN"/>
        </w:rPr>
        <w:t>6) 回路电阻检测</w:t>
      </w:r>
    </w:p>
    <w:p>
      <w:pPr>
        <w:snapToGrid w:val="0"/>
        <w:spacing w:line="312" w:lineRule="auto"/>
        <w:ind w:firstLine="480" w:firstLineChars="200"/>
        <w:outlineLvl w:val="9"/>
        <w:rPr>
          <w:rFonts w:hint="eastAsia" w:asciiTheme="minorEastAsia" w:hAnsiTheme="minorEastAsia" w:eastAsiaTheme="minorEastAsia"/>
          <w:sz w:val="24"/>
          <w:szCs w:val="24"/>
          <w:highlight w:val="none"/>
          <w:lang w:val="en-US" w:eastAsia="zh-CN"/>
        </w:rPr>
      </w:pPr>
      <w:r>
        <w:rPr>
          <w:rFonts w:hint="eastAsia" w:asciiTheme="minorEastAsia" w:hAnsiTheme="minorEastAsia" w:eastAsiaTheme="minorEastAsia"/>
          <w:sz w:val="24"/>
          <w:szCs w:val="24"/>
          <w:highlight w:val="none"/>
          <w:lang w:val="en-US" w:eastAsia="zh-CN"/>
        </w:rPr>
        <w:t>7) SF6检漏</w:t>
      </w:r>
    </w:p>
    <w:p>
      <w:pPr>
        <w:snapToGrid w:val="0"/>
        <w:spacing w:line="312" w:lineRule="auto"/>
        <w:ind w:firstLine="480" w:firstLineChars="200"/>
        <w:outlineLvl w:val="9"/>
        <w:rPr>
          <w:rFonts w:hint="eastAsia" w:asciiTheme="minorEastAsia" w:hAnsiTheme="minorEastAsia" w:eastAsiaTheme="minorEastAsia"/>
          <w:sz w:val="24"/>
          <w:szCs w:val="24"/>
          <w:highlight w:val="none"/>
          <w:lang w:val="en-US" w:eastAsia="zh-CN"/>
        </w:rPr>
      </w:pPr>
      <w:r>
        <w:rPr>
          <w:rFonts w:hint="eastAsia" w:asciiTheme="minorEastAsia" w:hAnsiTheme="minorEastAsia" w:eastAsiaTheme="minorEastAsia"/>
          <w:sz w:val="24"/>
          <w:szCs w:val="24"/>
          <w:highlight w:val="none"/>
          <w:lang w:val="en-US" w:eastAsia="zh-CN"/>
        </w:rPr>
        <w:t>8) 断路器水分测量</w:t>
      </w:r>
    </w:p>
    <w:p>
      <w:pPr>
        <w:snapToGrid w:val="0"/>
        <w:spacing w:line="312" w:lineRule="auto"/>
        <w:ind w:firstLine="480" w:firstLineChars="200"/>
        <w:outlineLvl w:val="9"/>
        <w:rPr>
          <w:rFonts w:hint="eastAsia" w:asciiTheme="minorEastAsia" w:hAnsiTheme="minorEastAsia" w:eastAsiaTheme="minorEastAsia"/>
          <w:sz w:val="24"/>
          <w:szCs w:val="24"/>
          <w:highlight w:val="none"/>
          <w:lang w:val="en-US" w:eastAsia="zh-CN"/>
        </w:rPr>
      </w:pPr>
      <w:r>
        <w:rPr>
          <w:rFonts w:hint="eastAsia" w:asciiTheme="minorEastAsia" w:hAnsiTheme="minorEastAsia" w:eastAsiaTheme="minorEastAsia"/>
          <w:sz w:val="24"/>
          <w:szCs w:val="24"/>
          <w:highlight w:val="none"/>
          <w:lang w:val="en-US" w:eastAsia="zh-CN"/>
        </w:rPr>
        <w:t>9) SF6密度继电器测量</w:t>
      </w:r>
    </w:p>
    <w:p>
      <w:pPr>
        <w:snapToGrid w:val="0"/>
        <w:spacing w:line="312" w:lineRule="auto"/>
        <w:ind w:firstLine="480" w:firstLineChars="200"/>
        <w:outlineLvl w:val="9"/>
        <w:rPr>
          <w:rFonts w:hint="eastAsia" w:asciiTheme="minorEastAsia" w:hAnsiTheme="minorEastAsia" w:eastAsiaTheme="minorEastAsia"/>
          <w:sz w:val="24"/>
          <w:szCs w:val="24"/>
          <w:highlight w:val="none"/>
          <w:lang w:val="en-US" w:eastAsia="zh-CN"/>
        </w:rPr>
      </w:pPr>
      <w:r>
        <w:rPr>
          <w:rFonts w:hint="eastAsia" w:asciiTheme="minorEastAsia" w:hAnsiTheme="minorEastAsia" w:eastAsiaTheme="minorEastAsia"/>
          <w:sz w:val="24"/>
          <w:szCs w:val="24"/>
          <w:highlight w:val="none"/>
          <w:lang w:val="en-US" w:eastAsia="zh-CN"/>
        </w:rPr>
        <w:t>10) 互感器线圈极性测量</w:t>
      </w:r>
    </w:p>
    <w:p>
      <w:pPr>
        <w:snapToGrid w:val="0"/>
        <w:spacing w:line="312" w:lineRule="auto"/>
        <w:ind w:firstLine="480" w:firstLineChars="200"/>
        <w:outlineLvl w:val="9"/>
        <w:rPr>
          <w:rFonts w:hint="eastAsia" w:asciiTheme="minorEastAsia" w:hAnsiTheme="minorEastAsia" w:eastAsiaTheme="minorEastAsia"/>
          <w:sz w:val="24"/>
          <w:szCs w:val="24"/>
          <w:highlight w:val="none"/>
          <w:lang w:val="en-US" w:eastAsia="zh-CN"/>
        </w:rPr>
      </w:pPr>
      <w:r>
        <w:rPr>
          <w:rFonts w:hint="eastAsia" w:asciiTheme="minorEastAsia" w:hAnsiTheme="minorEastAsia" w:eastAsiaTheme="minorEastAsia"/>
          <w:sz w:val="24"/>
          <w:szCs w:val="24"/>
          <w:highlight w:val="none"/>
          <w:lang w:val="en-US" w:eastAsia="zh-CN"/>
        </w:rPr>
        <w:t>11) 机械特性试验</w:t>
      </w:r>
    </w:p>
    <w:p>
      <w:pPr>
        <w:snapToGrid w:val="0"/>
        <w:spacing w:line="312" w:lineRule="auto"/>
        <w:ind w:firstLine="480" w:firstLineChars="200"/>
        <w:outlineLvl w:val="9"/>
        <w:rPr>
          <w:rFonts w:hint="eastAsia" w:asciiTheme="minorEastAsia" w:hAnsiTheme="minorEastAsia" w:eastAsiaTheme="minorEastAsia"/>
          <w:sz w:val="24"/>
          <w:szCs w:val="24"/>
          <w:highlight w:val="none"/>
          <w:lang w:val="en-US" w:eastAsia="zh-CN"/>
        </w:rPr>
      </w:pPr>
      <w:r>
        <w:rPr>
          <w:rFonts w:hint="eastAsia" w:asciiTheme="minorEastAsia" w:hAnsiTheme="minorEastAsia" w:eastAsiaTheme="minorEastAsia"/>
          <w:sz w:val="24"/>
          <w:szCs w:val="24"/>
          <w:highlight w:val="none"/>
          <w:lang w:val="en-US" w:eastAsia="zh-CN"/>
        </w:rPr>
        <w:t>4.3该开关灭弧室大修完成后，由投标方参照相关标准完成出厂试验，并安排招标方人员参与见证。</w:t>
      </w:r>
    </w:p>
    <w:p>
      <w:pPr>
        <w:snapToGrid w:val="0"/>
        <w:spacing w:line="312" w:lineRule="auto"/>
        <w:ind w:firstLine="480" w:firstLineChars="200"/>
        <w:outlineLvl w:val="9"/>
        <w:rPr>
          <w:rFonts w:hint="eastAsia" w:asciiTheme="minorEastAsia" w:hAnsiTheme="minorEastAsia" w:eastAsiaTheme="minorEastAsia"/>
          <w:sz w:val="24"/>
          <w:szCs w:val="24"/>
          <w:highlight w:val="none"/>
          <w:lang w:val="en-US" w:eastAsia="zh-CN"/>
        </w:rPr>
      </w:pPr>
      <w:r>
        <w:rPr>
          <w:rFonts w:hint="eastAsia" w:asciiTheme="minorEastAsia" w:hAnsiTheme="minorEastAsia" w:eastAsiaTheme="minorEastAsia"/>
          <w:sz w:val="24"/>
          <w:szCs w:val="24"/>
          <w:highlight w:val="none"/>
          <w:lang w:val="en-US" w:eastAsia="zh-CN"/>
        </w:rPr>
        <w:t>开关的出厂试验应在整体组装后进行，应该对每台成品进行检验，以确保每台产品与已经通过型式试验的产品相一致。</w:t>
      </w:r>
    </w:p>
    <w:p>
      <w:pPr>
        <w:snapToGrid w:val="0"/>
        <w:spacing w:line="312" w:lineRule="auto"/>
        <w:ind w:firstLine="480" w:firstLineChars="200"/>
        <w:outlineLvl w:val="9"/>
        <w:rPr>
          <w:rFonts w:hint="eastAsia" w:asciiTheme="minorEastAsia" w:hAnsiTheme="minorEastAsia" w:eastAsiaTheme="minorEastAsia"/>
          <w:sz w:val="24"/>
          <w:szCs w:val="24"/>
          <w:highlight w:val="none"/>
          <w:lang w:val="en-US" w:eastAsia="zh-CN"/>
        </w:rPr>
      </w:pPr>
      <w:r>
        <w:rPr>
          <w:rFonts w:hint="eastAsia" w:asciiTheme="minorEastAsia" w:hAnsiTheme="minorEastAsia" w:eastAsiaTheme="minorEastAsia"/>
          <w:sz w:val="24"/>
          <w:szCs w:val="24"/>
          <w:highlight w:val="none"/>
          <w:lang w:val="en-US" w:eastAsia="zh-CN"/>
        </w:rPr>
        <w:t>出厂试验项目见下表，试验按DL/T 402 “7 出厂试验”的要求进行，试验参数还应符合本技术规范书的规定，并做补充规定如下。</w:t>
      </w:r>
    </w:p>
    <w:p>
      <w:pPr>
        <w:snapToGrid w:val="0"/>
        <w:spacing w:line="288" w:lineRule="auto"/>
        <w:ind w:left="0" w:leftChars="0" w:firstLine="2310" w:firstLineChars="1100"/>
        <w:outlineLvl w:val="9"/>
        <w:rPr>
          <w:rFonts w:hint="eastAsia" w:asciiTheme="minorEastAsia" w:hAnsiTheme="minorEastAsia" w:eastAsiaTheme="minorEastAsia"/>
          <w:sz w:val="21"/>
          <w:szCs w:val="21"/>
          <w:highlight w:val="none"/>
          <w:lang w:val="en-US" w:eastAsia="zh-CN"/>
        </w:rPr>
      </w:pPr>
    </w:p>
    <w:tbl>
      <w:tblPr>
        <w:tblStyle w:val="42"/>
        <w:tblW w:w="8528"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82"/>
        <w:gridCol w:w="2387"/>
        <w:gridCol w:w="5459"/>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blHeader/>
        </w:trPr>
        <w:tc>
          <w:tcPr>
            <w:tcW w:w="682" w:type="dxa"/>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序号</w:t>
            </w:r>
          </w:p>
        </w:tc>
        <w:tc>
          <w:tcPr>
            <w:tcW w:w="2387" w:type="dxa"/>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出厂试验项目</w:t>
            </w:r>
          </w:p>
        </w:tc>
        <w:tc>
          <w:tcPr>
            <w:tcW w:w="5459" w:type="dxa"/>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补充规定</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1287" w:hRule="atLeast"/>
        </w:trPr>
        <w:tc>
          <w:tcPr>
            <w:tcW w:w="682" w:type="dxa"/>
            <w:vAlign w:val="center"/>
          </w:tcPr>
          <w:p>
            <w:pPr>
              <w:snapToGrid w:val="0"/>
              <w:spacing w:line="288" w:lineRule="auto"/>
              <w:ind w:left="0" w:leftChars="0" w:firstLine="2310" w:firstLineChars="110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11</w:t>
            </w:r>
          </w:p>
        </w:tc>
        <w:tc>
          <w:tcPr>
            <w:tcW w:w="2387" w:type="dxa"/>
            <w:vAlign w:val="center"/>
          </w:tcPr>
          <w:p>
            <w:pPr>
              <w:snapToGrid w:val="0"/>
              <w:spacing w:line="288" w:lineRule="auto"/>
              <w:ind w:left="0" w:leftChars="0" w:firstLine="2310" w:firstLineChars="1100"/>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主回路的绝缘试验</w:t>
            </w:r>
          </w:p>
        </w:tc>
        <w:tc>
          <w:tcPr>
            <w:tcW w:w="5459" w:type="dxa"/>
            <w:vAlign w:val="center"/>
          </w:tcPr>
          <w:p>
            <w:pPr>
              <w:snapToGrid w:val="0"/>
              <w:spacing w:line="288" w:lineRule="auto"/>
              <w:ind w:left="0" w:leftChars="0" w:firstLine="0" w:firstLineChars="0"/>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1) 主回路的绝缘试验应在断路器SF6气体的最小运行密度下进行：</w:t>
            </w:r>
          </w:p>
          <w:p>
            <w:pPr>
              <w:snapToGrid w:val="0"/>
              <w:spacing w:line="288" w:lineRule="auto"/>
              <w:ind w:left="0" w:leftChars="0" w:firstLine="0" w:firstLineChars="0"/>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2) 220kV及以上罐式断路器还应进行正负极性各3次的雷电冲击耐受试验。</w:t>
            </w:r>
          </w:p>
          <w:p>
            <w:pPr>
              <w:snapToGrid w:val="0"/>
              <w:spacing w:line="288" w:lineRule="auto"/>
              <w:ind w:left="0" w:leftChars="0" w:firstLine="0" w:firstLineChars="0"/>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2.1) 罐式断路器的雷电冲击耐受试验应在相对地时进行；</w:t>
            </w:r>
          </w:p>
          <w:p>
            <w:pPr>
              <w:snapToGrid w:val="0"/>
              <w:spacing w:line="288" w:lineRule="auto"/>
              <w:ind w:left="0" w:leftChars="0" w:firstLine="0" w:firstLineChars="0"/>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2.2) 试验波形应为标准雷电冲击电压波形，波前时间1.2μs±30%，波后半峰值时间50μs±20%。根据已有的经验，雷电冲击电压的波前时间延长至8µs是可以接受的；</w:t>
            </w:r>
          </w:p>
          <w:p>
            <w:pPr>
              <w:snapToGrid w:val="0"/>
              <w:spacing w:line="288" w:lineRule="auto"/>
              <w:ind w:left="0" w:leftChars="0" w:firstLine="0" w:firstLineChars="0"/>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2.3) 试验程序（可参考执行）：</w:t>
            </w:r>
          </w:p>
          <w:p>
            <w:pPr>
              <w:snapToGrid w:val="0"/>
              <w:spacing w:line="288" w:lineRule="auto"/>
              <w:ind w:left="0" w:leftChars="0" w:firstLine="0" w:firstLineChars="0"/>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先做负极性的雷电冲击耐受试验：</w:t>
            </w:r>
          </w:p>
          <w:p>
            <w:pPr>
              <w:snapToGrid w:val="0"/>
              <w:spacing w:line="288" w:lineRule="auto"/>
              <w:ind w:left="0" w:leftChars="0" w:firstLine="0" w:firstLineChars="0"/>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a) 在50%的试验电压下进行试验回路的电压波形调整；</w:t>
            </w:r>
          </w:p>
          <w:p>
            <w:pPr>
              <w:snapToGrid w:val="0"/>
              <w:spacing w:line="288" w:lineRule="auto"/>
              <w:ind w:left="0" w:leftChars="0" w:firstLine="0" w:firstLineChars="0"/>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b) 在80%的试验电压下加压一次进行试验设备的效率核准；</w:t>
            </w:r>
          </w:p>
          <w:p>
            <w:pPr>
              <w:snapToGrid w:val="0"/>
              <w:spacing w:line="288" w:lineRule="auto"/>
              <w:ind w:left="0" w:leftChars="0" w:firstLine="0" w:firstLineChars="0"/>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c) 若试验设备的波形和效率都满足试验要求，对试品连续施加三次100%的冲击试验电压，每次试验间隔时间不小于5分钟。</w:t>
            </w:r>
          </w:p>
          <w:p>
            <w:pPr>
              <w:snapToGrid w:val="0"/>
              <w:spacing w:line="288" w:lineRule="auto"/>
              <w:ind w:left="0" w:leftChars="0" w:firstLine="0" w:firstLineChars="0"/>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再按负极性方法进行正极性的雷电冲击电压试验。</w:t>
            </w:r>
          </w:p>
          <w:p>
            <w:pPr>
              <w:snapToGrid w:val="0"/>
              <w:spacing w:line="288" w:lineRule="auto"/>
              <w:ind w:left="0" w:leftChars="0" w:firstLine="0" w:firstLineChars="0"/>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2.4) 通过试验的判据：没有发生击穿放电。</w:t>
            </w:r>
          </w:p>
          <w:p>
            <w:pPr>
              <w:snapToGrid w:val="0"/>
              <w:spacing w:line="288" w:lineRule="auto"/>
              <w:ind w:left="0" w:leftChars="0" w:firstLine="0" w:firstLineChars="0"/>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3) 罐式断路器局部放电试验应在所有其他绝缘试验后进行</w:t>
            </w:r>
          </w:p>
          <w:p>
            <w:pPr>
              <w:snapToGrid w:val="0"/>
              <w:spacing w:line="288" w:lineRule="auto"/>
              <w:ind w:left="0" w:leftChars="0" w:firstLine="0" w:firstLineChars="0"/>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注：工频电压试验和局部放电试验可以同时进行。</w:t>
            </w:r>
          </w:p>
          <w:p>
            <w:pPr>
              <w:snapToGrid w:val="0"/>
              <w:spacing w:line="288" w:lineRule="auto"/>
              <w:ind w:left="0" w:leftChars="0" w:firstLine="0" w:firstLineChars="0"/>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4) 测量局部放电的试验电压为1.2倍额定相电压，局部放电量不大于10pC。</w:t>
            </w:r>
          </w:p>
          <w:p>
            <w:pPr>
              <w:snapToGrid w:val="0"/>
              <w:spacing w:line="288" w:lineRule="auto"/>
              <w:ind w:left="0" w:leftChars="0" w:firstLine="0" w:firstLineChars="0"/>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5) 供货的出线套管应安装在罐式断路器上在厂内进行耐压试验。</w:t>
            </w:r>
          </w:p>
          <w:p>
            <w:pPr>
              <w:snapToGrid w:val="0"/>
              <w:spacing w:line="288" w:lineRule="auto"/>
              <w:ind w:left="0" w:leftChars="0" w:firstLine="0" w:firstLineChars="0"/>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6) 罐式断路器设备内部的绝缘操作杆、盆式绝缘子、支撑绝缘子等部件必须经过局部放电试验方可装配，要求在不低于80%工频耐压值下的试验电压下单个绝缘件的局部放电量不大于3pC。</w:t>
            </w:r>
          </w:p>
          <w:p>
            <w:pPr>
              <w:snapToGrid w:val="0"/>
              <w:spacing w:line="288" w:lineRule="auto"/>
              <w:ind w:left="0" w:leftChars="0" w:firstLine="0" w:firstLineChars="0"/>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7) 断路器出厂试验中，如发生放电现象，不管是否为自恢复放电，均应解体或开盖彻底检查直至找到放电部位。对发现有绝缘损伤或有闪络痕迹的绝缘部件均应进行更换。如果没有查找到放电点，则应对耐压范围内的全部绝缘件进行单件绝缘试验或更换全部绝缘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c>
          <w:tcPr>
            <w:tcW w:w="682" w:type="dxa"/>
            <w:vAlign w:val="center"/>
          </w:tcPr>
          <w:p>
            <w:pPr>
              <w:ind w:left="0" w:leftChars="0" w:firstLine="0" w:firstLineChars="0"/>
              <w:jc w:val="center"/>
              <w:outlineLvl w:val="9"/>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2</w:t>
            </w:r>
          </w:p>
        </w:tc>
        <w:tc>
          <w:tcPr>
            <w:tcW w:w="2387" w:type="dxa"/>
            <w:vAlign w:val="center"/>
          </w:tcPr>
          <w:p>
            <w:pPr>
              <w:snapToGrid w:val="0"/>
              <w:spacing w:line="288" w:lineRule="auto"/>
              <w:ind w:left="0" w:leftChars="0" w:firstLine="0" w:firstLineChars="0"/>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辅助和控制回路的试验</w:t>
            </w:r>
          </w:p>
        </w:tc>
        <w:tc>
          <w:tcPr>
            <w:tcW w:w="5459" w:type="dxa"/>
            <w:vAlign w:val="center"/>
          </w:tcPr>
          <w:p>
            <w:pPr>
              <w:snapToGrid w:val="0"/>
              <w:spacing w:line="288" w:lineRule="auto"/>
              <w:ind w:left="0" w:leftChars="0" w:firstLine="0" w:firstLineChars="0"/>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试验电压为2kV、持续时间1min。不得进行点试。</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c>
          <w:tcPr>
            <w:tcW w:w="682" w:type="dxa"/>
            <w:vAlign w:val="center"/>
          </w:tcPr>
          <w:p>
            <w:pPr>
              <w:ind w:left="0" w:leftChars="0" w:firstLine="0" w:firstLineChars="0"/>
              <w:jc w:val="center"/>
              <w:outlineLvl w:val="9"/>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3</w:t>
            </w:r>
          </w:p>
        </w:tc>
        <w:tc>
          <w:tcPr>
            <w:tcW w:w="2387" w:type="dxa"/>
            <w:vAlign w:val="center"/>
          </w:tcPr>
          <w:p>
            <w:pPr>
              <w:snapToGrid w:val="0"/>
              <w:spacing w:line="288" w:lineRule="auto"/>
              <w:ind w:left="0" w:leftChars="0" w:firstLine="0" w:firstLineChars="0"/>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主回路电阻的测量</w:t>
            </w:r>
          </w:p>
        </w:tc>
        <w:tc>
          <w:tcPr>
            <w:tcW w:w="5459" w:type="dxa"/>
            <w:vAlign w:val="center"/>
          </w:tcPr>
          <w:p>
            <w:pPr>
              <w:snapToGrid w:val="0"/>
              <w:spacing w:line="288" w:lineRule="auto"/>
              <w:ind w:left="0" w:leftChars="0" w:firstLine="0" w:firstLineChars="0"/>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应在充气后进行。</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c>
          <w:tcPr>
            <w:tcW w:w="682" w:type="dxa"/>
            <w:vAlign w:val="center"/>
          </w:tcPr>
          <w:p>
            <w:pPr>
              <w:ind w:left="0" w:leftChars="0" w:firstLine="0" w:firstLineChars="0"/>
              <w:jc w:val="center"/>
              <w:outlineLvl w:val="9"/>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4</w:t>
            </w:r>
          </w:p>
        </w:tc>
        <w:tc>
          <w:tcPr>
            <w:tcW w:w="2387" w:type="dxa"/>
            <w:vAlign w:val="center"/>
          </w:tcPr>
          <w:p>
            <w:pPr>
              <w:snapToGrid w:val="0"/>
              <w:spacing w:line="288" w:lineRule="auto"/>
              <w:ind w:left="0" w:leftChars="0" w:firstLine="0" w:firstLineChars="0"/>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气体密封性试验</w:t>
            </w:r>
          </w:p>
        </w:tc>
        <w:tc>
          <w:tcPr>
            <w:tcW w:w="5459" w:type="dxa"/>
            <w:vAlign w:val="center"/>
          </w:tcPr>
          <w:p>
            <w:pPr>
              <w:snapToGrid w:val="0"/>
              <w:spacing w:line="288" w:lineRule="auto"/>
              <w:ind w:left="0" w:leftChars="0" w:firstLine="0" w:firstLineChars="0"/>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1)断路器应采用局部包扎法或整体扣罩法进行定量测量。</w:t>
            </w:r>
          </w:p>
          <w:p>
            <w:pPr>
              <w:snapToGrid w:val="0"/>
              <w:spacing w:line="288" w:lineRule="auto"/>
              <w:ind w:left="0" w:leftChars="0" w:firstLine="0" w:firstLineChars="0"/>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2) 断路器采用局部包扎法，密封面用塑料薄膜包扎 24小时后才进行测量。测量包扎腔内SF6气体浓度并通过计算确定年漏气率，具体计算按GB11023中4.2.3条方法执行。</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530" w:hRule="atLeast"/>
        </w:trPr>
        <w:tc>
          <w:tcPr>
            <w:tcW w:w="682" w:type="dxa"/>
            <w:vAlign w:val="center"/>
          </w:tcPr>
          <w:p>
            <w:pPr>
              <w:ind w:left="0" w:leftChars="0" w:firstLine="0" w:firstLineChars="0"/>
              <w:jc w:val="center"/>
              <w:outlineLvl w:val="9"/>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5</w:t>
            </w:r>
          </w:p>
        </w:tc>
        <w:tc>
          <w:tcPr>
            <w:tcW w:w="2387" w:type="dxa"/>
            <w:vAlign w:val="center"/>
          </w:tcPr>
          <w:p>
            <w:pPr>
              <w:snapToGrid w:val="0"/>
              <w:spacing w:line="288" w:lineRule="auto"/>
              <w:ind w:left="0" w:leftChars="0" w:firstLine="0" w:firstLineChars="0"/>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SF6气体湿度测量</w:t>
            </w:r>
          </w:p>
        </w:tc>
        <w:tc>
          <w:tcPr>
            <w:tcW w:w="5459" w:type="dxa"/>
            <w:vAlign w:val="center"/>
          </w:tcPr>
          <w:p>
            <w:pPr>
              <w:snapToGrid w:val="0"/>
              <w:spacing w:line="288" w:lineRule="auto"/>
              <w:ind w:left="0" w:leftChars="0" w:firstLine="0" w:firstLineChars="0"/>
              <w:outlineLvl w:val="9"/>
              <w:rPr>
                <w:rFonts w:hint="eastAsia" w:asciiTheme="minorEastAsia" w:hAnsiTheme="minorEastAsia" w:eastAsiaTheme="minorEastAsia"/>
                <w:sz w:val="21"/>
                <w:szCs w:val="21"/>
                <w:highlight w:val="none"/>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c>
          <w:tcPr>
            <w:tcW w:w="682" w:type="dxa"/>
            <w:vAlign w:val="center"/>
          </w:tcPr>
          <w:p>
            <w:pPr>
              <w:ind w:left="0" w:leftChars="0" w:firstLine="0" w:firstLineChars="0"/>
              <w:jc w:val="center"/>
              <w:outlineLvl w:val="9"/>
              <w:rPr>
                <w:rFonts w:hint="eastAsia"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val="en-US" w:eastAsia="zh-CN"/>
              </w:rPr>
              <w:t>6</w:t>
            </w:r>
          </w:p>
        </w:tc>
        <w:tc>
          <w:tcPr>
            <w:tcW w:w="2387" w:type="dxa"/>
            <w:vAlign w:val="center"/>
          </w:tcPr>
          <w:p>
            <w:pPr>
              <w:snapToGrid w:val="0"/>
              <w:spacing w:line="288" w:lineRule="auto"/>
              <w:ind w:left="0" w:leftChars="0" w:firstLine="0" w:firstLineChars="0"/>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机械操作和机械特性试验与断路器的行程—时间特性测量</w:t>
            </w:r>
          </w:p>
        </w:tc>
        <w:tc>
          <w:tcPr>
            <w:tcW w:w="5459" w:type="dxa"/>
            <w:vAlign w:val="center"/>
          </w:tcPr>
          <w:p>
            <w:pPr>
              <w:snapToGrid w:val="0"/>
              <w:spacing w:line="288" w:lineRule="auto"/>
              <w:ind w:left="0" w:leftChars="0" w:firstLine="0" w:firstLineChars="0"/>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机械操作试验应包括：</w:t>
            </w:r>
          </w:p>
          <w:p>
            <w:pPr>
              <w:snapToGrid w:val="0"/>
              <w:spacing w:line="288" w:lineRule="auto"/>
              <w:ind w:left="0" w:leftChars="0" w:firstLine="0" w:firstLineChars="0"/>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在操动机构以及辅助和控制回路的最高电源电压和操作用的最高压力下（适用时）5次合闸操作；5次分闸操作。</w:t>
            </w:r>
          </w:p>
          <w:p>
            <w:pPr>
              <w:snapToGrid w:val="0"/>
              <w:spacing w:line="288" w:lineRule="auto"/>
              <w:ind w:left="0" w:leftChars="0" w:firstLine="0" w:firstLineChars="0"/>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在操动机构以及辅助和控制回路的最低电源电压和操作用的最低压力下（适用时）5次合闸操作；5次分闸操作。</w:t>
            </w:r>
          </w:p>
          <w:p>
            <w:pPr>
              <w:snapToGrid w:val="0"/>
              <w:spacing w:line="288" w:lineRule="auto"/>
              <w:ind w:left="0" w:leftChars="0" w:firstLine="0" w:firstLineChars="0"/>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在操动机构以及辅助和控制回路的额定电源电压和额定操作压力下（适用时）对主触头闭合时脱扣机构带电的断路器，进行5次合-分操作循环；此外，对于用作快速自动重合闸的断路器，则进行5次分-t-合的操作循环。</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c>
          <w:tcPr>
            <w:tcW w:w="682" w:type="dxa"/>
            <w:vAlign w:val="center"/>
          </w:tcPr>
          <w:p>
            <w:pPr>
              <w:ind w:left="0" w:leftChars="0" w:firstLine="0" w:firstLineChars="0"/>
              <w:jc w:val="center"/>
              <w:outlineLvl w:val="9"/>
              <w:rPr>
                <w:rFonts w:hint="eastAsia"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val="en-US" w:eastAsia="zh-CN"/>
              </w:rPr>
              <w:t>7</w:t>
            </w:r>
          </w:p>
        </w:tc>
        <w:tc>
          <w:tcPr>
            <w:tcW w:w="2387" w:type="dxa"/>
            <w:vAlign w:val="center"/>
          </w:tcPr>
          <w:p>
            <w:pPr>
              <w:snapToGrid w:val="0"/>
              <w:spacing w:line="288" w:lineRule="auto"/>
              <w:ind w:left="0" w:leftChars="0" w:firstLine="0" w:firstLineChars="0"/>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测量断路器主、辅触头分、合闸的同期性及配合时间</w:t>
            </w:r>
          </w:p>
        </w:tc>
        <w:tc>
          <w:tcPr>
            <w:tcW w:w="5459" w:type="dxa"/>
            <w:vAlign w:val="center"/>
          </w:tcPr>
          <w:p>
            <w:pPr>
              <w:snapToGrid w:val="0"/>
              <w:spacing w:line="288" w:lineRule="auto"/>
              <w:ind w:left="0" w:leftChars="0" w:firstLine="0" w:firstLineChars="0"/>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断路器辅助开关触头分合闸同期性及主触头配合时间应符合产品技术条件的规定。</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c>
          <w:tcPr>
            <w:tcW w:w="682" w:type="dxa"/>
            <w:vAlign w:val="center"/>
          </w:tcPr>
          <w:p>
            <w:pPr>
              <w:ind w:left="0" w:leftChars="0" w:firstLine="0" w:firstLineChars="0"/>
              <w:jc w:val="center"/>
              <w:outlineLvl w:val="9"/>
              <w:rPr>
                <w:rFonts w:hint="eastAsia"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val="en-US" w:eastAsia="zh-CN"/>
              </w:rPr>
              <w:t>8</w:t>
            </w:r>
          </w:p>
        </w:tc>
        <w:tc>
          <w:tcPr>
            <w:tcW w:w="2387" w:type="dxa"/>
            <w:vAlign w:val="center"/>
          </w:tcPr>
          <w:p>
            <w:pPr>
              <w:snapToGrid w:val="0"/>
              <w:spacing w:line="288" w:lineRule="auto"/>
              <w:ind w:left="0" w:leftChars="0" w:firstLine="0" w:firstLineChars="0"/>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电流互感器试验（适用时）</w:t>
            </w:r>
          </w:p>
        </w:tc>
        <w:tc>
          <w:tcPr>
            <w:tcW w:w="5459" w:type="dxa"/>
            <w:vAlign w:val="center"/>
          </w:tcPr>
          <w:p>
            <w:pPr>
              <w:snapToGrid w:val="0"/>
              <w:spacing w:line="288" w:lineRule="auto"/>
              <w:ind w:left="0" w:leftChars="0" w:firstLine="0" w:firstLineChars="0"/>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二次绕组工频耐压、绕组段间工频耐压、匝间过电压试验、误差测定</w:t>
            </w:r>
          </w:p>
        </w:tc>
      </w:tr>
    </w:tbl>
    <w:p>
      <w:pPr>
        <w:ind w:left="0" w:leftChars="0" w:firstLine="480" w:firstLineChars="200"/>
        <w:outlineLvl w:val="9"/>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eastAsia="zh-CN"/>
        </w:rPr>
        <w:t>交接</w:t>
      </w:r>
      <w:r>
        <w:rPr>
          <w:rFonts w:hint="eastAsia" w:asciiTheme="minorEastAsia" w:hAnsiTheme="minorEastAsia" w:eastAsiaTheme="minorEastAsia"/>
          <w:sz w:val="24"/>
          <w:szCs w:val="24"/>
          <w:highlight w:val="none"/>
        </w:rPr>
        <w:t>试验项目见</w:t>
      </w:r>
      <w:r>
        <w:rPr>
          <w:rFonts w:hint="eastAsia" w:asciiTheme="minorEastAsia" w:hAnsiTheme="minorEastAsia" w:eastAsiaTheme="minorEastAsia"/>
          <w:sz w:val="24"/>
          <w:szCs w:val="24"/>
          <w:highlight w:val="none"/>
          <w:lang w:eastAsia="zh-CN"/>
        </w:rPr>
        <w:t>下表</w:t>
      </w:r>
      <w:r>
        <w:rPr>
          <w:rFonts w:hint="eastAsia" w:asciiTheme="minorEastAsia" w:hAnsiTheme="minorEastAsia" w:eastAsiaTheme="minorEastAsia"/>
          <w:sz w:val="24"/>
          <w:szCs w:val="24"/>
          <w:highlight w:val="none"/>
        </w:rPr>
        <w:t>，试验按GB 50150－2006电气装置安装工程电气设备交接试验标准13  六氟化硫断路器的要求进行，试验参数还应符合本技术规范书的规定，并做补充规定如下</w:t>
      </w:r>
      <w:r>
        <w:rPr>
          <w:rFonts w:asciiTheme="minorEastAsia" w:hAnsiTheme="minorEastAsia" w:eastAsiaTheme="minorEastAsia"/>
          <w:sz w:val="24"/>
          <w:szCs w:val="24"/>
          <w:highlight w:val="none"/>
        </w:rPr>
        <w:t>。</w:t>
      </w:r>
    </w:p>
    <w:p>
      <w:pPr>
        <w:ind w:left="0" w:leftChars="0" w:firstLine="480" w:firstLineChars="200"/>
        <w:outlineLvl w:val="9"/>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eastAsia="zh-CN"/>
        </w:rPr>
        <w:t>交接</w:t>
      </w:r>
      <w:r>
        <w:rPr>
          <w:rFonts w:asciiTheme="minorEastAsia" w:hAnsiTheme="minorEastAsia" w:eastAsiaTheme="minorEastAsia"/>
          <w:sz w:val="24"/>
          <w:szCs w:val="24"/>
          <w:highlight w:val="none"/>
        </w:rPr>
        <w:t>试验项目及补充规定</w:t>
      </w:r>
    </w:p>
    <w:tbl>
      <w:tblPr>
        <w:tblStyle w:val="42"/>
        <w:tblW w:w="8528"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460"/>
        <w:gridCol w:w="2376"/>
        <w:gridCol w:w="569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505" w:hRule="atLeast"/>
          <w:tblHeader/>
        </w:trPr>
        <w:tc>
          <w:tcPr>
            <w:tcW w:w="460" w:type="dxa"/>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序号</w:t>
            </w:r>
          </w:p>
        </w:tc>
        <w:tc>
          <w:tcPr>
            <w:tcW w:w="2376" w:type="dxa"/>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出厂试验项目</w:t>
            </w:r>
          </w:p>
        </w:tc>
        <w:tc>
          <w:tcPr>
            <w:tcW w:w="5692" w:type="dxa"/>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补充规定</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blHeader/>
        </w:trPr>
        <w:tc>
          <w:tcPr>
            <w:tcW w:w="460" w:type="dxa"/>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1</w:t>
            </w:r>
          </w:p>
        </w:tc>
        <w:tc>
          <w:tcPr>
            <w:tcW w:w="2376" w:type="dxa"/>
            <w:vAlign w:val="center"/>
          </w:tcPr>
          <w:p>
            <w:pPr>
              <w:snapToGrid w:val="0"/>
              <w:spacing w:line="288" w:lineRule="auto"/>
              <w:ind w:left="0" w:leftChars="0" w:firstLine="0" w:firstLineChars="0"/>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测量绝缘电阻</w:t>
            </w:r>
          </w:p>
        </w:tc>
        <w:tc>
          <w:tcPr>
            <w:tcW w:w="5692" w:type="dxa"/>
            <w:vAlign w:val="center"/>
          </w:tcPr>
          <w:p>
            <w:pPr>
              <w:snapToGrid w:val="0"/>
              <w:spacing w:line="288" w:lineRule="auto"/>
              <w:ind w:left="0" w:leftChars="0" w:firstLine="0" w:firstLineChars="0"/>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测量断路器的绝缘电阻值： 整体绝缘电阻值测量，应参照制造厂规定。</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339" w:hRule="atLeast"/>
          <w:tblHeader/>
        </w:trPr>
        <w:tc>
          <w:tcPr>
            <w:tcW w:w="460" w:type="dxa"/>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2</w:t>
            </w:r>
          </w:p>
        </w:tc>
        <w:tc>
          <w:tcPr>
            <w:tcW w:w="2376" w:type="dxa"/>
            <w:vAlign w:val="center"/>
          </w:tcPr>
          <w:p>
            <w:pPr>
              <w:snapToGrid w:val="0"/>
              <w:spacing w:line="288" w:lineRule="auto"/>
              <w:ind w:left="0" w:leftChars="0" w:firstLine="0" w:firstLineChars="0"/>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测量每相导电回路的电阻</w:t>
            </w:r>
          </w:p>
        </w:tc>
        <w:tc>
          <w:tcPr>
            <w:tcW w:w="5692" w:type="dxa"/>
            <w:vAlign w:val="center"/>
          </w:tcPr>
          <w:p>
            <w:pPr>
              <w:snapToGrid w:val="0"/>
              <w:spacing w:line="288" w:lineRule="auto"/>
              <w:ind w:left="0" w:leftChars="0" w:firstLine="0" w:firstLineChars="0"/>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每相导电回路的电阻值测量，宜采用电流不小于100A的直流压降法。测试结果应符合产品技术条件的规定。</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blHeader/>
        </w:trPr>
        <w:tc>
          <w:tcPr>
            <w:tcW w:w="460" w:type="dxa"/>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3</w:t>
            </w:r>
          </w:p>
        </w:tc>
        <w:tc>
          <w:tcPr>
            <w:tcW w:w="2376" w:type="dxa"/>
            <w:vAlign w:val="center"/>
          </w:tcPr>
          <w:p>
            <w:pPr>
              <w:snapToGrid w:val="0"/>
              <w:spacing w:line="288" w:lineRule="auto"/>
              <w:ind w:left="0" w:leftChars="0" w:firstLine="0" w:firstLineChars="0"/>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交流耐压试验</w:t>
            </w:r>
          </w:p>
        </w:tc>
        <w:tc>
          <w:tcPr>
            <w:tcW w:w="5692" w:type="dxa"/>
            <w:vAlign w:val="center"/>
          </w:tcPr>
          <w:p>
            <w:pPr>
              <w:snapToGrid w:val="0"/>
              <w:spacing w:line="288" w:lineRule="auto"/>
              <w:ind w:left="0" w:leftChars="0" w:firstLine="0" w:firstLineChars="0"/>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 xml:space="preserve">交流耐压试验，应符合下列规定： </w:t>
            </w:r>
          </w:p>
          <w:p>
            <w:pPr>
              <w:snapToGrid w:val="0"/>
              <w:spacing w:line="288" w:lineRule="auto"/>
              <w:ind w:left="0" w:leftChars="0" w:firstLine="0" w:firstLineChars="0"/>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1 在SF6 气压为额定值时进行。试验电压按出厂试验电压的 80%；</w:t>
            </w:r>
          </w:p>
          <w:p>
            <w:pPr>
              <w:snapToGrid w:val="0"/>
              <w:spacing w:line="288" w:lineRule="auto"/>
              <w:ind w:left="0" w:leftChars="0" w:firstLine="0" w:firstLineChars="0"/>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2 110kV以下电压等级应进行合闸对地和断口间耐压试验；</w:t>
            </w:r>
          </w:p>
          <w:p>
            <w:pPr>
              <w:snapToGrid w:val="0"/>
              <w:spacing w:line="288" w:lineRule="auto"/>
              <w:ind w:left="0" w:leftChars="0" w:firstLine="0" w:firstLineChars="0"/>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 xml:space="preserve">3 罐式断路器应进行合闸对地和断口间耐压试验； </w:t>
            </w:r>
          </w:p>
          <w:p>
            <w:pPr>
              <w:snapToGrid w:val="0"/>
              <w:spacing w:line="288" w:lineRule="auto"/>
              <w:ind w:left="0" w:leftChars="0" w:firstLine="0" w:firstLineChars="0"/>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4 500kV定开距瓷柱式断路器只进行断口耐压试验。</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blHeader/>
        </w:trPr>
        <w:tc>
          <w:tcPr>
            <w:tcW w:w="460" w:type="dxa"/>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4</w:t>
            </w:r>
          </w:p>
        </w:tc>
        <w:tc>
          <w:tcPr>
            <w:tcW w:w="2376" w:type="dxa"/>
            <w:vAlign w:val="center"/>
          </w:tcPr>
          <w:p>
            <w:pPr>
              <w:snapToGrid w:val="0"/>
              <w:spacing w:line="288" w:lineRule="auto"/>
              <w:ind w:left="0" w:leftChars="0" w:firstLine="0" w:firstLineChars="0"/>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断路器均压电容器的试验</w:t>
            </w:r>
          </w:p>
        </w:tc>
        <w:tc>
          <w:tcPr>
            <w:tcW w:w="5692" w:type="dxa"/>
            <w:vAlign w:val="center"/>
          </w:tcPr>
          <w:p>
            <w:pPr>
              <w:snapToGrid w:val="0"/>
              <w:spacing w:line="288" w:lineRule="auto"/>
              <w:ind w:left="0" w:leftChars="0" w:firstLine="0" w:firstLineChars="0"/>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 xml:space="preserve"> 断路器均压电容器的试验，应符合本标准第19章的有关规定。罐式断路器的均压电容器试验可按制造厂的规定进行。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blHeader/>
        </w:trPr>
        <w:tc>
          <w:tcPr>
            <w:tcW w:w="460" w:type="dxa"/>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5</w:t>
            </w:r>
          </w:p>
        </w:tc>
        <w:tc>
          <w:tcPr>
            <w:tcW w:w="2376" w:type="dxa"/>
            <w:vAlign w:val="center"/>
          </w:tcPr>
          <w:p>
            <w:pPr>
              <w:snapToGrid w:val="0"/>
              <w:spacing w:line="288" w:lineRule="auto"/>
              <w:ind w:left="0" w:leftChars="0" w:firstLine="0" w:firstLineChars="0"/>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测量断路器的分、合闸时间</w:t>
            </w:r>
          </w:p>
        </w:tc>
        <w:tc>
          <w:tcPr>
            <w:tcW w:w="5692" w:type="dxa"/>
            <w:vAlign w:val="center"/>
          </w:tcPr>
          <w:p>
            <w:pPr>
              <w:snapToGrid w:val="0"/>
              <w:spacing w:line="288" w:lineRule="auto"/>
              <w:ind w:left="0" w:leftChars="0" w:firstLine="0" w:firstLineChars="0"/>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测量断路器的分、合闸时间，应在断路器的额定操作电压、气压或液压下进行。实测数值应符合产品技术条件的规定</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blHeader/>
        </w:trPr>
        <w:tc>
          <w:tcPr>
            <w:tcW w:w="460" w:type="dxa"/>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6</w:t>
            </w:r>
          </w:p>
        </w:tc>
        <w:tc>
          <w:tcPr>
            <w:tcW w:w="2376" w:type="dxa"/>
            <w:vAlign w:val="center"/>
          </w:tcPr>
          <w:p>
            <w:pPr>
              <w:snapToGrid w:val="0"/>
              <w:spacing w:line="288" w:lineRule="auto"/>
              <w:ind w:left="0" w:leftChars="0" w:firstLine="0" w:firstLineChars="0"/>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测量断路器的分、合闸速度</w:t>
            </w:r>
          </w:p>
        </w:tc>
        <w:tc>
          <w:tcPr>
            <w:tcW w:w="5692" w:type="dxa"/>
            <w:vAlign w:val="center"/>
          </w:tcPr>
          <w:p>
            <w:pPr>
              <w:snapToGrid w:val="0"/>
              <w:spacing w:line="288" w:lineRule="auto"/>
              <w:ind w:left="0" w:leftChars="0" w:firstLine="0" w:firstLineChars="0"/>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测量断路器的分、合闸速度，应在断路器的额定操作电压、气压或液压下进行。实测数值应符合产品技术条件的规定。现场无条件安装采样装置的断路器，可不进行本试验</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blHeader/>
        </w:trPr>
        <w:tc>
          <w:tcPr>
            <w:tcW w:w="460" w:type="dxa"/>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7</w:t>
            </w:r>
          </w:p>
        </w:tc>
        <w:tc>
          <w:tcPr>
            <w:tcW w:w="2376" w:type="dxa"/>
            <w:vAlign w:val="center"/>
          </w:tcPr>
          <w:p>
            <w:pPr>
              <w:snapToGrid w:val="0"/>
              <w:spacing w:line="288" w:lineRule="auto"/>
              <w:ind w:left="0" w:leftChars="0" w:firstLine="0" w:firstLineChars="0"/>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测量断路器主、辅触头分、合闸的同期性及配合时间</w:t>
            </w:r>
          </w:p>
        </w:tc>
        <w:tc>
          <w:tcPr>
            <w:tcW w:w="5692" w:type="dxa"/>
            <w:vAlign w:val="center"/>
          </w:tcPr>
          <w:p>
            <w:pPr>
              <w:snapToGrid w:val="0"/>
              <w:spacing w:line="288" w:lineRule="auto"/>
              <w:ind w:left="0" w:leftChars="0" w:firstLine="0" w:firstLineChars="0"/>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测量断路器主、辅触头三相及同相各断口分、合闸的同期性及配合时间，应符合产品技术条件的规定</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blHeader/>
        </w:trPr>
        <w:tc>
          <w:tcPr>
            <w:tcW w:w="460" w:type="dxa"/>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8</w:t>
            </w:r>
          </w:p>
        </w:tc>
        <w:tc>
          <w:tcPr>
            <w:tcW w:w="2376" w:type="dxa"/>
            <w:vAlign w:val="center"/>
          </w:tcPr>
          <w:p>
            <w:pPr>
              <w:snapToGrid w:val="0"/>
              <w:spacing w:line="288" w:lineRule="auto"/>
              <w:ind w:left="0" w:leftChars="0" w:firstLine="0" w:firstLineChars="0"/>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测量断路器合闸电阻的投入时间及电阻值</w:t>
            </w:r>
          </w:p>
        </w:tc>
        <w:tc>
          <w:tcPr>
            <w:tcW w:w="5692" w:type="dxa"/>
            <w:vAlign w:val="center"/>
          </w:tcPr>
          <w:p>
            <w:pPr>
              <w:snapToGrid w:val="0"/>
              <w:spacing w:line="288" w:lineRule="auto"/>
              <w:ind w:left="0" w:leftChars="0" w:firstLine="0" w:firstLineChars="0"/>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测量断路器合闸电阻的投入时间及电阻值，应符合产品技术条件的规定</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blHeader/>
        </w:trPr>
        <w:tc>
          <w:tcPr>
            <w:tcW w:w="460" w:type="dxa"/>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9</w:t>
            </w:r>
          </w:p>
        </w:tc>
        <w:tc>
          <w:tcPr>
            <w:tcW w:w="2376" w:type="dxa"/>
            <w:vAlign w:val="center"/>
          </w:tcPr>
          <w:p>
            <w:pPr>
              <w:snapToGrid w:val="0"/>
              <w:spacing w:line="288" w:lineRule="auto"/>
              <w:ind w:left="0" w:leftChars="0" w:firstLine="0" w:firstLineChars="0"/>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测量断路器分、合闸线圈绝缘电阻及直流电阻</w:t>
            </w:r>
          </w:p>
        </w:tc>
        <w:tc>
          <w:tcPr>
            <w:tcW w:w="5692" w:type="dxa"/>
            <w:vAlign w:val="center"/>
          </w:tcPr>
          <w:p>
            <w:pPr>
              <w:snapToGrid w:val="0"/>
              <w:spacing w:line="288" w:lineRule="auto"/>
              <w:ind w:left="0" w:leftChars="0" w:firstLine="0" w:firstLineChars="0"/>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测量断路器分、合闸线圈的绝缘电阻值，不应低于10MΩ，直流电阻值与产品出厂试验值相比应无明显差别</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blHeader/>
        </w:trPr>
        <w:tc>
          <w:tcPr>
            <w:tcW w:w="460" w:type="dxa"/>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10</w:t>
            </w:r>
          </w:p>
        </w:tc>
        <w:tc>
          <w:tcPr>
            <w:tcW w:w="2376" w:type="dxa"/>
            <w:vAlign w:val="center"/>
          </w:tcPr>
          <w:p>
            <w:pPr>
              <w:snapToGrid w:val="0"/>
              <w:spacing w:line="288" w:lineRule="auto"/>
              <w:ind w:left="0" w:leftChars="0" w:firstLine="0" w:firstLineChars="0"/>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断路器操动机构的试验</w:t>
            </w:r>
          </w:p>
        </w:tc>
        <w:tc>
          <w:tcPr>
            <w:tcW w:w="5692" w:type="dxa"/>
            <w:vAlign w:val="center"/>
          </w:tcPr>
          <w:p>
            <w:pPr>
              <w:snapToGrid w:val="0"/>
              <w:spacing w:line="288" w:lineRule="auto"/>
              <w:ind w:left="0" w:leftChars="0" w:firstLine="0" w:firstLineChars="0"/>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断路器操动机构的试验，应按本标准第10.0.12 条的有关规定进行</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blHeader/>
        </w:trPr>
        <w:tc>
          <w:tcPr>
            <w:tcW w:w="460" w:type="dxa"/>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11</w:t>
            </w:r>
          </w:p>
        </w:tc>
        <w:tc>
          <w:tcPr>
            <w:tcW w:w="2376" w:type="dxa"/>
            <w:vAlign w:val="center"/>
          </w:tcPr>
          <w:p>
            <w:pPr>
              <w:snapToGrid w:val="0"/>
              <w:spacing w:line="288" w:lineRule="auto"/>
              <w:ind w:left="0" w:leftChars="0" w:firstLine="0" w:firstLineChars="0"/>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套管式电流互感器的试验</w:t>
            </w:r>
          </w:p>
        </w:tc>
        <w:tc>
          <w:tcPr>
            <w:tcW w:w="5692" w:type="dxa"/>
            <w:vAlign w:val="center"/>
          </w:tcPr>
          <w:p>
            <w:pPr>
              <w:snapToGrid w:val="0"/>
              <w:spacing w:line="288" w:lineRule="auto"/>
              <w:ind w:left="0" w:leftChars="0" w:firstLine="0" w:firstLineChars="0"/>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套管式电流互感器的试验，应按本标准第9章的有关规定进行</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blHeader/>
        </w:trPr>
        <w:tc>
          <w:tcPr>
            <w:tcW w:w="460" w:type="dxa"/>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12</w:t>
            </w:r>
          </w:p>
        </w:tc>
        <w:tc>
          <w:tcPr>
            <w:tcW w:w="2376" w:type="dxa"/>
            <w:vAlign w:val="center"/>
          </w:tcPr>
          <w:p>
            <w:pPr>
              <w:snapToGrid w:val="0"/>
              <w:spacing w:line="288" w:lineRule="auto"/>
              <w:ind w:left="0" w:leftChars="0" w:firstLine="0" w:firstLineChars="0"/>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测量断路器内 SF6 气体的含水量</w:t>
            </w:r>
          </w:p>
        </w:tc>
        <w:tc>
          <w:tcPr>
            <w:tcW w:w="5692" w:type="dxa"/>
            <w:vAlign w:val="center"/>
          </w:tcPr>
          <w:p>
            <w:pPr>
              <w:snapToGrid w:val="0"/>
              <w:spacing w:line="288" w:lineRule="auto"/>
              <w:ind w:left="0" w:leftChars="0" w:firstLine="0" w:firstLineChars="0"/>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 xml:space="preserve">测量断路器内 SF6 的气体含水量（20℃的体积分数），应符合下列规定： </w:t>
            </w:r>
          </w:p>
          <w:p>
            <w:pPr>
              <w:snapToGrid w:val="0"/>
              <w:spacing w:line="288" w:lineRule="auto"/>
              <w:ind w:left="0" w:leftChars="0" w:firstLine="0" w:firstLineChars="0"/>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 xml:space="preserve">1 与灭弧室相通的气室，应小于150μL/L； </w:t>
            </w:r>
          </w:p>
          <w:p>
            <w:pPr>
              <w:snapToGrid w:val="0"/>
              <w:spacing w:line="288" w:lineRule="auto"/>
              <w:ind w:left="0" w:leftChars="0" w:firstLine="0" w:firstLineChars="0"/>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 xml:space="preserve">2 不与灭弧室相通的气室，应小于250μL/L； </w:t>
            </w:r>
          </w:p>
          <w:p>
            <w:pPr>
              <w:snapToGrid w:val="0"/>
              <w:spacing w:line="288" w:lineRule="auto"/>
              <w:ind w:left="0" w:leftChars="0" w:firstLine="0" w:firstLineChars="0"/>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3 SF6气体含水量的测定应在断路器充气 48h 后进行。</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blHeader/>
        </w:trPr>
        <w:tc>
          <w:tcPr>
            <w:tcW w:w="460" w:type="dxa"/>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13</w:t>
            </w:r>
          </w:p>
        </w:tc>
        <w:tc>
          <w:tcPr>
            <w:tcW w:w="2376" w:type="dxa"/>
            <w:vAlign w:val="center"/>
          </w:tcPr>
          <w:p>
            <w:pPr>
              <w:snapToGrid w:val="0"/>
              <w:spacing w:line="288" w:lineRule="auto"/>
              <w:ind w:left="0" w:leftChars="0" w:firstLine="0" w:firstLineChars="0"/>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密封性试验</w:t>
            </w:r>
          </w:p>
        </w:tc>
        <w:tc>
          <w:tcPr>
            <w:tcW w:w="5692" w:type="dxa"/>
            <w:vAlign w:val="center"/>
          </w:tcPr>
          <w:p>
            <w:pPr>
              <w:snapToGrid w:val="0"/>
              <w:spacing w:line="288" w:lineRule="auto"/>
              <w:ind w:left="0" w:leftChars="0" w:firstLine="0" w:firstLineChars="0"/>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 xml:space="preserve">密封试验可采用下列方法进行： </w:t>
            </w:r>
          </w:p>
          <w:p>
            <w:pPr>
              <w:snapToGrid w:val="0"/>
              <w:spacing w:line="288" w:lineRule="auto"/>
              <w:ind w:left="0" w:leftChars="0" w:firstLine="0" w:firstLineChars="0"/>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 xml:space="preserve">1采用灵敏度不低于1×10－6 (体积比)的检漏仪对断路器各密封部位、管道接头等处进行检测时，检漏仪不应报警； </w:t>
            </w:r>
          </w:p>
          <w:p>
            <w:pPr>
              <w:snapToGrid w:val="0"/>
              <w:spacing w:line="288" w:lineRule="auto"/>
              <w:ind w:left="0" w:leftChars="0" w:firstLine="0" w:firstLineChars="0"/>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 xml:space="preserve">2 必要时可采用局部包扎法进行气体泄漏测量。以 24h 的漏气量换算，每一个气室年漏气率不应大于1%； </w:t>
            </w:r>
          </w:p>
          <w:p>
            <w:pPr>
              <w:snapToGrid w:val="0"/>
              <w:spacing w:line="288" w:lineRule="auto"/>
              <w:ind w:left="0" w:leftChars="0" w:firstLine="0" w:firstLineChars="0"/>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 xml:space="preserve">3 泄漏值的测量应在断路器充气 24h 后进行。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blHeader/>
        </w:trPr>
        <w:tc>
          <w:tcPr>
            <w:tcW w:w="460" w:type="dxa"/>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14</w:t>
            </w:r>
          </w:p>
        </w:tc>
        <w:tc>
          <w:tcPr>
            <w:tcW w:w="2376" w:type="dxa"/>
            <w:vAlign w:val="center"/>
          </w:tcPr>
          <w:p>
            <w:pPr>
              <w:snapToGrid w:val="0"/>
              <w:spacing w:line="288" w:lineRule="auto"/>
              <w:ind w:left="0" w:leftChars="0" w:firstLine="0" w:firstLineChars="0"/>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气体密度继电器、压力表和压力动作阀的检查</w:t>
            </w:r>
          </w:p>
        </w:tc>
        <w:tc>
          <w:tcPr>
            <w:tcW w:w="5692" w:type="dxa"/>
            <w:vAlign w:val="center"/>
          </w:tcPr>
          <w:p>
            <w:pPr>
              <w:snapToGrid w:val="0"/>
              <w:spacing w:line="288" w:lineRule="auto"/>
              <w:ind w:left="0" w:leftChars="0" w:firstLine="0" w:firstLineChars="0"/>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在充气过程中检查气体密度继电器及压力动作阀的动作值，应符合产品技术条件的规定。对单体到现场的这些设备，应进行校验</w:t>
            </w:r>
          </w:p>
        </w:tc>
      </w:tr>
    </w:tbl>
    <w:p>
      <w:pPr>
        <w:snapToGrid w:val="0"/>
        <w:spacing w:line="288" w:lineRule="auto"/>
        <w:ind w:left="0" w:leftChars="0" w:firstLine="0" w:firstLineChars="0"/>
        <w:outlineLvl w:val="9"/>
        <w:rPr>
          <w:rFonts w:asciiTheme="minorEastAsia" w:hAnsiTheme="minorEastAsia" w:eastAsiaTheme="minorEastAsia"/>
          <w:sz w:val="21"/>
          <w:szCs w:val="21"/>
          <w:highlight w:val="none"/>
        </w:rPr>
      </w:pPr>
    </w:p>
    <w:p>
      <w:pPr>
        <w:keepNext w:val="0"/>
        <w:keepLines w:val="0"/>
        <w:numPr>
          <w:ilvl w:val="0"/>
          <w:numId w:val="1"/>
        </w:numPr>
        <w:tabs>
          <w:tab w:val="left" w:pos="480"/>
          <w:tab w:val="left" w:pos="720"/>
        </w:tabs>
        <w:topLinePunct/>
        <w:snapToGrid w:val="0"/>
        <w:spacing w:before="0" w:after="0" w:line="312" w:lineRule="auto"/>
        <w:ind w:left="425" w:leftChars="0" w:hanging="425" w:firstLineChars="0"/>
        <w:jc w:val="left"/>
        <w:outlineLvl w:val="1"/>
        <w:rPr>
          <w:rFonts w:hint="eastAsia" w:asciiTheme="minorEastAsia" w:hAnsiTheme="minorEastAsia" w:eastAsiaTheme="minorEastAsia"/>
          <w:b/>
          <w:bCs/>
          <w:sz w:val="24"/>
          <w:szCs w:val="24"/>
          <w:highlight w:val="none"/>
          <w:lang w:val="en-US" w:eastAsia="zh-CN"/>
        </w:rPr>
      </w:pPr>
      <w:bookmarkStart w:id="7" w:name="_Toc318700419"/>
      <w:bookmarkStart w:id="8" w:name="_Toc320283052"/>
      <w:bookmarkStart w:id="9" w:name="_Toc321919026"/>
      <w:bookmarkStart w:id="10" w:name="_Toc8788"/>
      <w:r>
        <w:rPr>
          <w:rFonts w:hint="eastAsia" w:asciiTheme="minorEastAsia" w:hAnsiTheme="minorEastAsia" w:eastAsiaTheme="minorEastAsia"/>
          <w:b/>
          <w:bCs/>
          <w:sz w:val="24"/>
          <w:szCs w:val="24"/>
          <w:highlight w:val="none"/>
          <w:lang w:val="en-US" w:eastAsia="zh-CN"/>
        </w:rPr>
        <w:t>设备材料供应</w:t>
      </w:r>
      <w:bookmarkEnd w:id="7"/>
      <w:bookmarkEnd w:id="8"/>
      <w:bookmarkEnd w:id="9"/>
      <w:bookmarkEnd w:id="10"/>
    </w:p>
    <w:p>
      <w:pPr>
        <w:snapToGrid w:val="0"/>
        <w:spacing w:line="288" w:lineRule="auto"/>
        <w:ind w:firstLine="480" w:firstLineChars="200"/>
        <w:outlineLvl w:val="9"/>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val="en-US" w:eastAsia="zh-CN"/>
        </w:rPr>
        <w:t>5</w:t>
      </w:r>
      <w:r>
        <w:rPr>
          <w:rFonts w:hint="eastAsia" w:asciiTheme="minorEastAsia" w:hAnsiTheme="minorEastAsia" w:eastAsiaTheme="minorEastAsia"/>
          <w:sz w:val="24"/>
          <w:szCs w:val="24"/>
          <w:highlight w:val="none"/>
        </w:rPr>
        <w:t>.1本项目的所有</w:t>
      </w:r>
      <w:r>
        <w:rPr>
          <w:rFonts w:hint="eastAsia" w:asciiTheme="minorEastAsia" w:hAnsiTheme="minorEastAsia" w:eastAsiaTheme="minorEastAsia"/>
          <w:sz w:val="24"/>
          <w:szCs w:val="24"/>
          <w:highlight w:val="none"/>
          <w:lang w:eastAsia="zh-CN"/>
        </w:rPr>
        <w:t>设备、</w:t>
      </w:r>
      <w:r>
        <w:rPr>
          <w:rFonts w:hint="eastAsia" w:asciiTheme="minorEastAsia" w:hAnsiTheme="minorEastAsia" w:eastAsiaTheme="minorEastAsia"/>
          <w:sz w:val="24"/>
          <w:szCs w:val="24"/>
          <w:highlight w:val="none"/>
        </w:rPr>
        <w:t>材料由投标方负责自行采购，且费用包含在合同价款中。检修工程所涉及到消耗性材料、更换相应部件所需要的配件</w:t>
      </w:r>
      <w:r>
        <w:rPr>
          <w:rFonts w:hint="eastAsia" w:asciiTheme="minorEastAsia" w:hAnsiTheme="minorEastAsia" w:eastAsiaTheme="minorEastAsia"/>
          <w:sz w:val="24"/>
          <w:szCs w:val="24"/>
          <w:highlight w:val="none"/>
          <w:lang w:eastAsia="zh-CN"/>
        </w:rPr>
        <w:t>（</w:t>
      </w:r>
      <w:r>
        <w:rPr>
          <w:rFonts w:hint="eastAsia" w:asciiTheme="minorEastAsia" w:hAnsiTheme="minorEastAsia" w:eastAsiaTheme="minorEastAsia"/>
          <w:sz w:val="24"/>
          <w:szCs w:val="24"/>
          <w:highlight w:val="none"/>
        </w:rPr>
        <w:t>包括但不限于下表内容</w:t>
      </w:r>
      <w:r>
        <w:rPr>
          <w:rFonts w:hint="eastAsia" w:asciiTheme="minorEastAsia" w:hAnsiTheme="minorEastAsia" w:eastAsiaTheme="minorEastAsia"/>
          <w:sz w:val="24"/>
          <w:szCs w:val="24"/>
          <w:highlight w:val="none"/>
          <w:lang w:eastAsia="zh-CN"/>
        </w:rPr>
        <w:t>）</w:t>
      </w:r>
    </w:p>
    <w:tbl>
      <w:tblPr>
        <w:tblStyle w:val="42"/>
        <w:tblW w:w="8432" w:type="dxa"/>
        <w:tblInd w:w="0" w:type="dxa"/>
        <w:tblLayout w:type="fixed"/>
        <w:tblCellMar>
          <w:top w:w="0" w:type="dxa"/>
          <w:left w:w="108" w:type="dxa"/>
          <w:bottom w:w="0" w:type="dxa"/>
          <w:right w:w="108" w:type="dxa"/>
        </w:tblCellMar>
      </w:tblPr>
      <w:tblGrid>
        <w:gridCol w:w="644"/>
        <w:gridCol w:w="2382"/>
        <w:gridCol w:w="2220"/>
        <w:gridCol w:w="845"/>
        <w:gridCol w:w="751"/>
        <w:gridCol w:w="1590"/>
      </w:tblGrid>
      <w:tr>
        <w:tblPrEx>
          <w:tblLayout w:type="fixed"/>
          <w:tblCellMar>
            <w:top w:w="0" w:type="dxa"/>
            <w:left w:w="108" w:type="dxa"/>
            <w:bottom w:w="0" w:type="dxa"/>
            <w:right w:w="108" w:type="dxa"/>
          </w:tblCellMar>
        </w:tblPrEx>
        <w:trPr>
          <w:trHeight w:val="1104" w:hRule="atLeast"/>
        </w:trPr>
        <w:tc>
          <w:tcPr>
            <w:tcW w:w="644"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序号</w:t>
            </w:r>
          </w:p>
        </w:tc>
        <w:tc>
          <w:tcPr>
            <w:tcW w:w="2382"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物资名称</w:t>
            </w:r>
          </w:p>
        </w:tc>
        <w:tc>
          <w:tcPr>
            <w:tcW w:w="2220" w:type="dxa"/>
            <w:tcBorders>
              <w:top w:val="single" w:color="auto" w:sz="4" w:space="0"/>
              <w:left w:val="nil"/>
              <w:bottom w:val="single" w:color="auto" w:sz="4" w:space="0"/>
              <w:right w:val="single" w:color="auto"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型号规格</w:t>
            </w:r>
          </w:p>
        </w:tc>
        <w:tc>
          <w:tcPr>
            <w:tcW w:w="845" w:type="dxa"/>
            <w:tcBorders>
              <w:top w:val="single" w:color="auto" w:sz="4" w:space="0"/>
              <w:left w:val="nil"/>
              <w:bottom w:val="single" w:color="auto" w:sz="4" w:space="0"/>
              <w:right w:val="single" w:color="auto"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单位</w:t>
            </w:r>
          </w:p>
        </w:tc>
        <w:tc>
          <w:tcPr>
            <w:tcW w:w="751" w:type="dxa"/>
            <w:tcBorders>
              <w:top w:val="single" w:color="auto" w:sz="4" w:space="0"/>
              <w:left w:val="nil"/>
              <w:bottom w:val="single" w:color="auto" w:sz="4" w:space="0"/>
              <w:right w:val="single" w:color="auto"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数量</w:t>
            </w:r>
          </w:p>
        </w:tc>
        <w:tc>
          <w:tcPr>
            <w:tcW w:w="1590" w:type="dxa"/>
            <w:tcBorders>
              <w:top w:val="single" w:color="auto" w:sz="4" w:space="0"/>
              <w:left w:val="nil"/>
              <w:bottom w:val="single" w:color="auto" w:sz="4" w:space="0"/>
              <w:right w:val="single" w:color="auto"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备注</w:t>
            </w:r>
          </w:p>
        </w:tc>
      </w:tr>
      <w:tr>
        <w:tblPrEx>
          <w:tblLayout w:type="fixed"/>
          <w:tblCellMar>
            <w:top w:w="0" w:type="dxa"/>
            <w:left w:w="108" w:type="dxa"/>
            <w:bottom w:w="0" w:type="dxa"/>
            <w:right w:w="108" w:type="dxa"/>
          </w:tblCellMar>
        </w:tblPrEx>
        <w:trPr>
          <w:trHeight w:val="443" w:hRule="atLeast"/>
        </w:trPr>
        <w:tc>
          <w:tcPr>
            <w:tcW w:w="644"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1</w:t>
            </w:r>
          </w:p>
        </w:tc>
        <w:tc>
          <w:tcPr>
            <w:tcW w:w="2382"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lang w:val="en-US" w:eastAsia="zh-CN"/>
              </w:rPr>
              <w:t>SF6气体（10kg装）</w:t>
            </w:r>
          </w:p>
        </w:tc>
        <w:tc>
          <w:tcPr>
            <w:tcW w:w="2220" w:type="dxa"/>
            <w:tcBorders>
              <w:top w:val="single" w:color="auto" w:sz="4" w:space="0"/>
              <w:left w:val="nil"/>
              <w:bottom w:val="single" w:color="auto" w:sz="4" w:space="0"/>
              <w:right w:val="single" w:color="auto"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用于3AP1FG</w:t>
            </w:r>
          </w:p>
        </w:tc>
        <w:tc>
          <w:tcPr>
            <w:tcW w:w="845" w:type="dxa"/>
            <w:tcBorders>
              <w:top w:val="single" w:color="auto" w:sz="4" w:space="0"/>
              <w:left w:val="nil"/>
              <w:bottom w:val="single" w:color="auto" w:sz="4" w:space="0"/>
              <w:right w:val="single" w:color="auto"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只</w:t>
            </w:r>
          </w:p>
        </w:tc>
        <w:tc>
          <w:tcPr>
            <w:tcW w:w="751" w:type="dxa"/>
            <w:tcBorders>
              <w:top w:val="single" w:color="auto" w:sz="4" w:space="0"/>
              <w:left w:val="nil"/>
              <w:bottom w:val="single" w:color="auto" w:sz="4" w:space="0"/>
              <w:right w:val="single" w:color="auto"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1</w:t>
            </w:r>
          </w:p>
        </w:tc>
        <w:tc>
          <w:tcPr>
            <w:tcW w:w="1590" w:type="dxa"/>
            <w:tcBorders>
              <w:top w:val="single" w:color="auto" w:sz="4" w:space="0"/>
              <w:left w:val="nil"/>
              <w:bottom w:val="single" w:color="auto" w:sz="4" w:space="0"/>
              <w:right w:val="single" w:color="auto"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rPr>
            </w:pPr>
          </w:p>
        </w:tc>
      </w:tr>
      <w:tr>
        <w:tblPrEx>
          <w:tblLayout w:type="fixed"/>
          <w:tblCellMar>
            <w:top w:w="0" w:type="dxa"/>
            <w:left w:w="108" w:type="dxa"/>
            <w:bottom w:w="0" w:type="dxa"/>
            <w:right w:w="108" w:type="dxa"/>
          </w:tblCellMar>
        </w:tblPrEx>
        <w:trPr>
          <w:trHeight w:val="443" w:hRule="atLeast"/>
        </w:trPr>
        <w:tc>
          <w:tcPr>
            <w:tcW w:w="644"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2</w:t>
            </w:r>
          </w:p>
        </w:tc>
        <w:tc>
          <w:tcPr>
            <w:tcW w:w="2382"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lang w:val="en-US" w:eastAsia="zh-CN"/>
              </w:rPr>
              <w:t>安装附件箱</w:t>
            </w:r>
          </w:p>
        </w:tc>
        <w:tc>
          <w:tcPr>
            <w:tcW w:w="2220" w:type="dxa"/>
            <w:tcBorders>
              <w:top w:val="single" w:color="auto" w:sz="4" w:space="0"/>
              <w:left w:val="nil"/>
              <w:bottom w:val="single" w:color="auto" w:sz="4" w:space="0"/>
              <w:right w:val="single" w:color="auto"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lang w:val="en-US" w:eastAsia="zh-CN"/>
              </w:rPr>
              <w:t>用于3AP1FG</w:t>
            </w:r>
          </w:p>
        </w:tc>
        <w:tc>
          <w:tcPr>
            <w:tcW w:w="845" w:type="dxa"/>
            <w:tcBorders>
              <w:top w:val="single" w:color="auto" w:sz="4" w:space="0"/>
              <w:left w:val="nil"/>
              <w:bottom w:val="single" w:color="auto" w:sz="4" w:space="0"/>
              <w:right w:val="single" w:color="auto"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val="en-US" w:eastAsia="zh-CN"/>
              </w:rPr>
              <w:t>只</w:t>
            </w:r>
          </w:p>
        </w:tc>
        <w:tc>
          <w:tcPr>
            <w:tcW w:w="751" w:type="dxa"/>
            <w:tcBorders>
              <w:top w:val="single" w:color="auto" w:sz="4" w:space="0"/>
              <w:left w:val="nil"/>
              <w:bottom w:val="single" w:color="auto" w:sz="4" w:space="0"/>
              <w:right w:val="single" w:color="auto"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1</w:t>
            </w:r>
          </w:p>
        </w:tc>
        <w:tc>
          <w:tcPr>
            <w:tcW w:w="1590" w:type="dxa"/>
            <w:tcBorders>
              <w:top w:val="single" w:color="auto" w:sz="4" w:space="0"/>
              <w:left w:val="nil"/>
              <w:bottom w:val="single" w:color="auto" w:sz="4" w:space="0"/>
              <w:right w:val="single" w:color="auto"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内含安装所需附件</w:t>
            </w:r>
          </w:p>
        </w:tc>
      </w:tr>
      <w:tr>
        <w:tblPrEx>
          <w:tblLayout w:type="fixed"/>
          <w:tblCellMar>
            <w:top w:w="0" w:type="dxa"/>
            <w:left w:w="108" w:type="dxa"/>
            <w:bottom w:w="0" w:type="dxa"/>
            <w:right w:w="108" w:type="dxa"/>
          </w:tblCellMar>
        </w:tblPrEx>
        <w:trPr>
          <w:trHeight w:val="443" w:hRule="atLeast"/>
        </w:trPr>
        <w:tc>
          <w:tcPr>
            <w:tcW w:w="644"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3</w:t>
            </w:r>
          </w:p>
        </w:tc>
        <w:tc>
          <w:tcPr>
            <w:tcW w:w="2382"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val="en-US" w:eastAsia="zh-CN"/>
              </w:rPr>
              <w:t>静弧触头</w:t>
            </w:r>
          </w:p>
        </w:tc>
        <w:tc>
          <w:tcPr>
            <w:tcW w:w="2220" w:type="dxa"/>
            <w:tcBorders>
              <w:top w:val="single" w:color="auto" w:sz="4" w:space="0"/>
              <w:left w:val="nil"/>
              <w:bottom w:val="single" w:color="auto" w:sz="4" w:space="0"/>
              <w:right w:val="single" w:color="auto"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lang w:val="en-US" w:eastAsia="zh-CN"/>
              </w:rPr>
              <w:t>用于3AP1FG</w:t>
            </w:r>
          </w:p>
        </w:tc>
        <w:tc>
          <w:tcPr>
            <w:tcW w:w="845" w:type="dxa"/>
            <w:tcBorders>
              <w:top w:val="single" w:color="auto" w:sz="4" w:space="0"/>
              <w:left w:val="nil"/>
              <w:bottom w:val="single" w:color="auto" w:sz="4" w:space="0"/>
              <w:right w:val="single" w:color="auto"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lang w:val="en-US" w:eastAsia="zh-CN"/>
              </w:rPr>
              <w:t>套</w:t>
            </w:r>
          </w:p>
        </w:tc>
        <w:tc>
          <w:tcPr>
            <w:tcW w:w="751" w:type="dxa"/>
            <w:tcBorders>
              <w:top w:val="single" w:color="auto" w:sz="4" w:space="0"/>
              <w:left w:val="nil"/>
              <w:bottom w:val="single" w:color="auto" w:sz="4" w:space="0"/>
              <w:right w:val="single" w:color="auto"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1</w:t>
            </w:r>
          </w:p>
        </w:tc>
        <w:tc>
          <w:tcPr>
            <w:tcW w:w="1590" w:type="dxa"/>
            <w:tcBorders>
              <w:top w:val="single" w:color="auto" w:sz="4" w:space="0"/>
              <w:left w:val="nil"/>
              <w:bottom w:val="single" w:color="auto" w:sz="4" w:space="0"/>
              <w:right w:val="single" w:color="auto"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p>
        </w:tc>
      </w:tr>
      <w:tr>
        <w:tblPrEx>
          <w:tblLayout w:type="fixed"/>
          <w:tblCellMar>
            <w:top w:w="0" w:type="dxa"/>
            <w:left w:w="108" w:type="dxa"/>
            <w:bottom w:w="0" w:type="dxa"/>
            <w:right w:w="108" w:type="dxa"/>
          </w:tblCellMar>
        </w:tblPrEx>
        <w:trPr>
          <w:trHeight w:val="443" w:hRule="atLeast"/>
        </w:trPr>
        <w:tc>
          <w:tcPr>
            <w:tcW w:w="644"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4</w:t>
            </w:r>
          </w:p>
        </w:tc>
        <w:tc>
          <w:tcPr>
            <w:tcW w:w="2382"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val="en-US" w:eastAsia="zh-CN"/>
              </w:rPr>
              <w:t>动弧触头及其组件</w:t>
            </w:r>
          </w:p>
        </w:tc>
        <w:tc>
          <w:tcPr>
            <w:tcW w:w="2220" w:type="dxa"/>
            <w:tcBorders>
              <w:top w:val="single" w:color="auto" w:sz="4" w:space="0"/>
              <w:left w:val="nil"/>
              <w:bottom w:val="single" w:color="auto" w:sz="4" w:space="0"/>
              <w:right w:val="single" w:color="auto"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lang w:val="en-US" w:eastAsia="zh-CN"/>
              </w:rPr>
              <w:t>用于3AP1FG</w:t>
            </w:r>
          </w:p>
        </w:tc>
        <w:tc>
          <w:tcPr>
            <w:tcW w:w="845" w:type="dxa"/>
            <w:tcBorders>
              <w:top w:val="single" w:color="auto" w:sz="4" w:space="0"/>
              <w:left w:val="nil"/>
              <w:bottom w:val="single" w:color="auto" w:sz="4" w:space="0"/>
              <w:right w:val="single" w:color="auto"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lang w:val="en-US" w:eastAsia="zh-CN"/>
              </w:rPr>
              <w:t>套</w:t>
            </w:r>
          </w:p>
        </w:tc>
        <w:tc>
          <w:tcPr>
            <w:tcW w:w="751" w:type="dxa"/>
            <w:tcBorders>
              <w:top w:val="single" w:color="auto" w:sz="4" w:space="0"/>
              <w:left w:val="nil"/>
              <w:bottom w:val="single" w:color="auto" w:sz="4" w:space="0"/>
              <w:right w:val="single" w:color="auto"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1</w:t>
            </w:r>
          </w:p>
        </w:tc>
        <w:tc>
          <w:tcPr>
            <w:tcW w:w="1590" w:type="dxa"/>
            <w:tcBorders>
              <w:top w:val="single" w:color="auto" w:sz="4" w:space="0"/>
              <w:left w:val="nil"/>
              <w:bottom w:val="single" w:color="auto" w:sz="4" w:space="0"/>
              <w:right w:val="single" w:color="auto"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p>
        </w:tc>
      </w:tr>
      <w:tr>
        <w:tblPrEx>
          <w:tblLayout w:type="fixed"/>
          <w:tblCellMar>
            <w:top w:w="0" w:type="dxa"/>
            <w:left w:w="108" w:type="dxa"/>
            <w:bottom w:w="0" w:type="dxa"/>
            <w:right w:w="108" w:type="dxa"/>
          </w:tblCellMar>
        </w:tblPrEx>
        <w:trPr>
          <w:trHeight w:val="443" w:hRule="atLeast"/>
        </w:trPr>
        <w:tc>
          <w:tcPr>
            <w:tcW w:w="644"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5</w:t>
            </w:r>
          </w:p>
        </w:tc>
        <w:tc>
          <w:tcPr>
            <w:tcW w:w="2382"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val="en-US" w:eastAsia="zh-CN"/>
              </w:rPr>
              <w:t>接触薄片</w:t>
            </w:r>
          </w:p>
        </w:tc>
        <w:tc>
          <w:tcPr>
            <w:tcW w:w="2220" w:type="dxa"/>
            <w:tcBorders>
              <w:top w:val="single" w:color="auto" w:sz="4" w:space="0"/>
              <w:left w:val="nil"/>
              <w:bottom w:val="single" w:color="auto" w:sz="4" w:space="0"/>
              <w:right w:val="single" w:color="auto"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lang w:val="en-US" w:eastAsia="zh-CN"/>
              </w:rPr>
              <w:t>用于3AP1FG</w:t>
            </w:r>
          </w:p>
        </w:tc>
        <w:tc>
          <w:tcPr>
            <w:tcW w:w="845" w:type="dxa"/>
            <w:tcBorders>
              <w:top w:val="single" w:color="auto" w:sz="4" w:space="0"/>
              <w:left w:val="nil"/>
              <w:bottom w:val="single" w:color="auto" w:sz="4" w:space="0"/>
              <w:right w:val="single" w:color="auto"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lang w:val="en-US" w:eastAsia="zh-CN"/>
              </w:rPr>
              <w:t>套</w:t>
            </w:r>
          </w:p>
        </w:tc>
        <w:tc>
          <w:tcPr>
            <w:tcW w:w="751" w:type="dxa"/>
            <w:tcBorders>
              <w:top w:val="single" w:color="auto" w:sz="4" w:space="0"/>
              <w:left w:val="nil"/>
              <w:bottom w:val="single" w:color="auto" w:sz="4" w:space="0"/>
              <w:right w:val="single" w:color="auto"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1</w:t>
            </w:r>
          </w:p>
        </w:tc>
        <w:tc>
          <w:tcPr>
            <w:tcW w:w="1590" w:type="dxa"/>
            <w:tcBorders>
              <w:top w:val="single" w:color="auto" w:sz="4" w:space="0"/>
              <w:left w:val="nil"/>
              <w:bottom w:val="single" w:color="auto" w:sz="4" w:space="0"/>
              <w:right w:val="single" w:color="auto"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p>
        </w:tc>
      </w:tr>
      <w:tr>
        <w:tblPrEx>
          <w:tblLayout w:type="fixed"/>
          <w:tblCellMar>
            <w:top w:w="0" w:type="dxa"/>
            <w:left w:w="108" w:type="dxa"/>
            <w:bottom w:w="0" w:type="dxa"/>
            <w:right w:w="108" w:type="dxa"/>
          </w:tblCellMar>
        </w:tblPrEx>
        <w:trPr>
          <w:trHeight w:val="443" w:hRule="atLeast"/>
        </w:trPr>
        <w:tc>
          <w:tcPr>
            <w:tcW w:w="644"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6</w:t>
            </w:r>
          </w:p>
        </w:tc>
        <w:tc>
          <w:tcPr>
            <w:tcW w:w="2382"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val="en-US" w:eastAsia="zh-CN"/>
              </w:rPr>
              <w:t>动导电筒组件（带灭弧喷嘴）</w:t>
            </w:r>
          </w:p>
        </w:tc>
        <w:tc>
          <w:tcPr>
            <w:tcW w:w="2220" w:type="dxa"/>
            <w:tcBorders>
              <w:top w:val="single" w:color="auto" w:sz="4" w:space="0"/>
              <w:left w:val="nil"/>
              <w:bottom w:val="single" w:color="auto" w:sz="4" w:space="0"/>
              <w:right w:val="single" w:color="auto"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lang w:val="en-US" w:eastAsia="zh-CN"/>
              </w:rPr>
              <w:t>用于3AP1FG</w:t>
            </w:r>
          </w:p>
        </w:tc>
        <w:tc>
          <w:tcPr>
            <w:tcW w:w="845" w:type="dxa"/>
            <w:tcBorders>
              <w:top w:val="single" w:color="auto" w:sz="4" w:space="0"/>
              <w:left w:val="nil"/>
              <w:bottom w:val="single" w:color="auto" w:sz="4" w:space="0"/>
              <w:right w:val="single" w:color="auto"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lang w:val="en-US" w:eastAsia="zh-CN"/>
              </w:rPr>
              <w:t>套</w:t>
            </w:r>
          </w:p>
        </w:tc>
        <w:tc>
          <w:tcPr>
            <w:tcW w:w="751" w:type="dxa"/>
            <w:tcBorders>
              <w:top w:val="single" w:color="auto" w:sz="4" w:space="0"/>
              <w:left w:val="nil"/>
              <w:bottom w:val="single" w:color="auto" w:sz="4" w:space="0"/>
              <w:right w:val="single" w:color="auto"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1</w:t>
            </w:r>
          </w:p>
        </w:tc>
        <w:tc>
          <w:tcPr>
            <w:tcW w:w="1590" w:type="dxa"/>
            <w:tcBorders>
              <w:top w:val="single" w:color="auto" w:sz="4" w:space="0"/>
              <w:left w:val="nil"/>
              <w:bottom w:val="single" w:color="auto" w:sz="4" w:space="0"/>
              <w:right w:val="single" w:color="auto"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p>
        </w:tc>
      </w:tr>
      <w:tr>
        <w:tblPrEx>
          <w:tblLayout w:type="fixed"/>
          <w:tblCellMar>
            <w:top w:w="0" w:type="dxa"/>
            <w:left w:w="108" w:type="dxa"/>
            <w:bottom w:w="0" w:type="dxa"/>
            <w:right w:w="108" w:type="dxa"/>
          </w:tblCellMar>
        </w:tblPrEx>
        <w:trPr>
          <w:trHeight w:val="443" w:hRule="atLeast"/>
        </w:trPr>
        <w:tc>
          <w:tcPr>
            <w:tcW w:w="644"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7</w:t>
            </w:r>
          </w:p>
        </w:tc>
        <w:tc>
          <w:tcPr>
            <w:tcW w:w="2382"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val="en-US" w:eastAsia="zh-CN"/>
              </w:rPr>
              <w:t>触头及其支架组件</w:t>
            </w:r>
          </w:p>
        </w:tc>
        <w:tc>
          <w:tcPr>
            <w:tcW w:w="2220" w:type="dxa"/>
            <w:tcBorders>
              <w:top w:val="single" w:color="auto" w:sz="4" w:space="0"/>
              <w:left w:val="nil"/>
              <w:bottom w:val="single" w:color="auto" w:sz="4" w:space="0"/>
              <w:right w:val="single" w:color="auto"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lang w:val="en-US" w:eastAsia="zh-CN"/>
              </w:rPr>
              <w:t>用于3AP1FG</w:t>
            </w:r>
          </w:p>
        </w:tc>
        <w:tc>
          <w:tcPr>
            <w:tcW w:w="845" w:type="dxa"/>
            <w:tcBorders>
              <w:top w:val="single" w:color="auto" w:sz="4" w:space="0"/>
              <w:left w:val="nil"/>
              <w:bottom w:val="single" w:color="auto" w:sz="4" w:space="0"/>
              <w:right w:val="single" w:color="auto"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lang w:val="en-US" w:eastAsia="zh-CN"/>
              </w:rPr>
              <w:t>套</w:t>
            </w:r>
          </w:p>
        </w:tc>
        <w:tc>
          <w:tcPr>
            <w:tcW w:w="751" w:type="dxa"/>
            <w:tcBorders>
              <w:top w:val="single" w:color="auto" w:sz="4" w:space="0"/>
              <w:left w:val="nil"/>
              <w:bottom w:val="single" w:color="auto" w:sz="4" w:space="0"/>
              <w:right w:val="single" w:color="auto"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1</w:t>
            </w:r>
          </w:p>
        </w:tc>
        <w:tc>
          <w:tcPr>
            <w:tcW w:w="1590" w:type="dxa"/>
            <w:tcBorders>
              <w:top w:val="single" w:color="auto" w:sz="4" w:space="0"/>
              <w:left w:val="nil"/>
              <w:bottom w:val="single" w:color="auto" w:sz="4" w:space="0"/>
              <w:right w:val="single" w:color="auto"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p>
        </w:tc>
      </w:tr>
      <w:tr>
        <w:tblPrEx>
          <w:tblLayout w:type="fixed"/>
          <w:tblCellMar>
            <w:top w:w="0" w:type="dxa"/>
            <w:left w:w="108" w:type="dxa"/>
            <w:bottom w:w="0" w:type="dxa"/>
            <w:right w:w="108" w:type="dxa"/>
          </w:tblCellMar>
        </w:tblPrEx>
        <w:trPr>
          <w:trHeight w:val="443" w:hRule="atLeast"/>
        </w:trPr>
        <w:tc>
          <w:tcPr>
            <w:tcW w:w="644"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8</w:t>
            </w:r>
          </w:p>
        </w:tc>
        <w:tc>
          <w:tcPr>
            <w:tcW w:w="2382"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val="en-US" w:eastAsia="zh-CN"/>
              </w:rPr>
              <w:t>极柱厂内检修、装配及试验费</w:t>
            </w:r>
          </w:p>
        </w:tc>
        <w:tc>
          <w:tcPr>
            <w:tcW w:w="2220" w:type="dxa"/>
            <w:tcBorders>
              <w:top w:val="single" w:color="auto" w:sz="4" w:space="0"/>
              <w:left w:val="nil"/>
              <w:bottom w:val="single" w:color="auto" w:sz="4" w:space="0"/>
              <w:right w:val="single" w:color="auto"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lang w:val="en-US" w:eastAsia="zh-CN"/>
              </w:rPr>
              <w:t>用于3AP1FG</w:t>
            </w:r>
          </w:p>
        </w:tc>
        <w:tc>
          <w:tcPr>
            <w:tcW w:w="845" w:type="dxa"/>
            <w:tcBorders>
              <w:top w:val="single" w:color="auto" w:sz="4" w:space="0"/>
              <w:left w:val="nil"/>
              <w:bottom w:val="single" w:color="auto" w:sz="4" w:space="0"/>
              <w:right w:val="single" w:color="auto"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lang w:val="en-US" w:eastAsia="zh-CN"/>
              </w:rPr>
              <w:t>套</w:t>
            </w:r>
          </w:p>
        </w:tc>
        <w:tc>
          <w:tcPr>
            <w:tcW w:w="751" w:type="dxa"/>
            <w:tcBorders>
              <w:top w:val="single" w:color="auto" w:sz="4" w:space="0"/>
              <w:left w:val="nil"/>
              <w:bottom w:val="single" w:color="auto" w:sz="4" w:space="0"/>
              <w:right w:val="single" w:color="auto"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1</w:t>
            </w:r>
          </w:p>
        </w:tc>
        <w:tc>
          <w:tcPr>
            <w:tcW w:w="1590" w:type="dxa"/>
            <w:tcBorders>
              <w:top w:val="single" w:color="auto" w:sz="4" w:space="0"/>
              <w:left w:val="nil"/>
              <w:bottom w:val="single" w:color="auto" w:sz="4" w:space="0"/>
              <w:right w:val="single" w:color="auto"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p>
        </w:tc>
      </w:tr>
      <w:tr>
        <w:tblPrEx>
          <w:tblLayout w:type="fixed"/>
          <w:tblCellMar>
            <w:top w:w="0" w:type="dxa"/>
            <w:left w:w="108" w:type="dxa"/>
            <w:bottom w:w="0" w:type="dxa"/>
            <w:right w:w="108" w:type="dxa"/>
          </w:tblCellMar>
        </w:tblPrEx>
        <w:trPr>
          <w:trHeight w:val="443" w:hRule="atLeast"/>
        </w:trPr>
        <w:tc>
          <w:tcPr>
            <w:tcW w:w="644"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9</w:t>
            </w:r>
          </w:p>
        </w:tc>
        <w:tc>
          <w:tcPr>
            <w:tcW w:w="2382"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val="en-US" w:eastAsia="zh-CN"/>
              </w:rPr>
              <w:t>密封件、气体、连接件、干燥剂</w:t>
            </w:r>
          </w:p>
        </w:tc>
        <w:tc>
          <w:tcPr>
            <w:tcW w:w="2220" w:type="dxa"/>
            <w:tcBorders>
              <w:top w:val="single" w:color="auto" w:sz="4" w:space="0"/>
              <w:left w:val="nil"/>
              <w:bottom w:val="single" w:color="auto" w:sz="4" w:space="0"/>
              <w:right w:val="single" w:color="auto"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lang w:val="en-US" w:eastAsia="zh-CN"/>
              </w:rPr>
              <w:t>用于3AP1FG</w:t>
            </w:r>
          </w:p>
        </w:tc>
        <w:tc>
          <w:tcPr>
            <w:tcW w:w="845" w:type="dxa"/>
            <w:tcBorders>
              <w:top w:val="single" w:color="auto" w:sz="4" w:space="0"/>
              <w:left w:val="nil"/>
              <w:bottom w:val="single" w:color="auto" w:sz="4" w:space="0"/>
              <w:right w:val="single" w:color="auto"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lang w:val="en-US" w:eastAsia="zh-CN"/>
              </w:rPr>
              <w:t>套</w:t>
            </w:r>
          </w:p>
        </w:tc>
        <w:tc>
          <w:tcPr>
            <w:tcW w:w="751" w:type="dxa"/>
            <w:tcBorders>
              <w:top w:val="single" w:color="auto" w:sz="4" w:space="0"/>
              <w:left w:val="nil"/>
              <w:bottom w:val="single" w:color="auto" w:sz="4" w:space="0"/>
              <w:right w:val="single" w:color="auto"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1</w:t>
            </w:r>
          </w:p>
        </w:tc>
        <w:tc>
          <w:tcPr>
            <w:tcW w:w="1590" w:type="dxa"/>
            <w:tcBorders>
              <w:top w:val="single" w:color="auto" w:sz="4" w:space="0"/>
              <w:left w:val="nil"/>
              <w:bottom w:val="single" w:color="auto" w:sz="4" w:space="0"/>
              <w:right w:val="single" w:color="auto"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p>
        </w:tc>
      </w:tr>
      <w:tr>
        <w:tblPrEx>
          <w:tblLayout w:type="fixed"/>
          <w:tblCellMar>
            <w:top w:w="0" w:type="dxa"/>
            <w:left w:w="108" w:type="dxa"/>
            <w:bottom w:w="0" w:type="dxa"/>
            <w:right w:w="108" w:type="dxa"/>
          </w:tblCellMar>
        </w:tblPrEx>
        <w:trPr>
          <w:trHeight w:val="443" w:hRule="atLeast"/>
        </w:trPr>
        <w:tc>
          <w:tcPr>
            <w:tcW w:w="644"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10</w:t>
            </w:r>
          </w:p>
        </w:tc>
        <w:tc>
          <w:tcPr>
            <w:tcW w:w="2382"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val="en-US" w:eastAsia="zh-CN"/>
              </w:rPr>
              <w:t>极柱运费</w:t>
            </w:r>
          </w:p>
        </w:tc>
        <w:tc>
          <w:tcPr>
            <w:tcW w:w="2220" w:type="dxa"/>
            <w:tcBorders>
              <w:top w:val="single" w:color="auto" w:sz="4" w:space="0"/>
              <w:left w:val="nil"/>
              <w:bottom w:val="single" w:color="auto" w:sz="4" w:space="0"/>
              <w:right w:val="single" w:color="auto"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lang w:val="en-US" w:eastAsia="zh-CN"/>
              </w:rPr>
              <w:t>用于3AP1FG</w:t>
            </w:r>
          </w:p>
        </w:tc>
        <w:tc>
          <w:tcPr>
            <w:tcW w:w="845" w:type="dxa"/>
            <w:tcBorders>
              <w:top w:val="single" w:color="auto" w:sz="4" w:space="0"/>
              <w:left w:val="nil"/>
              <w:bottom w:val="single" w:color="auto" w:sz="4" w:space="0"/>
              <w:right w:val="single" w:color="auto"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lang w:val="en-US" w:eastAsia="zh-CN"/>
              </w:rPr>
              <w:t>次</w:t>
            </w:r>
          </w:p>
        </w:tc>
        <w:tc>
          <w:tcPr>
            <w:tcW w:w="751" w:type="dxa"/>
            <w:tcBorders>
              <w:top w:val="single" w:color="auto" w:sz="4" w:space="0"/>
              <w:left w:val="nil"/>
              <w:bottom w:val="single" w:color="auto" w:sz="4" w:space="0"/>
              <w:right w:val="single" w:color="auto"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2</w:t>
            </w:r>
          </w:p>
        </w:tc>
        <w:tc>
          <w:tcPr>
            <w:tcW w:w="1590" w:type="dxa"/>
            <w:tcBorders>
              <w:top w:val="single" w:color="auto" w:sz="4" w:space="0"/>
              <w:left w:val="nil"/>
              <w:bottom w:val="single" w:color="auto" w:sz="4" w:space="0"/>
              <w:right w:val="single" w:color="auto" w:sz="4" w:space="0"/>
            </w:tcBorders>
            <w:vAlign w:val="center"/>
          </w:tcPr>
          <w:p>
            <w:pPr>
              <w:snapToGrid w:val="0"/>
              <w:spacing w:line="288" w:lineRule="auto"/>
              <w:ind w:left="0" w:leftChars="0" w:firstLine="0" w:firstLineChars="0"/>
              <w:jc w:val="center"/>
              <w:outlineLvl w:val="9"/>
              <w:rPr>
                <w:rFonts w:hint="eastAsia" w:asciiTheme="minorEastAsia" w:hAnsiTheme="minorEastAsia" w:eastAsiaTheme="minorEastAsia"/>
                <w:sz w:val="21"/>
                <w:szCs w:val="21"/>
                <w:highlight w:val="none"/>
                <w:lang w:val="en-US" w:eastAsia="zh-CN"/>
              </w:rPr>
            </w:pPr>
          </w:p>
        </w:tc>
      </w:tr>
    </w:tbl>
    <w:p>
      <w:pPr>
        <w:snapToGrid w:val="0"/>
        <w:spacing w:line="288" w:lineRule="auto"/>
        <w:ind w:left="0" w:leftChars="0" w:firstLine="0" w:firstLineChars="0"/>
        <w:outlineLvl w:val="9"/>
        <w:rPr>
          <w:rFonts w:hint="eastAsia" w:asciiTheme="minorEastAsia" w:hAnsiTheme="minorEastAsia" w:eastAsiaTheme="minorEastAsia"/>
          <w:sz w:val="24"/>
          <w:szCs w:val="24"/>
          <w:highlight w:val="none"/>
        </w:rPr>
      </w:pPr>
    </w:p>
    <w:p>
      <w:pPr>
        <w:snapToGrid w:val="0"/>
        <w:spacing w:line="288" w:lineRule="auto"/>
        <w:ind w:firstLine="480" w:firstLineChars="200"/>
        <w:outlineLvl w:val="9"/>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val="en-US" w:eastAsia="zh-CN"/>
        </w:rPr>
        <w:t>5</w:t>
      </w:r>
      <w:r>
        <w:rPr>
          <w:rFonts w:hint="eastAsia" w:asciiTheme="minorEastAsia" w:hAnsiTheme="minorEastAsia" w:eastAsiaTheme="minorEastAsia"/>
          <w:sz w:val="24"/>
          <w:szCs w:val="24"/>
          <w:highlight w:val="none"/>
        </w:rPr>
        <w:t>.2 投标方采购的材料必须达到国家标准或行业标准、施工验收规范以及设计技术要求。不论是否经过招标方代表检验，均由投标方对其质量负责。如发现投标方将不合格产品、设备用于该项目，招标方有权要求投标方更换并承担全部费用。</w:t>
      </w:r>
    </w:p>
    <w:p>
      <w:pPr>
        <w:snapToGrid w:val="0"/>
        <w:spacing w:line="288" w:lineRule="auto"/>
        <w:ind w:firstLine="480" w:firstLineChars="200"/>
        <w:outlineLvl w:val="9"/>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val="en-US" w:eastAsia="zh-CN"/>
        </w:rPr>
        <w:t>5</w:t>
      </w:r>
      <w:r>
        <w:rPr>
          <w:rFonts w:hint="eastAsia" w:asciiTheme="minorEastAsia" w:hAnsiTheme="minorEastAsia" w:eastAsiaTheme="minorEastAsia"/>
          <w:sz w:val="24"/>
          <w:szCs w:val="24"/>
          <w:highlight w:val="none"/>
        </w:rPr>
        <w:t>.3投标方采购的材料必须有完整的产品合格证、材质证明书并向招标方提供复印件，如果不符合质量要求，招标方有权拒绝投标方在项目中使用。</w:t>
      </w:r>
    </w:p>
    <w:p>
      <w:pPr>
        <w:snapToGrid w:val="0"/>
        <w:spacing w:line="288" w:lineRule="auto"/>
        <w:ind w:firstLine="480" w:firstLineChars="200"/>
        <w:outlineLvl w:val="9"/>
        <w:rPr>
          <w:rFonts w:hint="eastAsia" w:asciiTheme="minorEastAsia" w:hAnsiTheme="minorEastAsia" w:eastAsiaTheme="minorEastAsia"/>
          <w:b w:val="0"/>
          <w:bCs/>
          <w:sz w:val="24"/>
          <w:szCs w:val="24"/>
          <w:highlight w:val="none"/>
        </w:rPr>
      </w:pPr>
      <w:bookmarkStart w:id="11" w:name="_Toc320283053"/>
      <w:bookmarkStart w:id="12" w:name="_Toc321919027"/>
      <w:bookmarkStart w:id="13" w:name="_Toc318700420"/>
      <w:r>
        <w:rPr>
          <w:rFonts w:hint="eastAsia" w:asciiTheme="minorEastAsia" w:hAnsiTheme="minorEastAsia" w:eastAsiaTheme="minorEastAsia"/>
          <w:b w:val="0"/>
          <w:bCs/>
          <w:sz w:val="24"/>
          <w:szCs w:val="24"/>
          <w:highlight w:val="none"/>
          <w:lang w:val="en-US" w:eastAsia="zh-CN"/>
        </w:rPr>
        <w:t>5</w:t>
      </w:r>
      <w:r>
        <w:rPr>
          <w:rFonts w:hint="eastAsia" w:asciiTheme="minorEastAsia" w:hAnsiTheme="minorEastAsia" w:eastAsiaTheme="minorEastAsia"/>
          <w:b w:val="0"/>
          <w:bCs/>
          <w:sz w:val="24"/>
          <w:szCs w:val="24"/>
          <w:highlight w:val="none"/>
        </w:rPr>
        <w:t>.</w:t>
      </w:r>
      <w:r>
        <w:rPr>
          <w:rFonts w:hint="eastAsia" w:asciiTheme="minorEastAsia" w:hAnsiTheme="minorEastAsia" w:eastAsiaTheme="minorEastAsia"/>
          <w:b w:val="0"/>
          <w:bCs/>
          <w:sz w:val="24"/>
          <w:szCs w:val="24"/>
          <w:highlight w:val="none"/>
          <w:lang w:val="en-US" w:eastAsia="zh-CN"/>
        </w:rPr>
        <w:t>4</w:t>
      </w:r>
      <w:r>
        <w:rPr>
          <w:rFonts w:hint="eastAsia" w:asciiTheme="minorEastAsia" w:hAnsiTheme="minorEastAsia" w:eastAsiaTheme="minorEastAsia"/>
          <w:b w:val="0"/>
          <w:bCs/>
          <w:sz w:val="24"/>
          <w:szCs w:val="24"/>
          <w:highlight w:val="none"/>
        </w:rPr>
        <w:t xml:space="preserve"> 投标方应建立健全物资管理制度，完备物资出、入库手续，并详细记录。投标方采购的材料、设备的质量和规格型号必须经招标方（或现场代表）认可后方能用于工程建设。</w:t>
      </w:r>
    </w:p>
    <w:p>
      <w:pPr>
        <w:snapToGrid w:val="0"/>
        <w:spacing w:line="288" w:lineRule="auto"/>
        <w:ind w:firstLine="480" w:firstLineChars="200"/>
        <w:outlineLvl w:val="9"/>
        <w:rPr>
          <w:rFonts w:hint="eastAsia" w:asciiTheme="minorEastAsia" w:hAnsiTheme="minorEastAsia" w:eastAsiaTheme="minorEastAsia"/>
          <w:b w:val="0"/>
          <w:bCs/>
          <w:sz w:val="24"/>
          <w:szCs w:val="24"/>
          <w:highlight w:val="none"/>
        </w:rPr>
      </w:pPr>
      <w:r>
        <w:rPr>
          <w:rFonts w:hint="eastAsia" w:asciiTheme="minorEastAsia" w:hAnsiTheme="minorEastAsia" w:eastAsiaTheme="minorEastAsia"/>
          <w:b w:val="0"/>
          <w:bCs/>
          <w:sz w:val="24"/>
          <w:szCs w:val="24"/>
          <w:highlight w:val="none"/>
          <w:lang w:val="en-US" w:eastAsia="zh-CN"/>
        </w:rPr>
        <w:t>5</w:t>
      </w:r>
      <w:r>
        <w:rPr>
          <w:rFonts w:hint="eastAsia" w:asciiTheme="minorEastAsia" w:hAnsiTheme="minorEastAsia" w:eastAsiaTheme="minorEastAsia"/>
          <w:b w:val="0"/>
          <w:bCs/>
          <w:sz w:val="24"/>
          <w:szCs w:val="24"/>
          <w:highlight w:val="none"/>
        </w:rPr>
        <w:t>.</w:t>
      </w:r>
      <w:r>
        <w:rPr>
          <w:rFonts w:hint="eastAsia" w:asciiTheme="minorEastAsia" w:hAnsiTheme="minorEastAsia" w:eastAsiaTheme="minorEastAsia"/>
          <w:b w:val="0"/>
          <w:bCs/>
          <w:sz w:val="24"/>
          <w:szCs w:val="24"/>
          <w:highlight w:val="none"/>
          <w:lang w:val="en-US" w:eastAsia="zh-CN"/>
        </w:rPr>
        <w:t>5</w:t>
      </w:r>
      <w:r>
        <w:rPr>
          <w:rFonts w:hint="eastAsia" w:asciiTheme="minorEastAsia" w:hAnsiTheme="minorEastAsia" w:eastAsiaTheme="minorEastAsia"/>
          <w:b w:val="0"/>
          <w:bCs/>
          <w:sz w:val="24"/>
          <w:szCs w:val="24"/>
          <w:highlight w:val="none"/>
        </w:rPr>
        <w:t xml:space="preserve"> 投标方采购的材料必须达到国家标准或行业标准、施工验收规范以及设计技术要求。不论是否经过招标方代表检验，均由投标方对其质量负责。如发现投标方将不合格产品、设备用于该工程，招标方有权要求投标方更换并承担全部费用。</w:t>
      </w:r>
    </w:p>
    <w:p>
      <w:pPr>
        <w:snapToGrid w:val="0"/>
        <w:spacing w:line="288" w:lineRule="auto"/>
        <w:ind w:firstLine="480" w:firstLineChars="200"/>
        <w:outlineLvl w:val="9"/>
        <w:rPr>
          <w:rFonts w:hint="eastAsia" w:asciiTheme="minorEastAsia" w:hAnsiTheme="minorEastAsia" w:eastAsiaTheme="minorEastAsia"/>
          <w:b w:val="0"/>
          <w:bCs/>
          <w:sz w:val="24"/>
          <w:szCs w:val="24"/>
          <w:highlight w:val="none"/>
        </w:rPr>
      </w:pPr>
      <w:r>
        <w:rPr>
          <w:rFonts w:hint="eastAsia" w:asciiTheme="minorEastAsia" w:hAnsiTheme="minorEastAsia" w:eastAsiaTheme="minorEastAsia"/>
          <w:b w:val="0"/>
          <w:bCs/>
          <w:sz w:val="24"/>
          <w:szCs w:val="24"/>
          <w:highlight w:val="none"/>
          <w:lang w:val="en-US" w:eastAsia="zh-CN"/>
        </w:rPr>
        <w:t>5</w:t>
      </w:r>
      <w:r>
        <w:rPr>
          <w:rFonts w:hint="eastAsia" w:asciiTheme="minorEastAsia" w:hAnsiTheme="minorEastAsia" w:eastAsiaTheme="minorEastAsia"/>
          <w:b w:val="0"/>
          <w:bCs/>
          <w:sz w:val="24"/>
          <w:szCs w:val="24"/>
          <w:highlight w:val="none"/>
        </w:rPr>
        <w:t>.</w:t>
      </w:r>
      <w:r>
        <w:rPr>
          <w:rFonts w:hint="eastAsia" w:asciiTheme="minorEastAsia" w:hAnsiTheme="minorEastAsia" w:eastAsiaTheme="minorEastAsia"/>
          <w:b w:val="0"/>
          <w:bCs/>
          <w:sz w:val="24"/>
          <w:szCs w:val="24"/>
          <w:highlight w:val="none"/>
          <w:lang w:val="en-US" w:eastAsia="zh-CN"/>
        </w:rPr>
        <w:t>6</w:t>
      </w:r>
      <w:r>
        <w:rPr>
          <w:rFonts w:hint="eastAsia" w:asciiTheme="minorEastAsia" w:hAnsiTheme="minorEastAsia" w:eastAsiaTheme="minorEastAsia"/>
          <w:b w:val="0"/>
          <w:bCs/>
          <w:sz w:val="24"/>
          <w:szCs w:val="24"/>
          <w:highlight w:val="none"/>
        </w:rPr>
        <w:t>招标方有权到投标方选定的供货商检查设备、材料质量。</w:t>
      </w:r>
    </w:p>
    <w:p>
      <w:pPr>
        <w:keepNext w:val="0"/>
        <w:keepLines w:val="0"/>
        <w:numPr>
          <w:ilvl w:val="0"/>
          <w:numId w:val="1"/>
        </w:numPr>
        <w:tabs>
          <w:tab w:val="left" w:pos="480"/>
          <w:tab w:val="left" w:pos="720"/>
        </w:tabs>
        <w:topLinePunct/>
        <w:snapToGrid w:val="0"/>
        <w:spacing w:before="0" w:after="0" w:line="312" w:lineRule="auto"/>
        <w:ind w:left="425" w:leftChars="0" w:hanging="425" w:firstLineChars="0"/>
        <w:jc w:val="left"/>
        <w:outlineLvl w:val="1"/>
        <w:rPr>
          <w:rFonts w:hint="eastAsia" w:asciiTheme="minorEastAsia" w:hAnsiTheme="minorEastAsia" w:eastAsiaTheme="minorEastAsia"/>
          <w:b/>
          <w:bCs/>
          <w:sz w:val="24"/>
          <w:szCs w:val="24"/>
          <w:highlight w:val="none"/>
          <w:lang w:val="en-US" w:eastAsia="zh-CN"/>
        </w:rPr>
      </w:pPr>
      <w:bookmarkStart w:id="14" w:name="_Toc21078"/>
      <w:r>
        <w:rPr>
          <w:rFonts w:hint="eastAsia" w:asciiTheme="minorEastAsia" w:hAnsiTheme="minorEastAsia" w:eastAsiaTheme="minorEastAsia"/>
          <w:b/>
          <w:bCs/>
          <w:sz w:val="24"/>
          <w:szCs w:val="24"/>
          <w:highlight w:val="none"/>
          <w:lang w:val="en-US" w:eastAsia="zh-CN"/>
        </w:rPr>
        <w:t>检修标准及规范</w:t>
      </w:r>
      <w:bookmarkEnd w:id="11"/>
      <w:bookmarkEnd w:id="12"/>
      <w:bookmarkEnd w:id="13"/>
      <w:bookmarkEnd w:id="14"/>
    </w:p>
    <w:p>
      <w:pPr>
        <w:snapToGrid w:val="0"/>
        <w:spacing w:line="288" w:lineRule="auto"/>
        <w:ind w:firstLine="480" w:firstLineChars="200"/>
        <w:outlineLvl w:val="9"/>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凡与本次检修有关现行国家（或部委、行业、南方电网公司）颁发的法律、法规、标准、规程和规范，均是本次检修质量标准的依据。本合同执行期间如国家（或部委、行业、南方电网公司）颁发的法律、法规和规范有差异时，以要求较严的为准。执行以下（但不限于）标准及规范、规程。</w:t>
      </w:r>
    </w:p>
    <w:p>
      <w:pPr>
        <w:numPr>
          <w:ilvl w:val="0"/>
          <w:numId w:val="2"/>
        </w:numPr>
        <w:adjustRightInd/>
        <w:snapToGrid w:val="0"/>
        <w:spacing w:line="288" w:lineRule="auto"/>
        <w:textAlignment w:val="auto"/>
        <w:outlineLvl w:val="9"/>
        <w:rPr>
          <w:rFonts w:asciiTheme="minorEastAsia" w:hAnsiTheme="minorEastAsia" w:eastAsiaTheme="minorEastAsia"/>
          <w:sz w:val="24"/>
          <w:szCs w:val="24"/>
          <w:highlight w:val="none"/>
          <w:lang w:val="zh-CN"/>
        </w:rPr>
      </w:pPr>
      <w:r>
        <w:rPr>
          <w:rFonts w:hint="eastAsia" w:asciiTheme="minorEastAsia" w:hAnsiTheme="minorEastAsia" w:eastAsiaTheme="minorEastAsia"/>
          <w:sz w:val="24"/>
          <w:szCs w:val="24"/>
          <w:highlight w:val="none"/>
          <w:lang w:val="zh-CN"/>
        </w:rPr>
        <w:t xml:space="preserve">《建设工程项目管理规范》（GB/T50326—2006） </w:t>
      </w:r>
    </w:p>
    <w:p>
      <w:pPr>
        <w:numPr>
          <w:ilvl w:val="0"/>
          <w:numId w:val="2"/>
        </w:numPr>
        <w:adjustRightInd/>
        <w:snapToGrid w:val="0"/>
        <w:spacing w:line="288" w:lineRule="auto"/>
        <w:textAlignment w:val="auto"/>
        <w:outlineLvl w:val="9"/>
        <w:rPr>
          <w:rFonts w:asciiTheme="minorEastAsia" w:hAnsiTheme="minorEastAsia" w:eastAsiaTheme="minorEastAsia"/>
          <w:sz w:val="24"/>
          <w:szCs w:val="24"/>
          <w:highlight w:val="none"/>
          <w:lang w:val="zh-CN"/>
        </w:rPr>
      </w:pPr>
      <w:r>
        <w:rPr>
          <w:rFonts w:hint="eastAsia" w:asciiTheme="minorEastAsia" w:hAnsiTheme="minorEastAsia" w:eastAsiaTheme="minorEastAsia"/>
          <w:sz w:val="24"/>
          <w:szCs w:val="24"/>
          <w:highlight w:val="none"/>
          <w:lang w:val="zh-CN"/>
        </w:rPr>
        <w:t xml:space="preserve">《电力工程达标投产管理办法》(2006 年版输变电工程部分) </w:t>
      </w:r>
    </w:p>
    <w:p>
      <w:pPr>
        <w:numPr>
          <w:ilvl w:val="0"/>
          <w:numId w:val="2"/>
        </w:numPr>
        <w:adjustRightInd/>
        <w:snapToGrid w:val="0"/>
        <w:spacing w:line="288" w:lineRule="auto"/>
        <w:textAlignment w:val="auto"/>
        <w:outlineLvl w:val="9"/>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《电气装置安装工程电气设备交接试验标准》GB50150-2006</w:t>
      </w:r>
    </w:p>
    <w:p>
      <w:pPr>
        <w:numPr>
          <w:ilvl w:val="0"/>
          <w:numId w:val="2"/>
        </w:numPr>
        <w:adjustRightInd/>
        <w:snapToGrid w:val="0"/>
        <w:spacing w:line="288" w:lineRule="auto"/>
        <w:textAlignment w:val="auto"/>
        <w:outlineLvl w:val="9"/>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《电力建设施工及验收技术规范》</w:t>
      </w:r>
    </w:p>
    <w:p>
      <w:pPr>
        <w:numPr>
          <w:ilvl w:val="0"/>
          <w:numId w:val="2"/>
        </w:numPr>
        <w:adjustRightInd/>
        <w:snapToGrid w:val="0"/>
        <w:spacing w:line="288" w:lineRule="auto"/>
        <w:textAlignment w:val="auto"/>
        <w:outlineLvl w:val="9"/>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《电气装置安装工程高压电器施工及验收规范》    GBJ147-90</w:t>
      </w:r>
    </w:p>
    <w:p>
      <w:pPr>
        <w:numPr>
          <w:ilvl w:val="0"/>
          <w:numId w:val="2"/>
        </w:numPr>
        <w:adjustRightInd/>
        <w:snapToGrid w:val="0"/>
        <w:spacing w:line="288" w:lineRule="auto"/>
        <w:textAlignment w:val="auto"/>
        <w:outlineLvl w:val="9"/>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《电业安全工作规程》（发电厂和变电所电气部分） GB26860-2011</w:t>
      </w:r>
    </w:p>
    <w:p>
      <w:pPr>
        <w:numPr>
          <w:ilvl w:val="0"/>
          <w:numId w:val="2"/>
        </w:numPr>
        <w:adjustRightInd/>
        <w:snapToGrid w:val="0"/>
        <w:spacing w:line="288" w:lineRule="auto"/>
        <w:textAlignment w:val="auto"/>
        <w:outlineLvl w:val="9"/>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《电业安全工作规程》（高压试验室）GB26861-2011</w:t>
      </w:r>
    </w:p>
    <w:p>
      <w:pPr>
        <w:numPr>
          <w:ilvl w:val="0"/>
          <w:numId w:val="2"/>
        </w:numPr>
        <w:adjustRightInd/>
        <w:snapToGrid w:val="0"/>
        <w:spacing w:line="288" w:lineRule="auto"/>
        <w:textAlignment w:val="auto"/>
        <w:outlineLvl w:val="9"/>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《电业生产事故调查规程》                      </w:t>
      </w:r>
    </w:p>
    <w:p>
      <w:pPr>
        <w:numPr>
          <w:ilvl w:val="0"/>
          <w:numId w:val="2"/>
        </w:numPr>
        <w:adjustRightInd/>
        <w:snapToGrid w:val="0"/>
        <w:spacing w:line="288" w:lineRule="auto"/>
        <w:jc w:val="left"/>
        <w:textAlignment w:val="auto"/>
        <w:outlineLvl w:val="9"/>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《电力建设职工安全施工手册》</w:t>
      </w:r>
    </w:p>
    <w:p>
      <w:pPr>
        <w:numPr>
          <w:ilvl w:val="0"/>
          <w:numId w:val="2"/>
        </w:numPr>
        <w:adjustRightInd/>
        <w:snapToGrid w:val="0"/>
        <w:spacing w:line="288" w:lineRule="auto"/>
        <w:jc w:val="left"/>
        <w:textAlignment w:val="auto"/>
        <w:outlineLvl w:val="9"/>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eastAsia="zh-CN"/>
        </w:rPr>
        <w:t>《《高压交流断路器》</w:t>
      </w:r>
      <w:r>
        <w:rPr>
          <w:rFonts w:hint="eastAsia" w:asciiTheme="minorEastAsia" w:hAnsiTheme="minorEastAsia" w:eastAsiaTheme="minorEastAsia"/>
          <w:sz w:val="24"/>
          <w:szCs w:val="24"/>
          <w:highlight w:val="none"/>
          <w:lang w:val="en-US" w:eastAsia="zh-CN"/>
        </w:rPr>
        <w:t>GB1984-2014</w:t>
      </w:r>
    </w:p>
    <w:p>
      <w:pPr>
        <w:numPr>
          <w:ilvl w:val="0"/>
          <w:numId w:val="2"/>
        </w:numPr>
        <w:adjustRightInd/>
        <w:snapToGrid w:val="0"/>
        <w:spacing w:line="288" w:lineRule="auto"/>
        <w:jc w:val="left"/>
        <w:textAlignment w:val="auto"/>
        <w:outlineLvl w:val="9"/>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《电力设备检修规程》</w:t>
      </w:r>
    </w:p>
    <w:p>
      <w:pPr>
        <w:snapToGrid w:val="0"/>
        <w:spacing w:line="288" w:lineRule="auto"/>
        <w:ind w:firstLine="482" w:firstLineChars="200"/>
        <w:outlineLvl w:val="9"/>
        <w:rPr>
          <w:rFonts w:hint="eastAsia" w:asciiTheme="minorEastAsia" w:hAnsiTheme="minorEastAsia" w:eastAsiaTheme="minorEastAsia"/>
          <w:b/>
          <w:sz w:val="24"/>
          <w:szCs w:val="24"/>
          <w:highlight w:val="none"/>
        </w:rPr>
      </w:pPr>
      <w:bookmarkStart w:id="15" w:name="_Toc320283054"/>
      <w:bookmarkStart w:id="16" w:name="_Toc321919028"/>
      <w:bookmarkStart w:id="17" w:name="_Toc318700421"/>
    </w:p>
    <w:p>
      <w:pPr>
        <w:keepNext w:val="0"/>
        <w:keepLines w:val="0"/>
        <w:numPr>
          <w:ilvl w:val="0"/>
          <w:numId w:val="1"/>
        </w:numPr>
        <w:tabs>
          <w:tab w:val="left" w:pos="480"/>
          <w:tab w:val="left" w:pos="720"/>
        </w:tabs>
        <w:topLinePunct/>
        <w:snapToGrid w:val="0"/>
        <w:spacing w:before="0" w:after="0" w:line="312" w:lineRule="auto"/>
        <w:ind w:left="425" w:leftChars="0" w:hanging="425" w:firstLineChars="0"/>
        <w:jc w:val="left"/>
        <w:outlineLvl w:val="1"/>
        <w:rPr>
          <w:rFonts w:hint="eastAsia" w:asciiTheme="minorEastAsia" w:hAnsiTheme="minorEastAsia" w:eastAsiaTheme="minorEastAsia"/>
          <w:b/>
          <w:bCs/>
          <w:sz w:val="24"/>
          <w:szCs w:val="24"/>
          <w:highlight w:val="none"/>
          <w:lang w:val="en-US" w:eastAsia="zh-CN"/>
        </w:rPr>
      </w:pPr>
      <w:bookmarkStart w:id="18" w:name="_Toc22659"/>
      <w:r>
        <w:rPr>
          <w:rFonts w:hint="eastAsia" w:asciiTheme="minorEastAsia" w:hAnsiTheme="minorEastAsia" w:eastAsiaTheme="minorEastAsia"/>
          <w:b/>
          <w:bCs/>
          <w:sz w:val="24"/>
          <w:szCs w:val="24"/>
          <w:highlight w:val="none"/>
          <w:lang w:val="en-US" w:eastAsia="zh-CN"/>
        </w:rPr>
        <w:t>安全文明施工要求</w:t>
      </w:r>
      <w:bookmarkEnd w:id="15"/>
      <w:bookmarkEnd w:id="16"/>
      <w:bookmarkEnd w:id="17"/>
      <w:bookmarkEnd w:id="18"/>
    </w:p>
    <w:p>
      <w:pPr>
        <w:snapToGrid w:val="0"/>
        <w:spacing w:line="288" w:lineRule="auto"/>
        <w:ind w:firstLine="480" w:firstLineChars="200"/>
        <w:outlineLvl w:val="9"/>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val="en-US" w:eastAsia="zh-CN"/>
        </w:rPr>
        <w:t>7</w:t>
      </w:r>
      <w:r>
        <w:rPr>
          <w:rFonts w:hint="eastAsia" w:asciiTheme="minorEastAsia" w:hAnsiTheme="minorEastAsia" w:eastAsiaTheme="minorEastAsia"/>
          <w:sz w:val="24"/>
          <w:szCs w:val="24"/>
          <w:highlight w:val="none"/>
        </w:rPr>
        <w:t>.1 招标方对投标方在工程建设过程中的安全和文明施工、采取的措施等按国家及南方电网公司有关规定实施监督、检查、评价，发现投标方安全失控时或出现重大安全隐患时，有权责令投标方停工整改。</w:t>
      </w:r>
    </w:p>
    <w:p>
      <w:pPr>
        <w:snapToGrid w:val="0"/>
        <w:spacing w:line="288" w:lineRule="auto"/>
        <w:ind w:firstLine="480" w:firstLineChars="200"/>
        <w:outlineLvl w:val="9"/>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val="en-US" w:eastAsia="zh-CN"/>
        </w:rPr>
        <w:t>7</w:t>
      </w:r>
      <w:r>
        <w:rPr>
          <w:rFonts w:hint="eastAsia" w:asciiTheme="minorEastAsia" w:hAnsiTheme="minorEastAsia" w:eastAsiaTheme="minorEastAsia"/>
          <w:sz w:val="24"/>
          <w:szCs w:val="24"/>
          <w:highlight w:val="none"/>
        </w:rPr>
        <w:t>.2 招标方有权参加投标方的安全事故调查，印发事故通报，督促投标方加强和改进安全文明施工管理工作。</w:t>
      </w:r>
    </w:p>
    <w:p>
      <w:pPr>
        <w:snapToGrid w:val="0"/>
        <w:spacing w:line="288" w:lineRule="auto"/>
        <w:ind w:firstLine="480" w:firstLineChars="200"/>
        <w:outlineLvl w:val="9"/>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val="en-US" w:eastAsia="zh-CN"/>
        </w:rPr>
        <w:t>7</w:t>
      </w:r>
      <w:r>
        <w:rPr>
          <w:rFonts w:hint="eastAsia" w:asciiTheme="minorEastAsia" w:hAnsiTheme="minorEastAsia" w:eastAsiaTheme="minorEastAsia"/>
          <w:sz w:val="24"/>
          <w:szCs w:val="24"/>
          <w:highlight w:val="none"/>
        </w:rPr>
        <w:t>.3</w:t>
      </w:r>
      <w:r>
        <w:rPr>
          <w:rFonts w:hint="eastAsia" w:asciiTheme="minorEastAsia" w:hAnsiTheme="minorEastAsia" w:eastAsiaTheme="minorEastAsia"/>
          <w:sz w:val="24"/>
          <w:szCs w:val="24"/>
          <w:highlight w:val="none"/>
        </w:rPr>
        <w:tab/>
      </w:r>
      <w:r>
        <w:rPr>
          <w:rFonts w:hint="eastAsia" w:asciiTheme="minorEastAsia" w:hAnsiTheme="minorEastAsia" w:eastAsiaTheme="minorEastAsia"/>
          <w:sz w:val="24"/>
          <w:szCs w:val="24"/>
          <w:highlight w:val="none"/>
        </w:rPr>
        <w:t xml:space="preserve"> 安全和文明施工目标：本工程施工必须在“安全第一、预防为主、综合治理”的总体方针指引下，按照“体系为纲强三基，以人为本重文化”的安全生产方针。从“爱护人、关心人、尊重人”出发，努力做到“我要安全、我懂安全、我会安全”，凡是有人工作的地方，必须要有安全设施和安全监督。树立“除人力不可抗拒的自然灾害外，任何事故都是可以避免的”信心，安全工作来不得丝毫疏忽与马虎。从预控、预防着手，建立并健全安全管理网络，明确各单位、各级安全第一责任人，加强进厂施工前三级安全教育，在工程施工合同签订的同时签订安全责任合同，强化施工现场巡视及重点部位监控，严格执行各项安全施工、生产的制度与规定，加重对违章违纪的处罚力度，将安全事故苗子消灭在萌芽状态，努力实现施工企业和工程项目的“事故零目标”。杜绝人身死亡、重大停电事故、重大设备事故等事件发生。</w:t>
      </w:r>
    </w:p>
    <w:p>
      <w:pPr>
        <w:snapToGrid w:val="0"/>
        <w:spacing w:line="288" w:lineRule="auto"/>
        <w:ind w:firstLine="480" w:firstLineChars="200"/>
        <w:outlineLvl w:val="9"/>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val="en-US" w:eastAsia="zh-CN"/>
        </w:rPr>
        <w:t>7</w:t>
      </w:r>
      <w:r>
        <w:rPr>
          <w:rFonts w:hint="eastAsia" w:asciiTheme="minorEastAsia" w:hAnsiTheme="minorEastAsia" w:eastAsiaTheme="minorEastAsia"/>
          <w:sz w:val="24"/>
          <w:szCs w:val="24"/>
          <w:highlight w:val="none"/>
        </w:rPr>
        <w:t>.4</w:t>
      </w:r>
      <w:r>
        <w:rPr>
          <w:rFonts w:hint="eastAsia" w:asciiTheme="minorEastAsia" w:hAnsiTheme="minorEastAsia" w:eastAsiaTheme="minorEastAsia"/>
          <w:sz w:val="24"/>
          <w:szCs w:val="24"/>
          <w:highlight w:val="none"/>
        </w:rPr>
        <w:tab/>
      </w:r>
      <w:r>
        <w:rPr>
          <w:rFonts w:hint="eastAsia" w:asciiTheme="minorEastAsia" w:hAnsiTheme="minorEastAsia" w:eastAsiaTheme="minorEastAsia"/>
          <w:sz w:val="24"/>
          <w:szCs w:val="24"/>
          <w:highlight w:val="none"/>
        </w:rPr>
        <w:t xml:space="preserve"> 合同双方应认真执行国家及南方电网公司相关安全法律、法规、规定及规程。投标方应落实各级安全责任制，建立健全安全风险机制，实行安全。文明施工，确保施工安全。</w:t>
      </w:r>
    </w:p>
    <w:p>
      <w:pPr>
        <w:snapToGrid w:val="0"/>
        <w:spacing w:line="288" w:lineRule="auto"/>
        <w:ind w:firstLine="480" w:firstLineChars="200"/>
        <w:outlineLvl w:val="9"/>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val="en-US" w:eastAsia="zh-CN"/>
        </w:rPr>
        <w:t>7</w:t>
      </w:r>
      <w:r>
        <w:rPr>
          <w:rFonts w:hint="eastAsia" w:asciiTheme="minorEastAsia" w:hAnsiTheme="minorEastAsia" w:eastAsiaTheme="minorEastAsia"/>
          <w:sz w:val="24"/>
          <w:szCs w:val="24"/>
          <w:highlight w:val="none"/>
        </w:rPr>
        <w:t>.5</w:t>
      </w:r>
      <w:r>
        <w:rPr>
          <w:rFonts w:hint="eastAsia" w:asciiTheme="minorEastAsia" w:hAnsiTheme="minorEastAsia" w:eastAsiaTheme="minorEastAsia"/>
          <w:sz w:val="24"/>
          <w:szCs w:val="24"/>
          <w:highlight w:val="none"/>
        </w:rPr>
        <w:tab/>
      </w:r>
      <w:r>
        <w:rPr>
          <w:rFonts w:hint="eastAsia" w:asciiTheme="minorEastAsia" w:hAnsiTheme="minorEastAsia" w:eastAsiaTheme="minorEastAsia"/>
          <w:sz w:val="24"/>
          <w:szCs w:val="24"/>
          <w:highlight w:val="none"/>
        </w:rPr>
        <w:t xml:space="preserve"> 若发生事故，投标方应及时通知招标方，严禁隐瞒事故。</w:t>
      </w:r>
    </w:p>
    <w:p>
      <w:pPr>
        <w:snapToGrid w:val="0"/>
        <w:spacing w:line="288" w:lineRule="auto"/>
        <w:ind w:right="157" w:firstLine="480" w:firstLineChars="200"/>
        <w:outlineLvl w:val="9"/>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val="en-US" w:eastAsia="zh-CN"/>
        </w:rPr>
        <w:t>7</w:t>
      </w:r>
      <w:r>
        <w:rPr>
          <w:rFonts w:hint="eastAsia" w:asciiTheme="minorEastAsia" w:hAnsiTheme="minorEastAsia" w:eastAsiaTheme="minorEastAsia"/>
          <w:sz w:val="24"/>
          <w:szCs w:val="24"/>
          <w:highlight w:val="none"/>
        </w:rPr>
        <w:t>.6 投标方应采取一切合理措施，保护工地及工地周围的环境，避免污染、噪音或由于其施工造成的对公共人员和财产等的危害或干扰。并且做好对对已施工完工程的成品保护工作，防止二次污染，否则，由此引起的损失由投标方承担。</w:t>
      </w:r>
    </w:p>
    <w:p>
      <w:pPr>
        <w:snapToGrid w:val="0"/>
        <w:spacing w:line="288" w:lineRule="auto"/>
        <w:ind w:right="157" w:firstLine="480" w:firstLineChars="200"/>
        <w:outlineLvl w:val="9"/>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val="en-US" w:eastAsia="zh-CN"/>
        </w:rPr>
        <w:t>7</w:t>
      </w:r>
      <w:r>
        <w:rPr>
          <w:rFonts w:hint="eastAsia" w:asciiTheme="minorEastAsia" w:hAnsiTheme="minorEastAsia" w:eastAsiaTheme="minorEastAsia"/>
          <w:sz w:val="24"/>
          <w:szCs w:val="24"/>
          <w:highlight w:val="none"/>
        </w:rPr>
        <w:t>.7 在进行高空作业时，一定要在正确佩戴好安全带，且可靠挂接后方可进行施工。</w:t>
      </w:r>
    </w:p>
    <w:p>
      <w:pPr>
        <w:snapToGrid w:val="0"/>
        <w:spacing w:line="288" w:lineRule="auto"/>
        <w:ind w:right="157" w:firstLine="480" w:firstLineChars="200"/>
        <w:outlineLvl w:val="9"/>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val="en-US" w:eastAsia="zh-CN"/>
        </w:rPr>
        <w:t>7</w:t>
      </w:r>
      <w:r>
        <w:rPr>
          <w:rFonts w:hint="eastAsia" w:asciiTheme="minorEastAsia" w:hAnsiTheme="minorEastAsia" w:eastAsiaTheme="minorEastAsia"/>
          <w:sz w:val="24"/>
          <w:szCs w:val="24"/>
          <w:highlight w:val="none"/>
        </w:rPr>
        <w:t>.8 在进行设备拆装等触碰凡是可能触碰一次导电金属部分的时候，要注意采取相应安全措施，防止由于感应电电击后抓、扶不稳后导致高空坠落事件发生。</w:t>
      </w:r>
    </w:p>
    <w:p>
      <w:pPr>
        <w:snapToGrid w:val="0"/>
        <w:spacing w:line="288" w:lineRule="auto"/>
        <w:ind w:firstLine="482" w:firstLineChars="200"/>
        <w:outlineLvl w:val="9"/>
        <w:rPr>
          <w:rFonts w:hint="eastAsia" w:asciiTheme="minorEastAsia" w:hAnsiTheme="minorEastAsia" w:eastAsiaTheme="minorEastAsia"/>
          <w:b/>
          <w:sz w:val="24"/>
          <w:szCs w:val="24"/>
          <w:highlight w:val="none"/>
        </w:rPr>
      </w:pPr>
      <w:bookmarkStart w:id="19" w:name="_Toc321919029"/>
      <w:bookmarkStart w:id="20" w:name="_Toc318700422"/>
      <w:bookmarkStart w:id="21" w:name="_Toc320283055"/>
    </w:p>
    <w:p>
      <w:pPr>
        <w:keepNext w:val="0"/>
        <w:keepLines w:val="0"/>
        <w:numPr>
          <w:ilvl w:val="0"/>
          <w:numId w:val="1"/>
        </w:numPr>
        <w:tabs>
          <w:tab w:val="left" w:pos="480"/>
          <w:tab w:val="left" w:pos="720"/>
        </w:tabs>
        <w:topLinePunct/>
        <w:snapToGrid w:val="0"/>
        <w:spacing w:before="0" w:after="0" w:line="312" w:lineRule="auto"/>
        <w:ind w:left="425" w:leftChars="0" w:hanging="425" w:firstLineChars="0"/>
        <w:jc w:val="left"/>
        <w:outlineLvl w:val="1"/>
        <w:rPr>
          <w:rFonts w:hint="eastAsia" w:asciiTheme="minorEastAsia" w:hAnsiTheme="minorEastAsia" w:eastAsiaTheme="minorEastAsia"/>
          <w:b/>
          <w:bCs/>
          <w:sz w:val="24"/>
          <w:szCs w:val="24"/>
          <w:highlight w:val="none"/>
          <w:lang w:val="en-US" w:eastAsia="zh-CN"/>
        </w:rPr>
      </w:pPr>
      <w:bookmarkStart w:id="22" w:name="_Toc15312"/>
      <w:r>
        <w:rPr>
          <w:rFonts w:hint="eastAsia" w:asciiTheme="minorEastAsia" w:hAnsiTheme="minorEastAsia" w:eastAsiaTheme="minorEastAsia"/>
          <w:b/>
          <w:bCs/>
          <w:sz w:val="24"/>
          <w:szCs w:val="24"/>
          <w:highlight w:val="none"/>
          <w:lang w:val="en-US" w:eastAsia="zh-CN"/>
        </w:rPr>
        <w:t>质量要求</w:t>
      </w:r>
      <w:bookmarkEnd w:id="19"/>
      <w:bookmarkEnd w:id="20"/>
      <w:bookmarkEnd w:id="21"/>
      <w:bookmarkEnd w:id="22"/>
    </w:p>
    <w:p>
      <w:pPr>
        <w:snapToGrid w:val="0"/>
        <w:spacing w:line="288" w:lineRule="auto"/>
        <w:ind w:firstLine="480" w:firstLineChars="200"/>
        <w:outlineLvl w:val="9"/>
        <w:rPr>
          <w:rFonts w:asciiTheme="minorEastAsia" w:hAnsiTheme="minorEastAsia" w:eastAsiaTheme="minorEastAsia"/>
          <w:strike/>
          <w:sz w:val="24"/>
          <w:szCs w:val="24"/>
          <w:highlight w:val="none"/>
        </w:rPr>
      </w:pPr>
      <w:r>
        <w:rPr>
          <w:rFonts w:hint="eastAsia" w:asciiTheme="minorEastAsia" w:hAnsiTheme="minorEastAsia" w:eastAsiaTheme="minorEastAsia"/>
          <w:sz w:val="24"/>
          <w:szCs w:val="24"/>
          <w:highlight w:val="none"/>
          <w:lang w:val="en-US" w:eastAsia="zh-CN"/>
        </w:rPr>
        <w:t>8</w:t>
      </w:r>
      <w:r>
        <w:rPr>
          <w:rFonts w:hint="eastAsia" w:asciiTheme="minorEastAsia" w:hAnsiTheme="minorEastAsia" w:eastAsiaTheme="minorEastAsia"/>
          <w:sz w:val="24"/>
          <w:szCs w:val="24"/>
          <w:highlight w:val="none"/>
        </w:rPr>
        <w:t>.1凡与本项目有关现行国家、行业、地区及中国南方电网有限责任公司颁发的规范、规程和标准，均是本工程质量管理的依据。同时工程质量在满足设计图纸和文件要求的前提下达到中国南方电网有限责任公司验评标准的推荐值要求。工艺水平满足中国南方电网有限责任公司的工艺控制规范要求。</w:t>
      </w:r>
    </w:p>
    <w:p>
      <w:pPr>
        <w:snapToGrid w:val="0"/>
        <w:spacing w:line="288" w:lineRule="auto"/>
        <w:ind w:firstLine="480" w:firstLineChars="200"/>
        <w:outlineLvl w:val="9"/>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val="en-US" w:eastAsia="zh-CN"/>
        </w:rPr>
        <w:t>8</w:t>
      </w:r>
      <w:r>
        <w:rPr>
          <w:rFonts w:hint="eastAsia" w:asciiTheme="minorEastAsia" w:hAnsiTheme="minorEastAsia" w:eastAsiaTheme="minorEastAsia"/>
          <w:sz w:val="24"/>
          <w:szCs w:val="24"/>
          <w:highlight w:val="none"/>
        </w:rPr>
        <w:t>.2本工程按国家优质工程的标准建设，其中执行标准包括但不限于：</w:t>
      </w:r>
    </w:p>
    <w:p>
      <w:pPr>
        <w:snapToGrid w:val="0"/>
        <w:spacing w:line="288" w:lineRule="auto"/>
        <w:ind w:firstLine="480" w:firstLineChars="200"/>
        <w:outlineLvl w:val="9"/>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《10kV～500kV输变电及配电工程质量验收与评定标准》（Q/CSG 1 411002-2012）。</w:t>
      </w:r>
    </w:p>
    <w:p>
      <w:pPr>
        <w:snapToGrid w:val="0"/>
        <w:spacing w:line="288" w:lineRule="auto"/>
        <w:ind w:firstLine="480" w:firstLineChars="200"/>
        <w:outlineLvl w:val="9"/>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《中国南方电网有限责任公司电网工程建设监理工作典型表式》（Q/CSG 2 1101-2008）。</w:t>
      </w:r>
    </w:p>
    <w:p>
      <w:pPr>
        <w:snapToGrid w:val="0"/>
        <w:spacing w:line="288" w:lineRule="auto"/>
        <w:ind w:firstLine="480" w:firstLineChars="200"/>
        <w:outlineLvl w:val="9"/>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《南方电网工程施工工艺控制规范》（Q/CSG 1 1105.1-3-2008）。</w:t>
      </w:r>
    </w:p>
    <w:p>
      <w:pPr>
        <w:snapToGrid w:val="0"/>
        <w:spacing w:line="288" w:lineRule="auto"/>
        <w:ind w:firstLine="480" w:firstLineChars="200"/>
        <w:outlineLvl w:val="9"/>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《中国南方电网有限责任公司电网建设工程达标投产考核评定办法》南方电网计（2010）6号文。</w:t>
      </w:r>
    </w:p>
    <w:p>
      <w:pPr>
        <w:snapToGrid w:val="0"/>
        <w:spacing w:line="288" w:lineRule="auto"/>
        <w:ind w:firstLine="480" w:firstLineChars="200"/>
        <w:outlineLvl w:val="9"/>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中国电力建设企业协会《中国电力优质工程奖评选办法（2010版）》，中电建协（2010）8号文。</w:t>
      </w:r>
    </w:p>
    <w:p>
      <w:pPr>
        <w:snapToGrid w:val="0"/>
        <w:spacing w:line="288" w:lineRule="auto"/>
        <w:ind w:firstLine="480" w:firstLineChars="200"/>
        <w:outlineLvl w:val="9"/>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国家工程建设质量奖审定委员会《国家优质工程审定与管理办法（2007年修订稿）》。</w:t>
      </w:r>
    </w:p>
    <w:p>
      <w:pPr>
        <w:snapToGrid w:val="0"/>
        <w:spacing w:line="288" w:lineRule="auto"/>
        <w:ind w:firstLine="480" w:firstLineChars="200"/>
        <w:outlineLvl w:val="9"/>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其它所需的标准执行现行国家、行业、地方有关标准、规程、规范、规定。本合同执行期间如遇标准更改，应按新颁发的标准执行。</w:t>
      </w:r>
    </w:p>
    <w:p>
      <w:pPr>
        <w:snapToGrid w:val="0"/>
        <w:spacing w:line="288" w:lineRule="auto"/>
        <w:ind w:firstLine="482" w:firstLineChars="200"/>
        <w:outlineLvl w:val="9"/>
        <w:rPr>
          <w:rFonts w:hint="eastAsia" w:asciiTheme="minorEastAsia" w:hAnsiTheme="minorEastAsia" w:eastAsiaTheme="minorEastAsia"/>
          <w:b/>
          <w:snapToGrid w:val="0"/>
          <w:sz w:val="24"/>
          <w:szCs w:val="24"/>
          <w:highlight w:val="none"/>
        </w:rPr>
      </w:pPr>
      <w:bookmarkStart w:id="23" w:name="_Toc318700423"/>
      <w:bookmarkStart w:id="24" w:name="_Toc320283056"/>
      <w:bookmarkStart w:id="25" w:name="_Toc321919030"/>
    </w:p>
    <w:p>
      <w:pPr>
        <w:keepNext w:val="0"/>
        <w:keepLines w:val="0"/>
        <w:numPr>
          <w:ilvl w:val="0"/>
          <w:numId w:val="1"/>
        </w:numPr>
        <w:tabs>
          <w:tab w:val="left" w:pos="480"/>
          <w:tab w:val="left" w:pos="720"/>
        </w:tabs>
        <w:topLinePunct/>
        <w:snapToGrid w:val="0"/>
        <w:spacing w:before="0" w:after="0" w:line="312" w:lineRule="auto"/>
        <w:ind w:left="425" w:leftChars="0" w:hanging="425" w:firstLineChars="0"/>
        <w:jc w:val="left"/>
        <w:outlineLvl w:val="1"/>
        <w:rPr>
          <w:rFonts w:hint="eastAsia" w:asciiTheme="minorEastAsia" w:hAnsiTheme="minorEastAsia" w:eastAsiaTheme="minorEastAsia"/>
          <w:b/>
          <w:bCs/>
          <w:sz w:val="24"/>
          <w:szCs w:val="24"/>
          <w:highlight w:val="none"/>
          <w:lang w:val="en-US" w:eastAsia="zh-CN"/>
        </w:rPr>
      </w:pPr>
      <w:bookmarkStart w:id="26" w:name="_Toc18200"/>
      <w:r>
        <w:rPr>
          <w:rFonts w:hint="eastAsia" w:asciiTheme="minorEastAsia" w:hAnsiTheme="minorEastAsia" w:eastAsiaTheme="minorEastAsia"/>
          <w:b/>
          <w:bCs/>
          <w:sz w:val="24"/>
          <w:szCs w:val="24"/>
          <w:highlight w:val="none"/>
          <w:lang w:val="en-US" w:eastAsia="zh-CN"/>
        </w:rPr>
        <w:t>质量管理</w:t>
      </w:r>
      <w:bookmarkEnd w:id="23"/>
      <w:bookmarkEnd w:id="24"/>
      <w:bookmarkEnd w:id="25"/>
      <w:bookmarkEnd w:id="26"/>
    </w:p>
    <w:p>
      <w:pPr>
        <w:snapToGrid w:val="0"/>
        <w:spacing w:line="288" w:lineRule="auto"/>
        <w:ind w:firstLine="480" w:firstLineChars="200"/>
        <w:outlineLvl w:val="9"/>
        <w:rPr>
          <w:rFonts w:asciiTheme="minorEastAsia" w:hAnsiTheme="minorEastAsia" w:eastAsiaTheme="minorEastAsia"/>
          <w:snapToGrid w:val="0"/>
          <w:sz w:val="24"/>
          <w:szCs w:val="24"/>
          <w:highlight w:val="none"/>
        </w:rPr>
      </w:pPr>
      <w:r>
        <w:rPr>
          <w:rFonts w:hint="eastAsia" w:asciiTheme="minorEastAsia" w:hAnsiTheme="minorEastAsia" w:eastAsiaTheme="minorEastAsia"/>
          <w:snapToGrid w:val="0"/>
          <w:sz w:val="24"/>
          <w:szCs w:val="24"/>
          <w:highlight w:val="none"/>
          <w:lang w:val="en-US" w:eastAsia="zh-CN"/>
        </w:rPr>
        <w:t>9</w:t>
      </w:r>
      <w:r>
        <w:rPr>
          <w:rFonts w:hint="eastAsia" w:asciiTheme="minorEastAsia" w:hAnsiTheme="minorEastAsia" w:eastAsiaTheme="minorEastAsia"/>
          <w:snapToGrid w:val="0"/>
          <w:sz w:val="24"/>
          <w:szCs w:val="24"/>
          <w:highlight w:val="none"/>
        </w:rPr>
        <w:t>.1 本工程的质量目标是达到中国南方电网有限责任公司《110kV—500kV送变电工程质量检验及评定标准》中规定的优良等级，确保实现高水平达标投产，达到国家优质工程。</w:t>
      </w:r>
    </w:p>
    <w:p>
      <w:pPr>
        <w:snapToGrid w:val="0"/>
        <w:spacing w:line="288" w:lineRule="auto"/>
        <w:ind w:firstLine="480" w:firstLineChars="200"/>
        <w:outlineLvl w:val="9"/>
        <w:rPr>
          <w:rFonts w:asciiTheme="minorEastAsia" w:hAnsiTheme="minorEastAsia" w:eastAsiaTheme="minorEastAsia"/>
          <w:snapToGrid w:val="0"/>
          <w:sz w:val="24"/>
          <w:szCs w:val="24"/>
          <w:highlight w:val="none"/>
        </w:rPr>
      </w:pPr>
      <w:r>
        <w:rPr>
          <w:rFonts w:hint="eastAsia" w:asciiTheme="minorEastAsia" w:hAnsiTheme="minorEastAsia" w:eastAsiaTheme="minorEastAsia"/>
          <w:snapToGrid w:val="0"/>
          <w:sz w:val="24"/>
          <w:szCs w:val="24"/>
          <w:highlight w:val="none"/>
          <w:lang w:val="en-US" w:eastAsia="zh-CN"/>
        </w:rPr>
        <w:t>9</w:t>
      </w:r>
      <w:r>
        <w:rPr>
          <w:rFonts w:hint="eastAsia" w:asciiTheme="minorEastAsia" w:hAnsiTheme="minorEastAsia" w:eastAsiaTheme="minorEastAsia"/>
          <w:snapToGrid w:val="0"/>
          <w:sz w:val="24"/>
          <w:szCs w:val="24"/>
          <w:highlight w:val="none"/>
        </w:rPr>
        <w:t>.2 投标方的技术服务质量如达不到国家优质工程标准，投标方应积极采取措施确保达到国家优质工程标准，由此增加的费用由投标方负责。</w:t>
      </w:r>
    </w:p>
    <w:p>
      <w:pPr>
        <w:snapToGrid w:val="0"/>
        <w:spacing w:line="288" w:lineRule="auto"/>
        <w:ind w:firstLine="480" w:firstLineChars="200"/>
        <w:outlineLvl w:val="9"/>
        <w:rPr>
          <w:rFonts w:asciiTheme="minorEastAsia" w:hAnsiTheme="minorEastAsia" w:eastAsiaTheme="minorEastAsia"/>
          <w:snapToGrid w:val="0"/>
          <w:sz w:val="24"/>
          <w:szCs w:val="24"/>
          <w:highlight w:val="none"/>
        </w:rPr>
      </w:pPr>
      <w:r>
        <w:rPr>
          <w:rFonts w:hint="eastAsia" w:asciiTheme="minorEastAsia" w:hAnsiTheme="minorEastAsia" w:eastAsiaTheme="minorEastAsia"/>
          <w:snapToGrid w:val="0"/>
          <w:sz w:val="24"/>
          <w:szCs w:val="24"/>
          <w:highlight w:val="none"/>
          <w:lang w:val="en-US" w:eastAsia="zh-CN"/>
        </w:rPr>
        <w:t>9</w:t>
      </w:r>
      <w:r>
        <w:rPr>
          <w:rFonts w:hint="eastAsia" w:asciiTheme="minorEastAsia" w:hAnsiTheme="minorEastAsia" w:eastAsiaTheme="minorEastAsia"/>
          <w:snapToGrid w:val="0"/>
          <w:sz w:val="24"/>
          <w:szCs w:val="24"/>
          <w:highlight w:val="none"/>
        </w:rPr>
        <w:t>.3 如发生重大质量事故，投标方应及时向招标方提交事故报告、事故分析及处理方案或意见，处理方案经招标方认可后方可实施。</w:t>
      </w:r>
    </w:p>
    <w:p>
      <w:pPr>
        <w:snapToGrid w:val="0"/>
        <w:spacing w:line="288" w:lineRule="auto"/>
        <w:ind w:firstLine="480" w:firstLineChars="200"/>
        <w:outlineLvl w:val="9"/>
        <w:rPr>
          <w:rFonts w:asciiTheme="minorEastAsia" w:hAnsiTheme="minorEastAsia" w:eastAsiaTheme="minorEastAsia"/>
          <w:snapToGrid w:val="0"/>
          <w:sz w:val="24"/>
          <w:szCs w:val="24"/>
          <w:highlight w:val="none"/>
        </w:rPr>
      </w:pPr>
      <w:r>
        <w:rPr>
          <w:rFonts w:hint="eastAsia" w:asciiTheme="minorEastAsia" w:hAnsiTheme="minorEastAsia" w:eastAsiaTheme="minorEastAsia"/>
          <w:snapToGrid w:val="0"/>
          <w:sz w:val="24"/>
          <w:szCs w:val="24"/>
          <w:highlight w:val="none"/>
          <w:lang w:val="en-US" w:eastAsia="zh-CN"/>
        </w:rPr>
        <w:t>9</w:t>
      </w:r>
      <w:r>
        <w:rPr>
          <w:rFonts w:hint="eastAsia" w:asciiTheme="minorEastAsia" w:hAnsiTheme="minorEastAsia" w:eastAsiaTheme="minorEastAsia"/>
          <w:snapToGrid w:val="0"/>
          <w:sz w:val="24"/>
          <w:szCs w:val="24"/>
          <w:highlight w:val="none"/>
        </w:rPr>
        <w:t>.4 质量缺陷及处理情况应有记录，不得出现永久性缺陷。</w:t>
      </w:r>
    </w:p>
    <w:p>
      <w:pPr>
        <w:snapToGrid w:val="0"/>
        <w:spacing w:line="288" w:lineRule="auto"/>
        <w:ind w:firstLine="480" w:firstLineChars="200"/>
        <w:outlineLvl w:val="9"/>
        <w:rPr>
          <w:rFonts w:hint="eastAsia" w:asciiTheme="minorEastAsia" w:hAnsiTheme="minorEastAsia" w:eastAsiaTheme="minorEastAsia"/>
          <w:b w:val="0"/>
          <w:bCs/>
          <w:snapToGrid w:val="0"/>
          <w:color w:val="auto"/>
          <w:sz w:val="24"/>
          <w:szCs w:val="24"/>
          <w:highlight w:val="none"/>
        </w:rPr>
      </w:pPr>
      <w:r>
        <w:rPr>
          <w:rFonts w:hint="eastAsia" w:asciiTheme="minorEastAsia" w:hAnsiTheme="minorEastAsia" w:eastAsiaTheme="minorEastAsia"/>
          <w:b w:val="0"/>
          <w:bCs/>
          <w:snapToGrid w:val="0"/>
          <w:color w:val="auto"/>
          <w:sz w:val="24"/>
          <w:szCs w:val="24"/>
          <w:highlight w:val="none"/>
          <w:lang w:val="en-US" w:eastAsia="zh-CN"/>
        </w:rPr>
        <w:t>9</w:t>
      </w:r>
      <w:r>
        <w:rPr>
          <w:rFonts w:hint="eastAsia" w:asciiTheme="minorEastAsia" w:hAnsiTheme="minorEastAsia" w:eastAsiaTheme="minorEastAsia"/>
          <w:b w:val="0"/>
          <w:bCs/>
          <w:snapToGrid w:val="0"/>
          <w:color w:val="auto"/>
          <w:sz w:val="24"/>
          <w:szCs w:val="24"/>
          <w:highlight w:val="none"/>
        </w:rPr>
        <w:t>.5 按照本技术规范要求进行施工，保证检修质量满足要求。自项目验收合格之日起，1年内不发生因施工质量、</w:t>
      </w:r>
      <w:r>
        <w:rPr>
          <w:rFonts w:hint="eastAsia" w:asciiTheme="minorEastAsia" w:hAnsiTheme="minorEastAsia" w:eastAsiaTheme="minorEastAsia"/>
          <w:b w:val="0"/>
          <w:bCs/>
          <w:snapToGrid w:val="0"/>
          <w:color w:val="auto"/>
          <w:sz w:val="24"/>
          <w:szCs w:val="24"/>
          <w:highlight w:val="none"/>
          <w:lang w:eastAsia="zh-CN"/>
        </w:rPr>
        <w:t>设备</w:t>
      </w:r>
      <w:r>
        <w:rPr>
          <w:rFonts w:hint="eastAsia" w:asciiTheme="minorEastAsia" w:hAnsiTheme="minorEastAsia" w:eastAsiaTheme="minorEastAsia"/>
          <w:b w:val="0"/>
          <w:bCs/>
          <w:snapToGrid w:val="0"/>
          <w:color w:val="auto"/>
          <w:sz w:val="24"/>
          <w:szCs w:val="24"/>
          <w:highlight w:val="none"/>
        </w:rPr>
        <w:t>材料质量等投标方原因引起的开关故障。施工完成后一个星期之内，提供完整大修报告，报告含现场全部施工项目、更换内容及试验内容数据。</w:t>
      </w:r>
    </w:p>
    <w:p>
      <w:pPr>
        <w:snapToGrid w:val="0"/>
        <w:spacing w:line="288" w:lineRule="auto"/>
        <w:ind w:firstLine="480" w:firstLineChars="200"/>
        <w:outlineLvl w:val="9"/>
        <w:rPr>
          <w:rFonts w:asciiTheme="minorEastAsia" w:hAnsiTheme="minorEastAsia" w:eastAsiaTheme="minorEastAsia"/>
          <w:snapToGrid w:val="0"/>
          <w:sz w:val="24"/>
          <w:szCs w:val="24"/>
          <w:highlight w:val="none"/>
        </w:rPr>
      </w:pPr>
    </w:p>
    <w:p>
      <w:pPr>
        <w:keepNext w:val="0"/>
        <w:keepLines w:val="0"/>
        <w:numPr>
          <w:ilvl w:val="0"/>
          <w:numId w:val="1"/>
        </w:numPr>
        <w:tabs>
          <w:tab w:val="left" w:pos="480"/>
          <w:tab w:val="left" w:pos="720"/>
        </w:tabs>
        <w:topLinePunct/>
        <w:snapToGrid w:val="0"/>
        <w:spacing w:before="0" w:after="0" w:line="312" w:lineRule="auto"/>
        <w:ind w:left="425" w:leftChars="0" w:hanging="425" w:firstLineChars="0"/>
        <w:jc w:val="left"/>
        <w:outlineLvl w:val="1"/>
        <w:rPr>
          <w:rFonts w:hint="eastAsia" w:asciiTheme="minorEastAsia" w:hAnsiTheme="minorEastAsia" w:eastAsiaTheme="minorEastAsia"/>
          <w:b/>
          <w:bCs/>
          <w:sz w:val="24"/>
          <w:szCs w:val="24"/>
          <w:highlight w:val="none"/>
          <w:lang w:val="en-US" w:eastAsia="zh-CN"/>
        </w:rPr>
      </w:pPr>
      <w:bookmarkStart w:id="27" w:name="_Toc320283057"/>
      <w:bookmarkStart w:id="28" w:name="_Toc321919031"/>
      <w:bookmarkStart w:id="29" w:name="_Toc318700424"/>
      <w:bookmarkStart w:id="30" w:name="_Toc421"/>
      <w:r>
        <w:rPr>
          <w:rFonts w:hint="eastAsia" w:asciiTheme="minorEastAsia" w:hAnsiTheme="minorEastAsia" w:eastAsiaTheme="minorEastAsia"/>
          <w:b/>
          <w:bCs/>
          <w:sz w:val="24"/>
          <w:szCs w:val="24"/>
          <w:highlight w:val="none"/>
          <w:lang w:val="en-US" w:eastAsia="zh-CN"/>
        </w:rPr>
        <w:t>服务要求</w:t>
      </w:r>
      <w:bookmarkEnd w:id="27"/>
      <w:bookmarkEnd w:id="28"/>
      <w:bookmarkEnd w:id="29"/>
      <w:bookmarkEnd w:id="30"/>
    </w:p>
    <w:p>
      <w:pPr>
        <w:snapToGrid w:val="0"/>
        <w:spacing w:line="288" w:lineRule="auto"/>
        <w:ind w:firstLine="480" w:firstLineChars="200"/>
        <w:outlineLvl w:val="9"/>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val="en-US" w:eastAsia="zh-CN"/>
        </w:rPr>
        <w:t>10</w:t>
      </w:r>
      <w:r>
        <w:rPr>
          <w:rFonts w:hint="eastAsia" w:asciiTheme="minorEastAsia" w:hAnsiTheme="minorEastAsia" w:eastAsiaTheme="minorEastAsia"/>
          <w:sz w:val="24"/>
          <w:szCs w:val="24"/>
          <w:highlight w:val="none"/>
        </w:rPr>
        <w:t>.1 由投标方自行采购的材料及工器具由投标方运至检修现场，发生的费用由投标方负责；</w:t>
      </w:r>
    </w:p>
    <w:p>
      <w:pPr>
        <w:snapToGrid w:val="0"/>
        <w:spacing w:line="288" w:lineRule="auto"/>
        <w:ind w:firstLine="480" w:firstLineChars="200"/>
        <w:outlineLvl w:val="9"/>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val="en-US" w:eastAsia="zh-CN"/>
        </w:rPr>
        <w:t>10</w:t>
      </w:r>
      <w:r>
        <w:rPr>
          <w:rFonts w:hint="eastAsia" w:asciiTheme="minorEastAsia" w:hAnsiTheme="minorEastAsia" w:eastAsiaTheme="minorEastAsia"/>
          <w:sz w:val="24"/>
          <w:szCs w:val="24"/>
          <w:highlight w:val="none"/>
        </w:rPr>
        <w:t>.2 投标方进场前要报送施检修案，且通过招标方审查。</w:t>
      </w:r>
    </w:p>
    <w:p>
      <w:pPr>
        <w:snapToGrid w:val="0"/>
        <w:spacing w:line="288" w:lineRule="auto"/>
        <w:ind w:firstLine="480" w:firstLineChars="200"/>
        <w:outlineLvl w:val="9"/>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val="en-US" w:eastAsia="zh-CN"/>
        </w:rPr>
        <w:t>10</w:t>
      </w:r>
      <w:r>
        <w:rPr>
          <w:rFonts w:hint="eastAsia" w:asciiTheme="minorEastAsia" w:hAnsiTheme="minorEastAsia" w:eastAsiaTheme="minorEastAsia"/>
          <w:sz w:val="24"/>
          <w:szCs w:val="24"/>
          <w:highlight w:val="none"/>
        </w:rPr>
        <w:t xml:space="preserve">.3 </w:t>
      </w:r>
      <w:r>
        <w:rPr>
          <w:rFonts w:hint="eastAsia" w:asciiTheme="minorEastAsia" w:hAnsiTheme="minorEastAsia" w:eastAsiaTheme="minorEastAsia"/>
          <w:sz w:val="24"/>
          <w:szCs w:val="24"/>
          <w:highlight w:val="none"/>
          <w:lang w:eastAsia="zh-CN"/>
        </w:rPr>
        <w:t>项目实施</w:t>
      </w:r>
      <w:r>
        <w:rPr>
          <w:rFonts w:hint="eastAsia" w:asciiTheme="minorEastAsia" w:hAnsiTheme="minorEastAsia" w:eastAsiaTheme="minorEastAsia"/>
          <w:sz w:val="24"/>
          <w:szCs w:val="24"/>
          <w:highlight w:val="none"/>
        </w:rPr>
        <w:t>过程做好各种相关记录；</w:t>
      </w:r>
    </w:p>
    <w:p>
      <w:pPr>
        <w:snapToGrid w:val="0"/>
        <w:spacing w:line="288" w:lineRule="auto"/>
        <w:ind w:firstLine="480" w:firstLineChars="200"/>
        <w:outlineLvl w:val="9"/>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val="en-US" w:eastAsia="zh-CN"/>
        </w:rPr>
        <w:t>10</w:t>
      </w:r>
      <w:r>
        <w:rPr>
          <w:rFonts w:hint="eastAsia" w:asciiTheme="minorEastAsia" w:hAnsiTheme="minorEastAsia" w:eastAsiaTheme="minorEastAsia"/>
          <w:sz w:val="24"/>
          <w:szCs w:val="24"/>
          <w:highlight w:val="none"/>
        </w:rPr>
        <w:t>.4 发现问题及时汇报；</w:t>
      </w:r>
    </w:p>
    <w:p>
      <w:pPr>
        <w:snapToGrid w:val="0"/>
        <w:spacing w:line="288" w:lineRule="auto"/>
        <w:ind w:firstLine="480" w:firstLineChars="200"/>
        <w:outlineLvl w:val="9"/>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val="en-US" w:eastAsia="zh-CN"/>
        </w:rPr>
        <w:t>10</w:t>
      </w:r>
      <w:r>
        <w:rPr>
          <w:rFonts w:hint="eastAsia" w:asciiTheme="minorEastAsia" w:hAnsiTheme="minorEastAsia" w:eastAsiaTheme="minorEastAsia"/>
          <w:sz w:val="24"/>
          <w:szCs w:val="24"/>
          <w:highlight w:val="none"/>
        </w:rPr>
        <w:t>.</w:t>
      </w:r>
      <w:r>
        <w:rPr>
          <w:rFonts w:hint="eastAsia" w:asciiTheme="minorEastAsia" w:hAnsiTheme="minorEastAsia" w:eastAsiaTheme="minorEastAsia"/>
          <w:sz w:val="24"/>
          <w:szCs w:val="24"/>
          <w:highlight w:val="none"/>
          <w:lang w:val="en-US" w:eastAsia="zh-CN"/>
        </w:rPr>
        <w:t>6</w:t>
      </w:r>
      <w:r>
        <w:rPr>
          <w:rFonts w:hint="eastAsia" w:asciiTheme="minorEastAsia" w:hAnsiTheme="minorEastAsia" w:eastAsiaTheme="minorEastAsia"/>
          <w:sz w:val="24"/>
          <w:szCs w:val="24"/>
          <w:highlight w:val="none"/>
        </w:rPr>
        <w:t>本项目实施过程中引起的赔偿问题，纠纷问题，由投标方负责解决；</w:t>
      </w:r>
    </w:p>
    <w:p>
      <w:pPr>
        <w:snapToGrid w:val="0"/>
        <w:spacing w:line="288" w:lineRule="auto"/>
        <w:ind w:firstLine="480" w:firstLineChars="200"/>
        <w:outlineLvl w:val="9"/>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val="en-US" w:eastAsia="zh-CN"/>
        </w:rPr>
        <w:t>10</w:t>
      </w:r>
      <w:r>
        <w:rPr>
          <w:rFonts w:hint="eastAsia" w:asciiTheme="minorEastAsia" w:hAnsiTheme="minorEastAsia" w:eastAsiaTheme="minorEastAsia"/>
          <w:sz w:val="24"/>
          <w:szCs w:val="24"/>
          <w:highlight w:val="none"/>
        </w:rPr>
        <w:t>.5 检修资料移交：</w:t>
      </w:r>
    </w:p>
    <w:p>
      <w:pPr>
        <w:snapToGrid w:val="0"/>
        <w:spacing w:line="288" w:lineRule="auto"/>
        <w:ind w:firstLine="480" w:firstLineChars="200"/>
        <w:outlineLvl w:val="9"/>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1）制造厂提供试验方法、试验记录等技术文件。</w:t>
      </w:r>
    </w:p>
    <w:p>
      <w:pPr>
        <w:snapToGrid w:val="0"/>
        <w:spacing w:line="288" w:lineRule="auto"/>
        <w:ind w:firstLine="480" w:firstLineChars="200"/>
        <w:outlineLvl w:val="9"/>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2）检修报告（包括试验数据、结论）。</w:t>
      </w:r>
    </w:p>
    <w:p>
      <w:pPr>
        <w:snapToGrid w:val="0"/>
        <w:spacing w:line="288" w:lineRule="auto"/>
        <w:ind w:firstLine="480" w:firstLineChars="200"/>
        <w:outlineLvl w:val="9"/>
        <w:rPr>
          <w:rFonts w:asciiTheme="minorEastAsia" w:hAnsiTheme="minorEastAsia" w:eastAsiaTheme="minorEastAsia"/>
          <w:sz w:val="24"/>
          <w:szCs w:val="24"/>
          <w:highlight w:val="none"/>
        </w:rPr>
      </w:pPr>
    </w:p>
    <w:p>
      <w:pPr>
        <w:keepNext w:val="0"/>
        <w:keepLines w:val="0"/>
        <w:numPr>
          <w:ilvl w:val="0"/>
          <w:numId w:val="1"/>
        </w:numPr>
        <w:tabs>
          <w:tab w:val="left" w:pos="480"/>
          <w:tab w:val="left" w:pos="720"/>
        </w:tabs>
        <w:topLinePunct/>
        <w:snapToGrid w:val="0"/>
        <w:spacing w:before="0" w:after="0" w:line="312" w:lineRule="auto"/>
        <w:ind w:left="425" w:leftChars="0" w:hanging="425" w:firstLineChars="0"/>
        <w:jc w:val="left"/>
        <w:outlineLvl w:val="1"/>
        <w:rPr>
          <w:rFonts w:hint="eastAsia" w:asciiTheme="minorEastAsia" w:hAnsiTheme="minorEastAsia" w:eastAsiaTheme="minorEastAsia"/>
          <w:b/>
          <w:bCs/>
          <w:sz w:val="24"/>
          <w:szCs w:val="24"/>
          <w:highlight w:val="none"/>
          <w:lang w:val="en-US" w:eastAsia="zh-CN"/>
        </w:rPr>
      </w:pPr>
      <w:bookmarkStart w:id="31" w:name="_Toc2304"/>
      <w:r>
        <w:rPr>
          <w:rFonts w:hint="eastAsia" w:asciiTheme="minorEastAsia" w:hAnsiTheme="minorEastAsia" w:eastAsiaTheme="minorEastAsia"/>
          <w:b/>
          <w:bCs/>
          <w:sz w:val="24"/>
          <w:szCs w:val="24"/>
          <w:highlight w:val="none"/>
          <w:lang w:val="en-US" w:eastAsia="zh-CN"/>
        </w:rPr>
        <w:t>附件</w:t>
      </w:r>
      <w:bookmarkEnd w:id="31"/>
    </w:p>
    <w:p>
      <w:pPr>
        <w:snapToGrid w:val="0"/>
        <w:spacing w:line="288" w:lineRule="auto"/>
        <w:ind w:firstLine="480" w:firstLineChars="200"/>
        <w:outlineLvl w:val="9"/>
        <w:rPr>
          <w:rFonts w:hint="eastAsia" w:asciiTheme="minorEastAsia" w:hAnsiTheme="minorEastAsia" w:eastAsiaTheme="minorEastAsia"/>
          <w:sz w:val="24"/>
          <w:szCs w:val="24"/>
          <w:highlight w:val="none"/>
          <w:lang w:val="en-US" w:eastAsia="zh-CN"/>
        </w:rPr>
      </w:pPr>
      <w:r>
        <w:rPr>
          <w:rFonts w:hint="eastAsia" w:asciiTheme="minorEastAsia" w:hAnsiTheme="minorEastAsia" w:eastAsiaTheme="minorEastAsia"/>
          <w:sz w:val="24"/>
          <w:szCs w:val="24"/>
          <w:highlight w:val="none"/>
          <w:lang w:val="en-US" w:eastAsia="zh-CN"/>
        </w:rPr>
        <w:t>附件1：施工/技术服务单位项目竣工报告模板</w:t>
      </w:r>
    </w:p>
    <w:p>
      <w:pPr>
        <w:snapToGrid w:val="0"/>
        <w:spacing w:line="288" w:lineRule="auto"/>
        <w:ind w:firstLine="480" w:firstLineChars="200"/>
        <w:outlineLvl w:val="9"/>
        <w:rPr>
          <w:rFonts w:asciiTheme="minorEastAsia" w:hAnsiTheme="minorEastAsia" w:eastAsiaTheme="minorEastAsia"/>
          <w:sz w:val="24"/>
          <w:szCs w:val="24"/>
          <w:highlight w:val="none"/>
        </w:rPr>
      </w:pPr>
    </w:p>
    <w:p>
      <w:pPr>
        <w:widowControl/>
        <w:adjustRightInd/>
        <w:spacing w:line="240" w:lineRule="auto"/>
        <w:ind w:firstLine="0"/>
        <w:jc w:val="left"/>
        <w:textAlignment w:val="auto"/>
        <w:outlineLvl w:val="9"/>
        <w:rPr>
          <w:rFonts w:asciiTheme="minorEastAsia" w:hAnsiTheme="minorEastAsia" w:eastAsiaTheme="minorEastAsia"/>
          <w:sz w:val="21"/>
          <w:szCs w:val="21"/>
          <w:highlight w:val="none"/>
        </w:rPr>
      </w:pPr>
    </w:p>
    <w:sectPr>
      <w:headerReference r:id="rId3" w:type="default"/>
      <w:footerReference r:id="rId4" w:type="default"/>
      <w:pgSz w:w="11906" w:h="16838"/>
      <w:pgMar w:top="1440" w:right="1800" w:bottom="1440" w:left="1800" w:header="851" w:footer="992" w:gutter="0"/>
      <w:pgNumType w:start="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809029"/>
    </w:sdtPr>
    <w:sdtContent>
      <w:p>
        <w:pPr>
          <w:pStyle w:val="23"/>
          <w:jc w:val="center"/>
        </w:pPr>
        <w:r>
          <w:fldChar w:fldCharType="begin"/>
        </w:r>
        <w:r>
          <w:instrText xml:space="preserve"> PAGE   \* MERGEFORMAT </w:instrText>
        </w:r>
        <w:r>
          <w:fldChar w:fldCharType="separate"/>
        </w:r>
        <w:r>
          <w:rPr>
            <w:lang w:val="zh-CN"/>
          </w:rPr>
          <w:t>0</w:t>
        </w:r>
        <w:r>
          <w:rPr>
            <w:lang w:val="zh-CN"/>
          </w:rPr>
          <w:fldChar w:fldCharType="end"/>
        </w:r>
      </w:p>
    </w:sdtContent>
  </w:sdt>
  <w:p>
    <w:pPr>
      <w:pStyle w:val="23"/>
      <w:jc w:val="center"/>
      <w:rPr>
        <w:rFonts w:ascii="仿宋_GB2312" w:eastAsia="仿宋_GB2312"/>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lvl w:ilvl="0" w:tentative="0">
      <w:start w:val="1"/>
      <w:numFmt w:val="bullet"/>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
    <w:nsid w:val="5BEFC873"/>
    <w:multiLevelType w:val="singleLevel"/>
    <w:tmpl w:val="5BEFC873"/>
    <w:lvl w:ilvl="0" w:tentative="0">
      <w:start w:val="1"/>
      <w:numFmt w:val="decimal"/>
      <w:lvlText w:val="%1."/>
      <w:lvlJc w:val="left"/>
      <w:pPr>
        <w:ind w:left="425" w:leftChars="0" w:hanging="425" w:firstLineChars="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cumentProtection w:enforcement="0"/>
  <w:defaultTabStop w:val="425"/>
  <w:drawingGridHorizontalSpacing w:val="3"/>
  <w:drawingGridVerticalSpacing w:val="2"/>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30412"/>
    <w:rsid w:val="00034BC8"/>
    <w:rsid w:val="000548CA"/>
    <w:rsid w:val="00060A26"/>
    <w:rsid w:val="000738B4"/>
    <w:rsid w:val="000A6EE5"/>
    <w:rsid w:val="000E5C75"/>
    <w:rsid w:val="000E7C0C"/>
    <w:rsid w:val="000F71B6"/>
    <w:rsid w:val="00103BFD"/>
    <w:rsid w:val="00172A27"/>
    <w:rsid w:val="00174458"/>
    <w:rsid w:val="00191291"/>
    <w:rsid w:val="00193BBF"/>
    <w:rsid w:val="001A1415"/>
    <w:rsid w:val="001B43A5"/>
    <w:rsid w:val="001B75DF"/>
    <w:rsid w:val="001B76FF"/>
    <w:rsid w:val="001C5083"/>
    <w:rsid w:val="001D1025"/>
    <w:rsid w:val="0027563D"/>
    <w:rsid w:val="002B68AF"/>
    <w:rsid w:val="002E21C4"/>
    <w:rsid w:val="00324FA4"/>
    <w:rsid w:val="00336BEB"/>
    <w:rsid w:val="0034438A"/>
    <w:rsid w:val="0034557B"/>
    <w:rsid w:val="003765AB"/>
    <w:rsid w:val="00396654"/>
    <w:rsid w:val="003C72C3"/>
    <w:rsid w:val="003E1733"/>
    <w:rsid w:val="003F63C6"/>
    <w:rsid w:val="00420C6A"/>
    <w:rsid w:val="00432F86"/>
    <w:rsid w:val="00453F2D"/>
    <w:rsid w:val="00487A9C"/>
    <w:rsid w:val="004A1605"/>
    <w:rsid w:val="004B16BD"/>
    <w:rsid w:val="004C60F7"/>
    <w:rsid w:val="004D34BD"/>
    <w:rsid w:val="0050342B"/>
    <w:rsid w:val="00510EA1"/>
    <w:rsid w:val="00520594"/>
    <w:rsid w:val="00554F34"/>
    <w:rsid w:val="00576E38"/>
    <w:rsid w:val="00590445"/>
    <w:rsid w:val="005A3583"/>
    <w:rsid w:val="005B3612"/>
    <w:rsid w:val="005C504A"/>
    <w:rsid w:val="005E212A"/>
    <w:rsid w:val="005E4E9D"/>
    <w:rsid w:val="00610D8B"/>
    <w:rsid w:val="00661B84"/>
    <w:rsid w:val="00680121"/>
    <w:rsid w:val="006A2EC7"/>
    <w:rsid w:val="006A63BF"/>
    <w:rsid w:val="006A69BA"/>
    <w:rsid w:val="006B5676"/>
    <w:rsid w:val="006B781A"/>
    <w:rsid w:val="006F1E85"/>
    <w:rsid w:val="007039A1"/>
    <w:rsid w:val="0072713A"/>
    <w:rsid w:val="0073274F"/>
    <w:rsid w:val="0073415D"/>
    <w:rsid w:val="007410C3"/>
    <w:rsid w:val="00750C32"/>
    <w:rsid w:val="00780959"/>
    <w:rsid w:val="007817F0"/>
    <w:rsid w:val="007D4DC4"/>
    <w:rsid w:val="008458EA"/>
    <w:rsid w:val="0084704D"/>
    <w:rsid w:val="008479CF"/>
    <w:rsid w:val="008724C4"/>
    <w:rsid w:val="00894A97"/>
    <w:rsid w:val="008C2F15"/>
    <w:rsid w:val="008C598E"/>
    <w:rsid w:val="008E48DB"/>
    <w:rsid w:val="009220BC"/>
    <w:rsid w:val="0096101D"/>
    <w:rsid w:val="00961395"/>
    <w:rsid w:val="00996264"/>
    <w:rsid w:val="009D6299"/>
    <w:rsid w:val="009E2419"/>
    <w:rsid w:val="009F17D4"/>
    <w:rsid w:val="009F2AC1"/>
    <w:rsid w:val="00A1156A"/>
    <w:rsid w:val="00A25031"/>
    <w:rsid w:val="00A31979"/>
    <w:rsid w:val="00A412D1"/>
    <w:rsid w:val="00A965B1"/>
    <w:rsid w:val="00AE7294"/>
    <w:rsid w:val="00AF222A"/>
    <w:rsid w:val="00B02ED9"/>
    <w:rsid w:val="00B21E3A"/>
    <w:rsid w:val="00B3271B"/>
    <w:rsid w:val="00B372D4"/>
    <w:rsid w:val="00B737B2"/>
    <w:rsid w:val="00B84EAC"/>
    <w:rsid w:val="00BC7459"/>
    <w:rsid w:val="00BE7208"/>
    <w:rsid w:val="00C031A5"/>
    <w:rsid w:val="00C06C69"/>
    <w:rsid w:val="00C11703"/>
    <w:rsid w:val="00C262C1"/>
    <w:rsid w:val="00C37C24"/>
    <w:rsid w:val="00C45756"/>
    <w:rsid w:val="00C46860"/>
    <w:rsid w:val="00C64BDC"/>
    <w:rsid w:val="00C76C3E"/>
    <w:rsid w:val="00CA2BD8"/>
    <w:rsid w:val="00CD35CE"/>
    <w:rsid w:val="00CF02C7"/>
    <w:rsid w:val="00CF1C34"/>
    <w:rsid w:val="00D26C7C"/>
    <w:rsid w:val="00D42910"/>
    <w:rsid w:val="00D50825"/>
    <w:rsid w:val="00D57AA7"/>
    <w:rsid w:val="00D607C8"/>
    <w:rsid w:val="00D97790"/>
    <w:rsid w:val="00DA4DD7"/>
    <w:rsid w:val="00DA578C"/>
    <w:rsid w:val="00DD2035"/>
    <w:rsid w:val="00DE0315"/>
    <w:rsid w:val="00DE7F7A"/>
    <w:rsid w:val="00E00A56"/>
    <w:rsid w:val="00E1675C"/>
    <w:rsid w:val="00E47D1A"/>
    <w:rsid w:val="00E65AC3"/>
    <w:rsid w:val="00E71A94"/>
    <w:rsid w:val="00E750E2"/>
    <w:rsid w:val="00EB7E63"/>
    <w:rsid w:val="00ED19EB"/>
    <w:rsid w:val="00EF03D6"/>
    <w:rsid w:val="00F239B7"/>
    <w:rsid w:val="00F61EFE"/>
    <w:rsid w:val="00F8108B"/>
    <w:rsid w:val="00FB0095"/>
    <w:rsid w:val="00FD3CA0"/>
    <w:rsid w:val="07F35EFE"/>
    <w:rsid w:val="49C157FF"/>
    <w:rsid w:val="5E0D410B"/>
    <w:rsid w:val="680C6183"/>
    <w:rsid w:val="69851EE9"/>
    <w:rsid w:val="70DF297A"/>
    <w:rsid w:val="7C5778F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490" w:lineRule="exact"/>
      <w:ind w:firstLine="556"/>
      <w:jc w:val="both"/>
      <w:textAlignment w:val="baseline"/>
    </w:pPr>
    <w:rPr>
      <w:rFonts w:ascii="Times New Roman" w:hAnsi="Times New Roman" w:eastAsia="仿宋_GB2312" w:cs="Times New Roman"/>
      <w:sz w:val="28"/>
      <w:lang w:val="en-US" w:eastAsia="zh-CN" w:bidi="ar-SA"/>
    </w:rPr>
  </w:style>
  <w:style w:type="paragraph" w:styleId="2">
    <w:name w:val="heading 1"/>
    <w:basedOn w:val="1"/>
    <w:next w:val="1"/>
    <w:qFormat/>
    <w:uiPriority w:val="0"/>
    <w:pPr>
      <w:keepNext/>
      <w:keepLines/>
      <w:spacing w:before="340" w:after="330" w:line="578" w:lineRule="atLeast"/>
      <w:outlineLvl w:val="0"/>
    </w:pPr>
    <w:rPr>
      <w:b/>
      <w:kern w:val="44"/>
      <w:sz w:val="32"/>
    </w:rPr>
  </w:style>
  <w:style w:type="paragraph" w:styleId="3">
    <w:name w:val="heading 2"/>
    <w:basedOn w:val="1"/>
    <w:next w:val="1"/>
    <w:qFormat/>
    <w:uiPriority w:val="0"/>
    <w:pPr>
      <w:keepNext/>
      <w:keepLines/>
      <w:spacing w:before="320" w:after="160"/>
      <w:outlineLvl w:val="1"/>
    </w:pPr>
    <w:rPr>
      <w:rFonts w:ascii="Arial" w:hAnsi="Arial" w:eastAsia="黑体"/>
      <w:b/>
    </w:rPr>
  </w:style>
  <w:style w:type="paragraph" w:styleId="4">
    <w:name w:val="heading 3"/>
    <w:basedOn w:val="1"/>
    <w:next w:val="1"/>
    <w:qFormat/>
    <w:uiPriority w:val="0"/>
    <w:pPr>
      <w:keepNext/>
      <w:keepLines/>
      <w:spacing w:before="260" w:after="260" w:line="416" w:lineRule="atLeast"/>
      <w:outlineLvl w:val="2"/>
    </w:pPr>
    <w:rPr>
      <w:b/>
      <w:bCs/>
      <w:sz w:val="32"/>
      <w:szCs w:val="32"/>
    </w:rPr>
  </w:style>
  <w:style w:type="paragraph" w:styleId="5">
    <w:name w:val="heading 4"/>
    <w:basedOn w:val="1"/>
    <w:next w:val="1"/>
    <w:qFormat/>
    <w:uiPriority w:val="0"/>
    <w:pPr>
      <w:keepNext/>
      <w:keepLines/>
      <w:spacing w:before="280" w:after="290" w:line="376" w:lineRule="atLeast"/>
      <w:outlineLvl w:val="3"/>
    </w:pPr>
    <w:rPr>
      <w:rFonts w:ascii="Arial" w:hAnsi="Arial" w:eastAsia="黑体"/>
      <w:b/>
      <w:bCs/>
      <w:szCs w:val="28"/>
    </w:rPr>
  </w:style>
  <w:style w:type="paragraph" w:styleId="6">
    <w:name w:val="heading 5"/>
    <w:basedOn w:val="1"/>
    <w:next w:val="1"/>
    <w:qFormat/>
    <w:uiPriority w:val="0"/>
    <w:pPr>
      <w:keepNext/>
      <w:keepLines/>
      <w:spacing w:before="280" w:after="290" w:line="376" w:lineRule="atLeast"/>
      <w:outlineLvl w:val="4"/>
    </w:pPr>
    <w:rPr>
      <w:b/>
      <w:bCs/>
      <w:szCs w:val="28"/>
    </w:rPr>
  </w:style>
  <w:style w:type="character" w:default="1" w:styleId="37">
    <w:name w:val="Default Paragraph Font"/>
    <w:unhideWhenUsed/>
    <w:qFormat/>
    <w:uiPriority w:val="1"/>
  </w:style>
  <w:style w:type="table" w:default="1" w:styleId="42">
    <w:name w:val="Normal Table"/>
    <w:unhideWhenUsed/>
    <w:qFormat/>
    <w:uiPriority w:val="99"/>
    <w:tblPr>
      <w:tblLayout w:type="fixed"/>
      <w:tblCellMar>
        <w:top w:w="0" w:type="dxa"/>
        <w:left w:w="108" w:type="dxa"/>
        <w:bottom w:w="0" w:type="dxa"/>
        <w:right w:w="108" w:type="dxa"/>
      </w:tblCellMar>
    </w:tblPr>
  </w:style>
  <w:style w:type="paragraph" w:styleId="7">
    <w:name w:val="toc 7"/>
    <w:basedOn w:val="1"/>
    <w:next w:val="1"/>
    <w:qFormat/>
    <w:uiPriority w:val="0"/>
    <w:pPr>
      <w:ind w:left="1680"/>
      <w:jc w:val="left"/>
    </w:pPr>
    <w:rPr>
      <w:szCs w:val="21"/>
    </w:rPr>
  </w:style>
  <w:style w:type="paragraph" w:styleId="8">
    <w:name w:val="index 8"/>
    <w:basedOn w:val="1"/>
    <w:next w:val="1"/>
    <w:qFormat/>
    <w:uiPriority w:val="0"/>
    <w:pPr>
      <w:ind w:left="1400" w:leftChars="1400" w:firstLine="0"/>
    </w:pPr>
  </w:style>
  <w:style w:type="paragraph" w:styleId="9">
    <w:name w:val="Normal Indent"/>
    <w:basedOn w:val="1"/>
    <w:qFormat/>
    <w:uiPriority w:val="0"/>
    <w:pPr>
      <w:ind w:firstLine="420"/>
    </w:pPr>
  </w:style>
  <w:style w:type="paragraph" w:styleId="10">
    <w:name w:val="index 5"/>
    <w:basedOn w:val="1"/>
    <w:next w:val="1"/>
    <w:qFormat/>
    <w:uiPriority w:val="0"/>
    <w:pPr>
      <w:ind w:left="800" w:leftChars="800" w:firstLine="0"/>
    </w:pPr>
  </w:style>
  <w:style w:type="paragraph" w:styleId="11">
    <w:name w:val="Document Map"/>
    <w:basedOn w:val="1"/>
    <w:qFormat/>
    <w:uiPriority w:val="0"/>
    <w:pPr>
      <w:shd w:val="clear" w:color="auto" w:fill="000080"/>
    </w:pPr>
  </w:style>
  <w:style w:type="paragraph" w:styleId="12">
    <w:name w:val="index 6"/>
    <w:basedOn w:val="1"/>
    <w:next w:val="1"/>
    <w:qFormat/>
    <w:uiPriority w:val="0"/>
    <w:pPr>
      <w:ind w:left="1000" w:leftChars="1000" w:firstLine="0"/>
    </w:pPr>
  </w:style>
  <w:style w:type="paragraph" w:styleId="13">
    <w:name w:val="Body Text"/>
    <w:basedOn w:val="1"/>
    <w:qFormat/>
    <w:uiPriority w:val="0"/>
    <w:pPr>
      <w:adjustRightInd/>
      <w:spacing w:line="240" w:lineRule="auto"/>
      <w:ind w:firstLine="0"/>
      <w:textAlignment w:val="auto"/>
    </w:pPr>
    <w:rPr>
      <w:rFonts w:eastAsia="宋体"/>
      <w:b/>
      <w:kern w:val="2"/>
      <w:sz w:val="18"/>
    </w:rPr>
  </w:style>
  <w:style w:type="paragraph" w:styleId="14">
    <w:name w:val="Body Text Indent"/>
    <w:basedOn w:val="1"/>
    <w:qFormat/>
    <w:uiPriority w:val="0"/>
    <w:pPr>
      <w:widowControl/>
      <w:overflowPunct w:val="0"/>
      <w:autoSpaceDE w:val="0"/>
      <w:autoSpaceDN w:val="0"/>
      <w:spacing w:before="120" w:line="240" w:lineRule="auto"/>
      <w:ind w:left="720" w:firstLine="0"/>
      <w:jc w:val="left"/>
    </w:pPr>
    <w:rPr>
      <w:rFonts w:ascii="楷体" w:eastAsia="楷体"/>
    </w:rPr>
  </w:style>
  <w:style w:type="paragraph" w:styleId="15">
    <w:name w:val="index 4"/>
    <w:basedOn w:val="1"/>
    <w:next w:val="1"/>
    <w:qFormat/>
    <w:uiPriority w:val="0"/>
    <w:pPr>
      <w:ind w:left="600" w:leftChars="600" w:firstLine="0"/>
    </w:pPr>
  </w:style>
  <w:style w:type="paragraph" w:styleId="16">
    <w:name w:val="toc 5"/>
    <w:basedOn w:val="1"/>
    <w:next w:val="1"/>
    <w:qFormat/>
    <w:uiPriority w:val="0"/>
    <w:pPr>
      <w:ind w:left="1120"/>
      <w:jc w:val="left"/>
    </w:pPr>
    <w:rPr>
      <w:szCs w:val="21"/>
    </w:rPr>
  </w:style>
  <w:style w:type="paragraph" w:styleId="17">
    <w:name w:val="toc 3"/>
    <w:basedOn w:val="1"/>
    <w:next w:val="1"/>
    <w:qFormat/>
    <w:uiPriority w:val="0"/>
    <w:pPr>
      <w:ind w:left="560"/>
      <w:jc w:val="left"/>
    </w:pPr>
    <w:rPr>
      <w:i/>
      <w:iCs/>
      <w:szCs w:val="24"/>
    </w:rPr>
  </w:style>
  <w:style w:type="paragraph" w:styleId="18">
    <w:name w:val="Plain Text"/>
    <w:basedOn w:val="1"/>
    <w:link w:val="44"/>
    <w:qFormat/>
    <w:uiPriority w:val="0"/>
    <w:pPr>
      <w:adjustRightInd/>
      <w:spacing w:line="240" w:lineRule="auto"/>
      <w:ind w:firstLine="0"/>
      <w:textAlignment w:val="auto"/>
    </w:pPr>
    <w:rPr>
      <w:rFonts w:ascii="宋体" w:hAnsi="Courier New" w:eastAsia="宋体"/>
      <w:kern w:val="2"/>
      <w:sz w:val="21"/>
    </w:rPr>
  </w:style>
  <w:style w:type="paragraph" w:styleId="19">
    <w:name w:val="toc 8"/>
    <w:basedOn w:val="1"/>
    <w:next w:val="1"/>
    <w:qFormat/>
    <w:uiPriority w:val="0"/>
    <w:pPr>
      <w:ind w:left="1960"/>
      <w:jc w:val="left"/>
    </w:pPr>
    <w:rPr>
      <w:szCs w:val="21"/>
    </w:rPr>
  </w:style>
  <w:style w:type="paragraph" w:styleId="20">
    <w:name w:val="index 3"/>
    <w:basedOn w:val="1"/>
    <w:next w:val="1"/>
    <w:qFormat/>
    <w:uiPriority w:val="0"/>
    <w:pPr>
      <w:ind w:left="400" w:leftChars="400" w:firstLine="0"/>
    </w:pPr>
  </w:style>
  <w:style w:type="paragraph" w:styleId="21">
    <w:name w:val="Date"/>
    <w:basedOn w:val="1"/>
    <w:next w:val="1"/>
    <w:qFormat/>
    <w:uiPriority w:val="0"/>
    <w:pPr>
      <w:adjustRightInd/>
      <w:spacing w:line="240" w:lineRule="auto"/>
      <w:ind w:firstLine="0"/>
      <w:textAlignment w:val="auto"/>
    </w:pPr>
    <w:rPr>
      <w:rFonts w:eastAsia="宋体"/>
      <w:kern w:val="2"/>
      <w:sz w:val="21"/>
    </w:rPr>
  </w:style>
  <w:style w:type="paragraph" w:styleId="22">
    <w:name w:val="Body Text Indent 2"/>
    <w:basedOn w:val="1"/>
    <w:qFormat/>
    <w:uiPriority w:val="0"/>
    <w:pPr>
      <w:widowControl/>
      <w:overflowPunct w:val="0"/>
      <w:autoSpaceDE w:val="0"/>
      <w:autoSpaceDN w:val="0"/>
      <w:spacing w:line="240" w:lineRule="auto"/>
      <w:ind w:left="556" w:firstLine="0"/>
      <w:jc w:val="left"/>
    </w:pPr>
    <w:rPr>
      <w:rFonts w:ascii="宋体" w:eastAsia="宋体"/>
    </w:rPr>
  </w:style>
  <w:style w:type="paragraph" w:styleId="23">
    <w:name w:val="footer"/>
    <w:basedOn w:val="1"/>
    <w:link w:val="71"/>
    <w:qFormat/>
    <w:uiPriority w:val="99"/>
    <w:pPr>
      <w:tabs>
        <w:tab w:val="center" w:pos="4320"/>
        <w:tab w:val="right" w:pos="8640"/>
      </w:tabs>
      <w:spacing w:line="240" w:lineRule="atLeast"/>
      <w:ind w:firstLine="0"/>
      <w:jc w:val="left"/>
    </w:pPr>
    <w:rPr>
      <w:rFonts w:eastAsia="宋体"/>
      <w:sz w:val="18"/>
    </w:rPr>
  </w:style>
  <w:style w:type="paragraph" w:styleId="24">
    <w:name w:val="header"/>
    <w:basedOn w:val="1"/>
    <w:qFormat/>
    <w:uiPriority w:val="0"/>
    <w:pPr>
      <w:pBdr>
        <w:bottom w:val="single" w:color="auto" w:sz="6" w:space="1"/>
      </w:pBdr>
      <w:tabs>
        <w:tab w:val="center" w:pos="4153"/>
        <w:tab w:val="right" w:pos="8306"/>
      </w:tabs>
      <w:spacing w:line="240" w:lineRule="atLeast"/>
      <w:jc w:val="center"/>
    </w:pPr>
    <w:rPr>
      <w:sz w:val="18"/>
    </w:rPr>
  </w:style>
  <w:style w:type="paragraph" w:styleId="25">
    <w:name w:val="toc 1"/>
    <w:basedOn w:val="1"/>
    <w:next w:val="1"/>
    <w:qFormat/>
    <w:uiPriority w:val="0"/>
    <w:pPr>
      <w:spacing w:before="120" w:after="120"/>
      <w:jc w:val="left"/>
    </w:pPr>
    <w:rPr>
      <w:b/>
      <w:bCs/>
      <w:caps/>
      <w:szCs w:val="24"/>
    </w:rPr>
  </w:style>
  <w:style w:type="paragraph" w:styleId="26">
    <w:name w:val="toc 4"/>
    <w:basedOn w:val="1"/>
    <w:next w:val="1"/>
    <w:qFormat/>
    <w:uiPriority w:val="0"/>
    <w:pPr>
      <w:ind w:left="840"/>
      <w:jc w:val="left"/>
    </w:pPr>
    <w:rPr>
      <w:szCs w:val="21"/>
    </w:rPr>
  </w:style>
  <w:style w:type="paragraph" w:styleId="27">
    <w:name w:val="index heading"/>
    <w:basedOn w:val="1"/>
    <w:next w:val="28"/>
    <w:qFormat/>
    <w:uiPriority w:val="0"/>
  </w:style>
  <w:style w:type="paragraph" w:styleId="28">
    <w:name w:val="index 1"/>
    <w:basedOn w:val="1"/>
    <w:next w:val="1"/>
    <w:qFormat/>
    <w:uiPriority w:val="0"/>
    <w:pPr>
      <w:ind w:firstLine="0"/>
    </w:pPr>
  </w:style>
  <w:style w:type="paragraph" w:styleId="29">
    <w:name w:val="toc 6"/>
    <w:basedOn w:val="1"/>
    <w:next w:val="1"/>
    <w:qFormat/>
    <w:uiPriority w:val="0"/>
    <w:pPr>
      <w:ind w:left="1400"/>
      <w:jc w:val="left"/>
    </w:pPr>
    <w:rPr>
      <w:szCs w:val="21"/>
    </w:rPr>
  </w:style>
  <w:style w:type="paragraph" w:styleId="30">
    <w:name w:val="Body Text Indent 3"/>
    <w:basedOn w:val="1"/>
    <w:qFormat/>
    <w:uiPriority w:val="0"/>
    <w:pPr>
      <w:widowControl/>
      <w:overflowPunct w:val="0"/>
      <w:autoSpaceDE w:val="0"/>
      <w:autoSpaceDN w:val="0"/>
      <w:spacing w:before="120" w:line="240" w:lineRule="atLeast"/>
      <w:ind w:left="1120" w:firstLine="0"/>
      <w:jc w:val="left"/>
    </w:pPr>
    <w:rPr>
      <w:rFonts w:ascii="楷体" w:eastAsia="楷体"/>
    </w:rPr>
  </w:style>
  <w:style w:type="paragraph" w:styleId="31">
    <w:name w:val="index 7"/>
    <w:basedOn w:val="1"/>
    <w:next w:val="1"/>
    <w:qFormat/>
    <w:uiPriority w:val="0"/>
    <w:pPr>
      <w:ind w:left="1200" w:leftChars="1200" w:firstLine="0"/>
    </w:pPr>
  </w:style>
  <w:style w:type="paragraph" w:styleId="32">
    <w:name w:val="index 9"/>
    <w:basedOn w:val="1"/>
    <w:next w:val="1"/>
    <w:qFormat/>
    <w:uiPriority w:val="0"/>
    <w:pPr>
      <w:ind w:left="1600" w:leftChars="1600" w:firstLine="0"/>
    </w:pPr>
  </w:style>
  <w:style w:type="paragraph" w:styleId="33">
    <w:name w:val="toc 2"/>
    <w:basedOn w:val="1"/>
    <w:next w:val="1"/>
    <w:qFormat/>
    <w:uiPriority w:val="0"/>
    <w:pPr>
      <w:tabs>
        <w:tab w:val="left" w:pos="1680"/>
        <w:tab w:val="right" w:leader="dot" w:pos="9288"/>
      </w:tabs>
      <w:ind w:left="280"/>
      <w:jc w:val="left"/>
    </w:pPr>
    <w:rPr>
      <w:rFonts w:ascii="仿宋_GB2312"/>
      <w:b/>
      <w:bCs/>
      <w:smallCaps/>
      <w:szCs w:val="28"/>
    </w:rPr>
  </w:style>
  <w:style w:type="paragraph" w:styleId="34">
    <w:name w:val="toc 9"/>
    <w:basedOn w:val="1"/>
    <w:next w:val="1"/>
    <w:qFormat/>
    <w:uiPriority w:val="0"/>
    <w:pPr>
      <w:ind w:left="2240"/>
      <w:jc w:val="left"/>
    </w:pPr>
    <w:rPr>
      <w:szCs w:val="21"/>
    </w:rPr>
  </w:style>
  <w:style w:type="paragraph" w:styleId="35">
    <w:name w:val="Body Text 2"/>
    <w:basedOn w:val="1"/>
    <w:qFormat/>
    <w:uiPriority w:val="0"/>
    <w:pPr>
      <w:widowControl/>
      <w:overflowPunct w:val="0"/>
      <w:autoSpaceDE w:val="0"/>
      <w:autoSpaceDN w:val="0"/>
      <w:spacing w:before="120" w:line="240" w:lineRule="atLeast"/>
      <w:ind w:firstLine="0"/>
      <w:jc w:val="left"/>
    </w:pPr>
    <w:rPr>
      <w:rFonts w:ascii="楷体" w:eastAsia="楷体"/>
    </w:rPr>
  </w:style>
  <w:style w:type="paragraph" w:styleId="36">
    <w:name w:val="index 2"/>
    <w:basedOn w:val="1"/>
    <w:next w:val="1"/>
    <w:qFormat/>
    <w:uiPriority w:val="0"/>
    <w:pPr>
      <w:ind w:left="200" w:leftChars="200" w:firstLine="0"/>
    </w:pPr>
  </w:style>
  <w:style w:type="character" w:styleId="38">
    <w:name w:val="Strong"/>
    <w:basedOn w:val="37"/>
    <w:qFormat/>
    <w:uiPriority w:val="0"/>
    <w:rPr>
      <w:b/>
      <w:bCs/>
    </w:rPr>
  </w:style>
  <w:style w:type="character" w:styleId="39">
    <w:name w:val="page number"/>
    <w:basedOn w:val="37"/>
    <w:qFormat/>
    <w:uiPriority w:val="0"/>
  </w:style>
  <w:style w:type="character" w:styleId="40">
    <w:name w:val="FollowedHyperlink"/>
    <w:basedOn w:val="37"/>
    <w:qFormat/>
    <w:uiPriority w:val="0"/>
    <w:rPr>
      <w:color w:val="800080"/>
      <w:u w:val="single"/>
    </w:rPr>
  </w:style>
  <w:style w:type="character" w:styleId="41">
    <w:name w:val="Hyperlink"/>
    <w:basedOn w:val="37"/>
    <w:qFormat/>
    <w:uiPriority w:val="0"/>
    <w:rPr>
      <w:color w:val="0000FF"/>
      <w:u w:val="single"/>
    </w:rPr>
  </w:style>
  <w:style w:type="table" w:styleId="43">
    <w:name w:val="Table Grid"/>
    <w:basedOn w:val="42"/>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style>
  <w:style w:type="character" w:customStyle="1" w:styleId="44">
    <w:name w:val="纯文本 Char"/>
    <w:basedOn w:val="37"/>
    <w:link w:val="18"/>
    <w:qFormat/>
    <w:uiPriority w:val="0"/>
    <w:rPr>
      <w:rFonts w:ascii="宋体" w:hAnsi="Courier New" w:eastAsia="宋体"/>
      <w:kern w:val="2"/>
      <w:sz w:val="21"/>
      <w:lang w:val="en-US" w:eastAsia="zh-CN" w:bidi="ar-SA"/>
    </w:rPr>
  </w:style>
  <w:style w:type="paragraph" w:customStyle="1" w:styleId="45">
    <w:name w:val="二级条标题"/>
    <w:basedOn w:val="46"/>
    <w:next w:val="1"/>
    <w:qFormat/>
    <w:uiPriority w:val="0"/>
    <w:pPr>
      <w:tabs>
        <w:tab w:val="left" w:pos="1571"/>
        <w:tab w:val="left" w:pos="2356"/>
      </w:tabs>
      <w:ind w:left="1984" w:hanging="708"/>
      <w:outlineLvl w:val="3"/>
    </w:pPr>
  </w:style>
  <w:style w:type="paragraph" w:customStyle="1" w:styleId="46">
    <w:name w:val="一级条标题"/>
    <w:basedOn w:val="47"/>
    <w:next w:val="1"/>
    <w:qFormat/>
    <w:uiPriority w:val="0"/>
    <w:pPr>
      <w:tabs>
        <w:tab w:val="left" w:pos="1571"/>
      </w:tabs>
      <w:spacing w:beforeLines="0" w:afterLines="0"/>
      <w:ind w:left="1418" w:hanging="567"/>
      <w:outlineLvl w:val="2"/>
    </w:pPr>
  </w:style>
  <w:style w:type="paragraph" w:customStyle="1" w:styleId="47">
    <w:name w:val="章标题"/>
    <w:next w:val="1"/>
    <w:qFormat/>
    <w:uiPriority w:val="0"/>
    <w:pPr>
      <w:spacing w:beforeLines="50" w:afterLines="50"/>
      <w:jc w:val="both"/>
      <w:outlineLvl w:val="1"/>
    </w:pPr>
    <w:rPr>
      <w:rFonts w:ascii="黑体" w:hAnsi="Times New Roman" w:eastAsia="黑体" w:cs="Times New Roman"/>
      <w:sz w:val="21"/>
      <w:lang w:val="en-US" w:eastAsia="zh-CN" w:bidi="ar-SA"/>
    </w:rPr>
  </w:style>
  <w:style w:type="paragraph" w:customStyle="1" w:styleId="48">
    <w:name w:val="样式3"/>
    <w:basedOn w:val="49"/>
    <w:qFormat/>
    <w:uiPriority w:val="0"/>
    <w:pPr>
      <w:tabs>
        <w:tab w:val="left" w:pos="2160"/>
      </w:tabs>
    </w:pPr>
  </w:style>
  <w:style w:type="paragraph" w:customStyle="1" w:styleId="49">
    <w:name w:val="样式1"/>
    <w:basedOn w:val="1"/>
    <w:qFormat/>
    <w:uiPriority w:val="0"/>
    <w:pPr>
      <w:tabs>
        <w:tab w:val="left" w:pos="2160"/>
      </w:tabs>
      <w:spacing w:before="620" w:after="360"/>
      <w:ind w:firstLine="0"/>
      <w:jc w:val="center"/>
    </w:pPr>
    <w:rPr>
      <w:rFonts w:ascii="宋体" w:eastAsia="宋体"/>
      <w:sz w:val="34"/>
    </w:rPr>
  </w:style>
  <w:style w:type="paragraph" w:customStyle="1" w:styleId="50">
    <w:name w:val="_Style 41"/>
    <w:basedOn w:val="1"/>
    <w:qFormat/>
    <w:uiPriority w:val="0"/>
    <w:pPr>
      <w:adjustRightInd/>
      <w:spacing w:line="240" w:lineRule="auto"/>
      <w:ind w:firstLine="200" w:firstLineChars="200"/>
      <w:textAlignment w:val="auto"/>
    </w:pPr>
    <w:rPr>
      <w:rFonts w:eastAsia="宋体"/>
      <w:kern w:val="2"/>
      <w:sz w:val="21"/>
      <w:szCs w:val="24"/>
    </w:rPr>
  </w:style>
  <w:style w:type="paragraph" w:customStyle="1" w:styleId="51">
    <w:name w:val="样式5"/>
    <w:basedOn w:val="1"/>
    <w:qFormat/>
    <w:uiPriority w:val="0"/>
    <w:pPr>
      <w:jc w:val="right"/>
    </w:pPr>
    <w:rPr>
      <w:sz w:val="18"/>
      <w:szCs w:val="18"/>
    </w:rPr>
  </w:style>
  <w:style w:type="paragraph" w:customStyle="1" w:styleId="52">
    <w:name w:val="Normal1"/>
    <w:basedOn w:val="49"/>
    <w:qFormat/>
    <w:uiPriority w:val="0"/>
    <w:pPr>
      <w:spacing w:before="0" w:after="0"/>
    </w:pPr>
    <w:rPr>
      <w:rFonts w:ascii="仿宋_GB2312" w:eastAsia="仿宋_GB2312"/>
    </w:rPr>
  </w:style>
  <w:style w:type="paragraph" w:customStyle="1" w:styleId="53">
    <w:name w:val="样式4"/>
    <w:basedOn w:val="48"/>
    <w:qFormat/>
    <w:uiPriority w:val="0"/>
  </w:style>
  <w:style w:type="paragraph" w:customStyle="1" w:styleId="54">
    <w:name w:val="Char Char Char Char1 Char Char Char Char Char Char"/>
    <w:basedOn w:val="1"/>
    <w:qFormat/>
    <w:uiPriority w:val="0"/>
    <w:pPr>
      <w:adjustRightInd/>
      <w:snapToGrid w:val="0"/>
      <w:spacing w:line="240" w:lineRule="auto"/>
      <w:ind w:firstLine="0"/>
      <w:textAlignment w:val="auto"/>
    </w:pPr>
    <w:rPr>
      <w:rFonts w:ascii="Tahoma" w:hAnsi="Tahoma" w:eastAsia="宋体"/>
      <w:w w:val="98"/>
      <w:kern w:val="2"/>
      <w:sz w:val="24"/>
    </w:rPr>
  </w:style>
  <w:style w:type="paragraph" w:customStyle="1" w:styleId="55">
    <w:name w:val="三级条标题"/>
    <w:basedOn w:val="45"/>
    <w:next w:val="1"/>
    <w:qFormat/>
    <w:uiPriority w:val="0"/>
    <w:pPr>
      <w:tabs>
        <w:tab w:val="left" w:pos="2781"/>
        <w:tab w:val="clear" w:pos="2356"/>
      </w:tabs>
      <w:ind w:left="2551" w:hanging="850"/>
      <w:outlineLvl w:val="4"/>
    </w:pPr>
  </w:style>
  <w:style w:type="paragraph" w:customStyle="1" w:styleId="56">
    <w:name w:val="默认段落字体 Para Char"/>
    <w:basedOn w:val="1"/>
    <w:qFormat/>
    <w:uiPriority w:val="0"/>
    <w:pPr>
      <w:adjustRightInd/>
      <w:spacing w:line="240" w:lineRule="auto"/>
      <w:ind w:firstLine="0"/>
      <w:textAlignment w:val="auto"/>
    </w:pPr>
    <w:rPr>
      <w:rFonts w:ascii="Tahoma" w:hAnsi="Tahoma" w:eastAsia="宋体"/>
      <w:kern w:val="2"/>
      <w:sz w:val="24"/>
    </w:rPr>
  </w:style>
  <w:style w:type="paragraph" w:customStyle="1" w:styleId="57">
    <w:name w:val="千伏变电所"/>
    <w:basedOn w:val="1"/>
    <w:qFormat/>
    <w:uiPriority w:val="0"/>
    <w:pPr>
      <w:adjustRightInd/>
      <w:spacing w:line="240" w:lineRule="auto"/>
      <w:ind w:firstLine="0"/>
      <w:textAlignment w:val="auto"/>
    </w:pPr>
    <w:rPr>
      <w:rFonts w:eastAsia="宋体"/>
      <w:kern w:val="2"/>
    </w:rPr>
  </w:style>
  <w:style w:type="paragraph" w:customStyle="1" w:styleId="58">
    <w:name w:val="Zchn Zchn Char Char Zchn Zchn1"/>
    <w:basedOn w:val="1"/>
    <w:qFormat/>
    <w:uiPriority w:val="0"/>
    <w:pPr>
      <w:adjustRightInd/>
      <w:spacing w:line="240" w:lineRule="auto"/>
      <w:ind w:firstLine="0"/>
      <w:textAlignment w:val="auto"/>
    </w:pPr>
    <w:rPr>
      <w:rFonts w:eastAsia="宋体"/>
      <w:kern w:val="2"/>
      <w:sz w:val="21"/>
      <w:szCs w:val="24"/>
    </w:rPr>
  </w:style>
  <w:style w:type="paragraph" w:customStyle="1" w:styleId="59">
    <w:name w:val="五级条标题"/>
    <w:basedOn w:val="60"/>
    <w:next w:val="1"/>
    <w:qFormat/>
    <w:uiPriority w:val="0"/>
    <w:pPr>
      <w:tabs>
        <w:tab w:val="left" w:pos="1571"/>
        <w:tab w:val="left" w:pos="3566"/>
        <w:tab w:val="left" w:pos="4351"/>
      </w:tabs>
      <w:ind w:left="3827" w:hanging="1276"/>
      <w:outlineLvl w:val="6"/>
    </w:pPr>
  </w:style>
  <w:style w:type="paragraph" w:customStyle="1" w:styleId="60">
    <w:name w:val="四级条标题"/>
    <w:basedOn w:val="55"/>
    <w:next w:val="1"/>
    <w:qFormat/>
    <w:uiPriority w:val="0"/>
    <w:pPr>
      <w:tabs>
        <w:tab w:val="left" w:pos="3566"/>
        <w:tab w:val="clear" w:pos="2781"/>
      </w:tabs>
      <w:ind w:left="3260" w:hanging="1134"/>
      <w:outlineLvl w:val="5"/>
    </w:pPr>
  </w:style>
  <w:style w:type="paragraph" w:customStyle="1" w:styleId="61">
    <w:name w:val="样式2"/>
    <w:basedOn w:val="49"/>
    <w:qFormat/>
    <w:uiPriority w:val="0"/>
    <w:pPr>
      <w:spacing w:before="320" w:after="160"/>
      <w:jc w:val="both"/>
    </w:pPr>
    <w:rPr>
      <w:rFonts w:ascii="黑体" w:eastAsia="黑体"/>
      <w:sz w:val="28"/>
    </w:rPr>
  </w:style>
  <w:style w:type="paragraph" w:customStyle="1" w:styleId="62">
    <w:name w:val="CM23"/>
    <w:basedOn w:val="1"/>
    <w:next w:val="1"/>
    <w:qFormat/>
    <w:uiPriority w:val="0"/>
    <w:pPr>
      <w:autoSpaceDE w:val="0"/>
      <w:autoSpaceDN w:val="0"/>
      <w:spacing w:line="468" w:lineRule="atLeast"/>
      <w:ind w:firstLine="0"/>
      <w:jc w:val="left"/>
      <w:textAlignment w:val="auto"/>
    </w:pPr>
    <w:rPr>
      <w:rFonts w:ascii="黑体" w:eastAsia="黑体"/>
      <w:sz w:val="24"/>
      <w:szCs w:val="24"/>
    </w:rPr>
  </w:style>
  <w:style w:type="paragraph" w:customStyle="1" w:styleId="63">
    <w:name w:val="Char Char Char Char"/>
    <w:basedOn w:val="1"/>
    <w:qFormat/>
    <w:uiPriority w:val="0"/>
    <w:pPr>
      <w:adjustRightInd/>
      <w:spacing w:line="240" w:lineRule="auto"/>
      <w:ind w:firstLine="0"/>
      <w:textAlignment w:val="auto"/>
    </w:pPr>
    <w:rPr>
      <w:rFonts w:eastAsia="宋体"/>
      <w:kern w:val="2"/>
      <w:sz w:val="21"/>
      <w:szCs w:val="24"/>
    </w:rPr>
  </w:style>
  <w:style w:type="paragraph" w:customStyle="1" w:styleId="64">
    <w:name w:val="前言、引言标题"/>
    <w:next w:val="1"/>
    <w:qFormat/>
    <w:uiPriority w:val="0"/>
    <w:p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65">
    <w:name w:val="北海分级目录"/>
    <w:basedOn w:val="1"/>
    <w:qFormat/>
    <w:uiPriority w:val="0"/>
    <w:pPr>
      <w:adjustRightInd/>
      <w:snapToGrid w:val="0"/>
      <w:spacing w:line="360" w:lineRule="auto"/>
      <w:ind w:firstLine="480" w:firstLineChars="200"/>
      <w:textAlignment w:val="auto"/>
    </w:pPr>
    <w:rPr>
      <w:rFonts w:ascii="宋体" w:hAnsi="宋体" w:eastAsia="宋体"/>
      <w:kern w:val="2"/>
      <w:sz w:val="24"/>
      <w:szCs w:val="24"/>
    </w:rPr>
  </w:style>
  <w:style w:type="paragraph" w:customStyle="1" w:styleId="66">
    <w:name w:val="Char Char Char"/>
    <w:basedOn w:val="1"/>
    <w:qFormat/>
    <w:uiPriority w:val="0"/>
    <w:pPr>
      <w:adjustRightInd/>
      <w:spacing w:line="240" w:lineRule="auto"/>
      <w:ind w:firstLine="0"/>
      <w:textAlignment w:val="auto"/>
    </w:pPr>
  </w:style>
  <w:style w:type="paragraph" w:customStyle="1" w:styleId="67">
    <w:name w:val="CM3"/>
    <w:basedOn w:val="1"/>
    <w:next w:val="1"/>
    <w:qFormat/>
    <w:uiPriority w:val="0"/>
    <w:pPr>
      <w:autoSpaceDE w:val="0"/>
      <w:autoSpaceDN w:val="0"/>
      <w:spacing w:line="468" w:lineRule="atLeast"/>
      <w:ind w:firstLine="0"/>
      <w:jc w:val="left"/>
      <w:textAlignment w:val="auto"/>
    </w:pPr>
    <w:rPr>
      <w:rFonts w:ascii="黑体" w:eastAsia="黑体"/>
      <w:sz w:val="24"/>
      <w:szCs w:val="24"/>
    </w:rPr>
  </w:style>
  <w:style w:type="paragraph" w:customStyle="1" w:styleId="68">
    <w:name w:val="_Style 12"/>
    <w:basedOn w:val="1"/>
    <w:qFormat/>
    <w:uiPriority w:val="0"/>
    <w:pPr>
      <w:adjustRightInd/>
      <w:spacing w:line="240" w:lineRule="auto"/>
      <w:ind w:firstLine="0"/>
      <w:textAlignment w:val="auto"/>
    </w:pPr>
    <w:rPr>
      <w:rFonts w:eastAsia="宋体"/>
      <w:kern w:val="2"/>
      <w:sz w:val="21"/>
    </w:rPr>
  </w:style>
  <w:style w:type="paragraph" w:customStyle="1" w:styleId="69">
    <w:name w:val="scfAnschrift"/>
    <w:basedOn w:val="1"/>
    <w:qFormat/>
    <w:uiPriority w:val="0"/>
    <w:pPr>
      <w:widowControl/>
      <w:tabs>
        <w:tab w:val="left" w:pos="1701"/>
      </w:tabs>
      <w:adjustRightInd/>
      <w:spacing w:line="240" w:lineRule="exact"/>
      <w:ind w:firstLine="0"/>
      <w:jc w:val="left"/>
      <w:textAlignment w:val="auto"/>
    </w:pPr>
    <w:rPr>
      <w:rFonts w:ascii="Arial" w:hAnsi="Arial" w:eastAsia="宋体"/>
      <w:sz w:val="22"/>
      <w:lang w:val="en-GB"/>
    </w:rPr>
  </w:style>
  <w:style w:type="paragraph" w:customStyle="1" w:styleId="70">
    <w:name w:val="List Paragraph"/>
    <w:basedOn w:val="1"/>
    <w:qFormat/>
    <w:uiPriority w:val="34"/>
    <w:pPr>
      <w:widowControl/>
      <w:adjustRightInd/>
      <w:spacing w:line="240" w:lineRule="auto"/>
      <w:ind w:firstLine="420" w:firstLineChars="200"/>
      <w:jc w:val="left"/>
      <w:textAlignment w:val="auto"/>
    </w:pPr>
    <w:rPr>
      <w:rFonts w:ascii="宋体" w:hAnsi="宋体" w:eastAsia="宋体" w:cs="宋体"/>
      <w:sz w:val="24"/>
      <w:szCs w:val="24"/>
    </w:rPr>
  </w:style>
  <w:style w:type="character" w:customStyle="1" w:styleId="71">
    <w:name w:val="页脚 Char"/>
    <w:basedOn w:val="37"/>
    <w:link w:val="23"/>
    <w:qFormat/>
    <w:uiPriority w:val="99"/>
    <w:rPr>
      <w:sz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jpe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A821E40-BF0F-4AC6-A646-A3AE8C972154}">
  <ds:schemaRefs/>
</ds:datastoreItem>
</file>

<file path=docProps/app.xml><?xml version="1.0" encoding="utf-8"?>
<Properties xmlns="http://schemas.openxmlformats.org/officeDocument/2006/extended-properties" xmlns:vt="http://schemas.openxmlformats.org/officeDocument/2006/docPropsVTypes">
  <Template>Normal</Template>
  <Company>- BMTD -</Company>
  <Pages>13</Pages>
  <Words>1182</Words>
  <Characters>6741</Characters>
  <Lines>56</Lines>
  <Paragraphs>15</Paragraphs>
  <TotalTime>0</TotalTime>
  <ScaleCrop>false</ScaleCrop>
  <LinksUpToDate>false</LinksUpToDate>
  <CharactersWithSpaces>7908</CharactersWithSpaces>
  <Application>WPS Office_10.8.2.6666_F1E327BC-269C-435d-A152-05C5408002CA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2015-09-02T01:39:00Z</dcterms:created>
  <dc:creator>gly</dc:creator>
  <cp:lastModifiedBy>甄志花</cp:lastModifiedBy>
  <cp:lastPrinted>2012-06-25T04:39:00Z</cp:lastPrinted>
  <dcterms:modified xsi:type="dcterms:W3CDTF">2019-07-03T02:39:10Z</dcterms:modified>
  <dc:title>铁塔招标技术文件</dc:title>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2052-10.8.2.6666</vt:lpwstr>
  </property>
</Properties>
</file>