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</w:p>
    <w:p>
      <w:pPr>
        <w:spacing w:after="360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</w:p>
    <w:p>
      <w:pPr>
        <w:spacing w:after="360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</w:p>
    <w:p>
      <w:pPr>
        <w:spacing w:after="360"/>
        <w:jc w:val="center"/>
        <w:rPr>
          <w:rFonts w:hint="eastAsia" w:ascii="微软雅黑" w:hAnsi="微软雅黑" w:eastAsia="微软雅黑"/>
          <w:b/>
          <w:bCs/>
          <w:i w:val="0"/>
          <w:iCs w:val="0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/>
          <w:b/>
          <w:bCs/>
          <w:i w:val="0"/>
          <w:iCs w:val="0"/>
          <w:sz w:val="40"/>
          <w:szCs w:val="40"/>
          <w:lang w:val="en-US" w:eastAsia="zh-CN"/>
        </w:rPr>
        <w:t>南方电网公司2022年继电保护设备送样检测（第一批）</w:t>
      </w:r>
    </w:p>
    <w:p>
      <w:pPr>
        <w:spacing w:after="360"/>
        <w:jc w:val="center"/>
        <w:rPr>
          <w:rFonts w:hint="eastAsia" w:ascii="微软雅黑" w:hAnsi="微软雅黑" w:eastAsia="微软雅黑"/>
          <w:b/>
          <w:bCs/>
          <w:i w:val="0"/>
          <w:iCs w:val="0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/>
          <w:b/>
          <w:bCs/>
          <w:i w:val="0"/>
          <w:iCs w:val="0"/>
          <w:sz w:val="40"/>
          <w:szCs w:val="40"/>
          <w:lang w:val="en-US" w:eastAsia="zh-CN"/>
        </w:rPr>
        <w:t>合格清单</w:t>
      </w:r>
    </w:p>
    <w:p>
      <w:pPr>
        <w:spacing w:after="360"/>
        <w:jc w:val="center"/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  <w:t>（2022年V1版）</w:t>
      </w:r>
    </w:p>
    <w:p>
      <w:pPr>
        <w:spacing w:after="360"/>
        <w:jc w:val="center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</w:p>
    <w:p>
      <w:pPr>
        <w:spacing w:after="360"/>
        <w:jc w:val="center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</w:p>
    <w:p>
      <w:pPr>
        <w:spacing w:after="360"/>
        <w:jc w:val="center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</w:p>
    <w:p>
      <w:pPr>
        <w:spacing w:after="36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检测机构：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（公章）</w:t>
      </w:r>
    </w:p>
    <w:p>
      <w:pPr>
        <w:spacing w:after="360"/>
        <w:rPr>
          <w:rFonts w:hint="eastAsia"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XXXX（填检测机构）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日对南方电网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XXX（填设备类型）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进行了送样检测。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本清单所列的为依照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（待填品类）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的技术规范，经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送样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检测合格的设备关键型号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包括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适用于智能站的各类型保护、交换机和智能终端，适用于常规站的电缆跳闸线路保护，适用于智能站和常规站的智能录波器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。依照的设备技术规范如下：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（填写技术规范清单）</w:t>
      </w:r>
    </w:p>
    <w:p/>
    <w:p>
      <w:p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目录（根据内容可调整，并补充页码）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一、500kV系统各类保护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二、220kV系统各类保护</w:t>
      </w:r>
    </w:p>
    <w:p>
      <w:pPr>
        <w:rPr>
          <w:rFonts w:hint="eastAsia" w:eastAsiaTheme="majorEastAsia"/>
          <w:lang w:eastAsia="zh-CN"/>
        </w:rPr>
      </w:pPr>
      <w:r>
        <w:rPr>
          <w:rFonts w:hint="eastAsia"/>
          <w:lang w:eastAsia="zh-CN"/>
        </w:rPr>
        <w:t>。。。。。</w:t>
      </w:r>
    </w:p>
    <w:p/>
    <w:p/>
    <w:p>
      <w:p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pStyle w:val="2"/>
        <w:numPr>
          <w:ilvl w:val="0"/>
          <w:numId w:val="1"/>
        </w:numPr>
        <w:spacing w:before="300" w:after="300" w:line="360" w:lineRule="auto"/>
        <w:ind w:left="643" w:hanging="660" w:hangingChars="200"/>
        <w:jc w:val="center"/>
        <w:rPr>
          <w:rFonts w:ascii="黑体" w:hAnsi="黑体" w:eastAsia="黑体"/>
          <w:sz w:val="32"/>
          <w:szCs w:val="32"/>
        </w:rPr>
      </w:pPr>
      <w:bookmarkStart w:id="0" w:name="_Toc68706111"/>
      <w:r>
        <w:rPr>
          <w:rFonts w:hint="eastAsia" w:ascii="黑体" w:hAnsi="黑体" w:eastAsia="黑体"/>
          <w:sz w:val="32"/>
          <w:szCs w:val="32"/>
          <w:lang w:val="en-US" w:eastAsia="zh-CN"/>
        </w:rPr>
        <w:t>50</w:t>
      </w:r>
      <w:r>
        <w:rPr>
          <w:rFonts w:hint="eastAsia"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k</w:t>
      </w:r>
      <w:r>
        <w:rPr>
          <w:rFonts w:hint="eastAsia" w:ascii="黑体" w:hAnsi="黑体" w:eastAsia="黑体"/>
          <w:sz w:val="32"/>
          <w:szCs w:val="32"/>
        </w:rPr>
        <w:t>V系统各类保护</w:t>
      </w:r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如为安全可控需注明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pStyle w:val="2"/>
        <w:numPr>
          <w:ilvl w:val="0"/>
          <w:numId w:val="2"/>
        </w:numPr>
        <w:spacing w:before="240" w:line="240" w:lineRule="auto"/>
        <w:rPr>
          <w:rFonts w:asciiTheme="minorEastAsia" w:hAnsiTheme="minorEastAsia" w:eastAsiaTheme="minorEastAsia"/>
          <w:smallCaps w:val="0"/>
          <w:sz w:val="28"/>
          <w:szCs w:val="28"/>
        </w:rPr>
      </w:pPr>
      <w:r>
        <w:rPr>
          <w:rFonts w:asciiTheme="minorEastAsia" w:hAnsiTheme="minorEastAsia" w:eastAsiaTheme="minorEastAsia"/>
          <w:smallCaps w:val="0"/>
          <w:sz w:val="28"/>
          <w:szCs w:val="28"/>
        </w:rPr>
        <w:t>500</w:t>
      </w:r>
      <w:r>
        <w:rPr>
          <w:rFonts w:hint="eastAsia" w:asciiTheme="minorEastAsia" w:hAnsiTheme="minorEastAsia" w:eastAsiaTheme="minorEastAsia"/>
          <w:smallCaps w:val="0"/>
          <w:sz w:val="28"/>
          <w:szCs w:val="28"/>
        </w:rPr>
        <w:t>k</w:t>
      </w:r>
      <w:r>
        <w:rPr>
          <w:rFonts w:asciiTheme="minorEastAsia" w:hAnsiTheme="minorEastAsia" w:eastAsiaTheme="minorEastAsia"/>
          <w:smallCaps w:val="0"/>
          <w:sz w:val="28"/>
          <w:szCs w:val="28"/>
        </w:rPr>
        <w:t>V</w:t>
      </w:r>
      <w:r>
        <w:rPr>
          <w:rFonts w:hint="eastAsia" w:asciiTheme="minorEastAsia" w:hAnsiTheme="minorEastAsia" w:eastAsiaTheme="minorEastAsia"/>
          <w:smallCaps w:val="0"/>
          <w:sz w:val="28"/>
          <w:szCs w:val="28"/>
        </w:rPr>
        <w:t>线路保护（仅集成远跳功能的光缆跳闸装置）</w:t>
      </w:r>
    </w:p>
    <w:tbl>
      <w:tblPr>
        <w:tblStyle w:val="19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71"/>
        <w:gridCol w:w="1205"/>
        <w:gridCol w:w="801"/>
        <w:gridCol w:w="927"/>
        <w:gridCol w:w="707"/>
        <w:gridCol w:w="708"/>
        <w:gridCol w:w="1987"/>
        <w:gridCol w:w="6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序号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厂家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保护型号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评价结论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一般项扣分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一般项数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关键项数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关键项未合格的问题</w:t>
            </w:r>
          </w:p>
        </w:tc>
        <w:tc>
          <w:tcPr>
            <w:tcW w:w="6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一般项未合格的主要问题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4"/>
              <w:numPr>
                <w:ilvl w:val="0"/>
                <w:numId w:val="0"/>
              </w:numPr>
              <w:ind w:leftChars="0"/>
              <w:jc w:val="both"/>
              <w:rPr>
                <w:rFonts w:hint="eastAsia" w:ascii="Arial" w:hAnsi="Arial" w:eastAsia="宋体" w:cs="Arial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highlight w:val="yellow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sz w:val="20"/>
                <w:szCs w:val="20"/>
                <w:highlight w:val="yellow"/>
                <w:lang w:val="en-US" w:eastAsia="zh-CN"/>
              </w:rPr>
              <w:t>示例</w:t>
            </w:r>
            <w:r>
              <w:rPr>
                <w:rFonts w:hint="eastAsia" w:ascii="Arial" w:hAnsi="Arial" w:eastAsia="宋体" w:cs="Arial"/>
                <w:sz w:val="20"/>
                <w:szCs w:val="20"/>
                <w:highlight w:val="yellow"/>
                <w:lang w:eastAsia="zh-CN"/>
              </w:rPr>
              <w:t>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  <w:highlight w:val="yellow"/>
              </w:rPr>
            </w:pPr>
            <w:r>
              <w:rPr>
                <w:rFonts w:ascii="宋体" w:hAnsi="宋体" w:eastAsia="宋体" w:cs="Arial"/>
                <w:sz w:val="20"/>
                <w:szCs w:val="20"/>
                <w:highlight w:val="yellow"/>
              </w:rPr>
              <w:t>国电南京自动化股份有限公司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  <w:highlight w:val="yellow"/>
              </w:rPr>
            </w:pPr>
            <w:r>
              <w:rPr>
                <w:rFonts w:ascii="宋体" w:hAnsi="宋体" w:eastAsia="宋体" w:cs="Arial"/>
                <w:sz w:val="20"/>
                <w:szCs w:val="20"/>
                <w:highlight w:val="yellow"/>
              </w:rPr>
              <w:t>PSL-603UA5-DG-N</w:t>
            </w: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hint="eastAsia" w:ascii="Arial" w:hAnsi="Arial" w:cs="Arial"/>
                <w:sz w:val="20"/>
                <w:szCs w:val="20"/>
                <w:highlight w:val="yellow"/>
              </w:rPr>
              <w:t>合格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  <w:highlight w:val="yellow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Arial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  <w:highlight w:val="yellow"/>
              </w:rPr>
              <w:t>无</w:t>
            </w:r>
          </w:p>
        </w:tc>
        <w:tc>
          <w:tcPr>
            <w:tcW w:w="6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Arial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  <w:highlight w:val="yellow"/>
              </w:rPr>
              <w:t>无</w:t>
            </w:r>
          </w:p>
        </w:tc>
      </w:tr>
    </w:tbl>
    <w:p>
      <w:pPr>
        <w:rPr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南方电网</w:t>
      </w:r>
      <w:r>
        <w:rPr>
          <w:rFonts w:hint="eastAsia" w:ascii="方正小标宋_GBK" w:hAnsi="宋体" w:eastAsia="方正小标宋_GBK"/>
          <w:bCs/>
          <w:sz w:val="44"/>
          <w:szCs w:val="44"/>
          <w:lang w:val="en-US" w:eastAsia="zh-CN"/>
        </w:rPr>
        <w:t>xxx</w:t>
      </w:r>
      <w:r>
        <w:rPr>
          <w:rFonts w:hint="eastAsia" w:ascii="方正小标宋_GBK" w:hAnsi="宋体" w:eastAsia="方正小标宋_GBK"/>
          <w:bCs/>
          <w:sz w:val="44"/>
          <w:szCs w:val="44"/>
        </w:rPr>
        <w:t>kV</w:t>
      </w:r>
      <w:bookmarkStart w:id="15" w:name="_GoBack"/>
      <w:bookmarkEnd w:id="15"/>
      <w:r>
        <w:rPr>
          <w:rFonts w:hint="eastAsia" w:ascii="方正小标宋_GBK" w:hAnsi="宋体" w:eastAsia="方正小标宋_GBK"/>
          <w:bCs/>
          <w:sz w:val="44"/>
          <w:szCs w:val="44"/>
        </w:rPr>
        <w:t>系统各类保护标准软件版本</w:t>
      </w:r>
    </w:p>
    <w:p>
      <w:pPr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软硬件变化历史信息记录表</w:t>
      </w:r>
    </w:p>
    <w:p>
      <w:pPr>
        <w:jc w:val="center"/>
        <w:rPr>
          <w:rFonts w:ascii="仿宋_GB2312" w:hAnsi="宋体" w:eastAsia="仿宋_GB2312"/>
          <w:b/>
          <w:bCs/>
          <w:sz w:val="52"/>
          <w:szCs w:val="52"/>
        </w:rPr>
      </w:pPr>
    </w:p>
    <w:p>
      <w:pPr>
        <w:jc w:val="center"/>
        <w:rPr>
          <w:rFonts w:hint="eastAsia" w:ascii="仿宋_GB2312" w:hAnsi="宋体" w:eastAsia="仿宋_GB2312"/>
          <w:b/>
          <w:bCs/>
          <w:color w:val="FF0000"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color w:val="FF0000"/>
          <w:sz w:val="44"/>
          <w:szCs w:val="44"/>
        </w:rPr>
        <w:t>(文中红色字体部分为本次软件版本发布新增或升级后</w:t>
      </w:r>
      <w:r>
        <w:rPr>
          <w:rFonts w:hint="eastAsia" w:ascii="仿宋_GB2312" w:hAnsi="宋体" w:eastAsia="仿宋_GB2312"/>
          <w:b/>
          <w:bCs/>
          <w:color w:val="FF0000"/>
          <w:sz w:val="44"/>
          <w:szCs w:val="44"/>
          <w:lang w:val="en-US" w:eastAsia="zh-CN"/>
        </w:rPr>
        <w:t>检测</w:t>
      </w:r>
      <w:r>
        <w:rPr>
          <w:rFonts w:hint="eastAsia" w:ascii="仿宋_GB2312" w:hAnsi="宋体" w:eastAsia="仿宋_GB2312"/>
          <w:b/>
          <w:bCs/>
          <w:color w:val="FF0000"/>
          <w:sz w:val="44"/>
          <w:szCs w:val="44"/>
        </w:rPr>
        <w:t>版本)</w:t>
      </w:r>
    </w:p>
    <w:p>
      <w:pPr>
        <w:jc w:val="center"/>
        <w:rPr>
          <w:rFonts w:hint="eastAsia" w:ascii="仿宋_GB2312" w:hAnsi="宋体" w:eastAsia="仿宋_GB2312"/>
          <w:b/>
          <w:bCs/>
          <w:color w:val="FF0000"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bCs/>
          <w:color w:val="FF0000"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bCs/>
          <w:color w:val="FF0000"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bCs/>
          <w:color w:val="FF0000"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bCs/>
          <w:color w:val="FF0000"/>
          <w:sz w:val="44"/>
          <w:szCs w:val="44"/>
        </w:rPr>
      </w:pPr>
    </w:p>
    <w:p>
      <w:pPr>
        <w:spacing w:after="36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检测机构：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（公章）</w:t>
      </w:r>
    </w:p>
    <w:p>
      <w:pPr>
        <w:rPr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XXXX（填检测机构）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日对南方电网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XXX（填设备类型）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进行了送样检测。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本清单所列的为依照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（待填品类）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的技术规范，经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送样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检测合格的设备关键型号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包括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适用于智能站的各类型保护、交换机和智能终端，适用于常规站的电缆跳闸线路保护，适用于智能站和常规站的智能录波器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。依照的设备技术规范如下：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（填写技术规范清单）</w:t>
      </w:r>
    </w:p>
    <w:p>
      <w:pPr>
        <w:rPr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hint="eastAsia" w:ascii="黑体" w:hAnsi="宋体" w:eastAsia="黑体"/>
          <w:b/>
          <w:bCs/>
          <w:sz w:val="44"/>
          <w:szCs w:val="44"/>
          <w:lang w:eastAsia="zh-CN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目    录</w:t>
      </w:r>
      <w:r>
        <w:rPr>
          <w:rFonts w:hint="eastAsia" w:ascii="黑体" w:hAnsi="宋体" w:eastAsia="黑体"/>
          <w:b/>
          <w:bCs/>
          <w:sz w:val="44"/>
          <w:szCs w:val="44"/>
          <w:lang w:eastAsia="zh-CN"/>
        </w:rPr>
        <w:t>（</w:t>
      </w:r>
      <w:r>
        <w:rPr>
          <w:rFonts w:hint="eastAsia" w:ascii="黑体" w:hAnsi="宋体" w:eastAsia="黑体"/>
          <w:b/>
          <w:bCs/>
          <w:sz w:val="44"/>
          <w:szCs w:val="44"/>
          <w:lang w:val="en-US" w:eastAsia="zh-CN"/>
        </w:rPr>
        <w:t>参考可增补</w:t>
      </w:r>
      <w:r>
        <w:rPr>
          <w:rFonts w:hint="eastAsia" w:ascii="黑体" w:hAnsi="宋体" w:eastAsia="黑体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ascii="黑体" w:hAnsi="宋体" w:eastAsia="黑体"/>
          <w:bCs/>
          <w:sz w:val="32"/>
          <w:szCs w:val="32"/>
        </w:rPr>
      </w:pPr>
    </w:p>
    <w:p>
      <w:pPr>
        <w:pStyle w:val="16"/>
        <w:tabs>
          <w:tab w:val="right" w:leader="dot" w:pos="13958"/>
        </w:tabs>
      </w:pPr>
      <w:r>
        <w:rPr>
          <w:rFonts w:eastAsia="黑体"/>
          <w:bCs/>
          <w:sz w:val="28"/>
          <w:szCs w:val="28"/>
        </w:rPr>
        <w:fldChar w:fldCharType="begin"/>
      </w:r>
      <w:r>
        <w:rPr>
          <w:rFonts w:eastAsia="黑体"/>
          <w:bCs/>
          <w:sz w:val="28"/>
          <w:szCs w:val="28"/>
        </w:rPr>
        <w:instrText xml:space="preserve">TOC \o "1-3" \h \z \u</w:instrText>
      </w:r>
      <w:r>
        <w:rPr>
          <w:rFonts w:eastAsia="黑体"/>
          <w:bCs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"_Toc20761" </w:instrText>
      </w:r>
      <w:r>
        <w:fldChar w:fldCharType="separate"/>
      </w:r>
      <w:r>
        <w:rPr>
          <w:bCs/>
          <w:kern w:val="44"/>
          <w:szCs w:val="44"/>
        </w:rPr>
        <w:t>一、 500kV系统各类保护软件版本</w:t>
      </w:r>
      <w:r>
        <w:tab/>
      </w:r>
      <w:r>
        <w:fldChar w:fldCharType="begin"/>
      </w:r>
      <w:r>
        <w:instrText xml:space="preserve"> PAGEREF _Toc20761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"_Toc29455" </w:instrText>
      </w:r>
      <w:r>
        <w:fldChar w:fldCharType="separate"/>
      </w:r>
      <w:r>
        <w:rPr>
          <w:bCs/>
          <w:kern w:val="44"/>
          <w:szCs w:val="30"/>
        </w:rPr>
        <w:t>（一）、500kV线路保护</w:t>
      </w:r>
      <w:r>
        <w:tab/>
      </w:r>
      <w:r>
        <w:fldChar w:fldCharType="begin"/>
      </w:r>
      <w:r>
        <w:instrText xml:space="preserve"> PAGEREF _Toc29455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"_Toc21293" </w:instrText>
      </w:r>
      <w:r>
        <w:fldChar w:fldCharType="separate"/>
      </w:r>
      <w:r>
        <w:rPr>
          <w:szCs w:val="30"/>
        </w:rPr>
        <w:t>（二）</w:t>
      </w:r>
      <w:r>
        <w:rPr>
          <w:bCs/>
          <w:kern w:val="44"/>
          <w:szCs w:val="30"/>
        </w:rPr>
        <w:t>、</w:t>
      </w:r>
      <w:r>
        <w:rPr>
          <w:szCs w:val="30"/>
        </w:rPr>
        <w:t>500kV断路器、短引线和T区保护</w:t>
      </w:r>
      <w:r>
        <w:tab/>
      </w:r>
      <w:r>
        <w:fldChar w:fldCharType="begin"/>
      </w:r>
      <w:r>
        <w:instrText xml:space="preserve"> PAGEREF _Toc21293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"_Toc18813" </w:instrText>
      </w:r>
      <w:r>
        <w:fldChar w:fldCharType="separate"/>
      </w:r>
      <w:r>
        <w:rPr>
          <w:szCs w:val="30"/>
        </w:rPr>
        <w:t>（三）</w:t>
      </w:r>
      <w:r>
        <w:rPr>
          <w:bCs/>
          <w:kern w:val="44"/>
          <w:szCs w:val="30"/>
        </w:rPr>
        <w:t>、</w:t>
      </w:r>
      <w:r>
        <w:rPr>
          <w:szCs w:val="30"/>
        </w:rPr>
        <w:t>500kV母线保护</w:t>
      </w:r>
      <w:r>
        <w:tab/>
      </w:r>
      <w:r>
        <w:fldChar w:fldCharType="begin"/>
      </w:r>
      <w:r>
        <w:instrText xml:space="preserve"> PAGEREF _Toc18813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"_Toc10372" </w:instrText>
      </w:r>
      <w:r>
        <w:fldChar w:fldCharType="separate"/>
      </w:r>
      <w:r>
        <w:rPr>
          <w:szCs w:val="30"/>
        </w:rPr>
        <w:t>（四）</w:t>
      </w:r>
      <w:r>
        <w:rPr>
          <w:bCs/>
          <w:kern w:val="44"/>
          <w:szCs w:val="30"/>
        </w:rPr>
        <w:t>、</w:t>
      </w:r>
      <w:r>
        <w:rPr>
          <w:szCs w:val="30"/>
        </w:rPr>
        <w:t>500kV变压器保护</w:t>
      </w:r>
      <w:r>
        <w:tab/>
      </w:r>
      <w:r>
        <w:fldChar w:fldCharType="begin"/>
      </w:r>
      <w:r>
        <w:instrText xml:space="preserve"> PAGEREF _Toc10372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"_Toc29629" </w:instrText>
      </w:r>
      <w:r>
        <w:fldChar w:fldCharType="separate"/>
      </w:r>
      <w:r>
        <w:rPr>
          <w:szCs w:val="30"/>
        </w:rPr>
        <w:t>（五）</w:t>
      </w:r>
      <w:r>
        <w:rPr>
          <w:bCs/>
          <w:kern w:val="44"/>
          <w:szCs w:val="30"/>
        </w:rPr>
        <w:t>、</w:t>
      </w:r>
      <w:r>
        <w:rPr>
          <w:szCs w:val="30"/>
        </w:rPr>
        <w:t>500kV并联电抗器保护</w:t>
      </w:r>
      <w:r>
        <w:tab/>
      </w:r>
      <w:r>
        <w:fldChar w:fldCharType="begin"/>
      </w:r>
      <w:r>
        <w:instrText xml:space="preserve"> PAGEREF _Toc29629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"_Toc3734" </w:instrText>
      </w:r>
      <w:r>
        <w:fldChar w:fldCharType="separate"/>
      </w:r>
      <w:r>
        <w:t>二、 220kV系统各类保护软件版本</w:t>
      </w:r>
      <w:r>
        <w:tab/>
      </w:r>
      <w:r>
        <w:fldChar w:fldCharType="begin"/>
      </w:r>
      <w:r>
        <w:instrText xml:space="preserve"> PAGEREF _Toc3734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"_Toc26671" </w:instrText>
      </w:r>
      <w:r>
        <w:fldChar w:fldCharType="separate"/>
      </w:r>
      <w:r>
        <w:rPr>
          <w:szCs w:val="30"/>
        </w:rPr>
        <w:t>（一）</w:t>
      </w:r>
      <w:r>
        <w:rPr>
          <w:bCs/>
          <w:kern w:val="44"/>
          <w:szCs w:val="30"/>
        </w:rPr>
        <w:t>、</w:t>
      </w:r>
      <w:r>
        <w:rPr>
          <w:szCs w:val="30"/>
        </w:rPr>
        <w:t>220kV线路保护</w:t>
      </w:r>
      <w:r>
        <w:tab/>
      </w:r>
      <w:r>
        <w:fldChar w:fldCharType="begin"/>
      </w:r>
      <w:r>
        <w:instrText xml:space="preserve"> PAGEREF _Toc26671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"_Toc15850" </w:instrText>
      </w:r>
      <w:r>
        <w:fldChar w:fldCharType="separate"/>
      </w:r>
      <w:r>
        <w:rPr>
          <w:bCs/>
          <w:kern w:val="44"/>
          <w:szCs w:val="30"/>
        </w:rPr>
        <w:t>（二）、220kV母线保护</w:t>
      </w:r>
      <w:r>
        <w:tab/>
      </w:r>
      <w:r>
        <w:fldChar w:fldCharType="begin"/>
      </w:r>
      <w:r>
        <w:instrText xml:space="preserve"> PAGEREF _Toc15850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"_Toc12889" </w:instrText>
      </w:r>
      <w:r>
        <w:fldChar w:fldCharType="separate"/>
      </w:r>
      <w:r>
        <w:rPr>
          <w:bCs/>
          <w:kern w:val="44"/>
          <w:szCs w:val="30"/>
        </w:rPr>
        <w:t>（三）、220kV变压器保护</w:t>
      </w:r>
      <w:r>
        <w:tab/>
      </w:r>
      <w:r>
        <w:fldChar w:fldCharType="begin"/>
      </w:r>
      <w:r>
        <w:instrText xml:space="preserve"> PAGEREF _Toc12889 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"_Toc23709" </w:instrText>
      </w:r>
      <w:r>
        <w:fldChar w:fldCharType="separate"/>
      </w:r>
      <w:r>
        <w:rPr>
          <w:bCs/>
          <w:kern w:val="44"/>
          <w:szCs w:val="44"/>
        </w:rPr>
        <w:t>三、 110kV系统各类保护软件版本</w:t>
      </w:r>
      <w:r>
        <w:tab/>
      </w:r>
      <w:r>
        <w:fldChar w:fldCharType="begin"/>
      </w:r>
      <w:r>
        <w:instrText xml:space="preserve"> PAGEREF _Toc23709 </w:instrText>
      </w:r>
      <w:r>
        <w:fldChar w:fldCharType="separate"/>
      </w:r>
      <w:r>
        <w:t>37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"_Toc19913" </w:instrText>
      </w:r>
      <w:r>
        <w:fldChar w:fldCharType="separate"/>
      </w:r>
      <w:r>
        <w:rPr>
          <w:bCs/>
          <w:kern w:val="44"/>
          <w:szCs w:val="30"/>
        </w:rPr>
        <w:t>（一）、110kV线路保护</w:t>
      </w:r>
      <w:r>
        <w:tab/>
      </w:r>
      <w:r>
        <w:fldChar w:fldCharType="begin"/>
      </w:r>
      <w:r>
        <w:instrText xml:space="preserve"> PAGEREF _Toc19913 </w:instrText>
      </w:r>
      <w:r>
        <w:fldChar w:fldCharType="separate"/>
      </w:r>
      <w:r>
        <w:t>37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"_Toc22088" </w:instrText>
      </w:r>
      <w:r>
        <w:fldChar w:fldCharType="separate"/>
      </w:r>
      <w:r>
        <w:rPr>
          <w:bCs/>
          <w:kern w:val="44"/>
          <w:szCs w:val="30"/>
        </w:rPr>
        <w:t>（二）、110kV母线保护</w:t>
      </w:r>
      <w:r>
        <w:tab/>
      </w:r>
      <w:r>
        <w:fldChar w:fldCharType="begin"/>
      </w:r>
      <w:r>
        <w:instrText xml:space="preserve"> PAGEREF _Toc22088 </w:instrText>
      </w:r>
      <w:r>
        <w:fldChar w:fldCharType="separate"/>
      </w:r>
      <w:r>
        <w:t>42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"_Toc25848" </w:instrText>
      </w:r>
      <w:r>
        <w:fldChar w:fldCharType="separate"/>
      </w:r>
      <w:r>
        <w:rPr>
          <w:bCs/>
          <w:kern w:val="44"/>
          <w:szCs w:val="30"/>
        </w:rPr>
        <w:t>（三）、110kV变压器保护</w:t>
      </w:r>
      <w:r>
        <w:tab/>
      </w:r>
      <w:r>
        <w:fldChar w:fldCharType="begin"/>
      </w:r>
      <w:r>
        <w:instrText xml:space="preserve"> PAGEREF _Toc25848 </w:instrText>
      </w:r>
      <w:r>
        <w:fldChar w:fldCharType="separate"/>
      </w:r>
      <w:r>
        <w:t>47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"_Toc19410" </w:instrText>
      </w:r>
      <w:r>
        <w:fldChar w:fldCharType="separate"/>
      </w:r>
      <w:r>
        <w:rPr>
          <w:bCs/>
          <w:kern w:val="44"/>
          <w:szCs w:val="30"/>
        </w:rPr>
        <w:t>（四） 、110kV母联（分段）断路器保护</w:t>
      </w:r>
      <w:r>
        <w:tab/>
      </w:r>
      <w:r>
        <w:fldChar w:fldCharType="begin"/>
      </w:r>
      <w:r>
        <w:instrText xml:space="preserve"> PAGEREF _Toc19410 </w:instrText>
      </w:r>
      <w:r>
        <w:fldChar w:fldCharType="separate"/>
      </w:r>
      <w:r>
        <w:t>49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"_Toc31793" </w:instrText>
      </w:r>
      <w:r>
        <w:fldChar w:fldCharType="separate"/>
      </w:r>
      <w:r>
        <w:rPr>
          <w:bCs/>
          <w:kern w:val="44"/>
          <w:szCs w:val="44"/>
        </w:rPr>
        <w:t>四、 110kV以下系统各类保护软件版本</w:t>
      </w:r>
      <w:r>
        <w:tab/>
      </w:r>
      <w:r>
        <w:fldChar w:fldCharType="begin"/>
      </w:r>
      <w:r>
        <w:instrText xml:space="preserve"> PAGEREF _Toc31793 </w:instrText>
      </w:r>
      <w:r>
        <w:fldChar w:fldCharType="separate"/>
      </w:r>
      <w:r>
        <w:t>53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"_Toc9021" </w:instrText>
      </w:r>
      <w:r>
        <w:fldChar w:fldCharType="separate"/>
      </w:r>
      <w:r>
        <w:rPr>
          <w:bCs/>
          <w:kern w:val="44"/>
          <w:szCs w:val="30"/>
        </w:rPr>
        <w:t>（一）、110kV以下线路纵联电流差动保护</w:t>
      </w:r>
      <w:r>
        <w:tab/>
      </w:r>
      <w:r>
        <w:fldChar w:fldCharType="begin"/>
      </w:r>
      <w:r>
        <w:instrText xml:space="preserve"> PAGEREF _Toc9021 </w:instrText>
      </w:r>
      <w:r>
        <w:fldChar w:fldCharType="separate"/>
      </w:r>
      <w:r>
        <w:t>53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"_Toc4302" </w:instrText>
      </w:r>
      <w:r>
        <w:fldChar w:fldCharType="separate"/>
      </w:r>
      <w:r>
        <w:rPr>
          <w:bCs/>
          <w:kern w:val="44"/>
          <w:szCs w:val="30"/>
        </w:rPr>
        <w:t>（二）、110kV以下母联（分段）断路器保护</w:t>
      </w:r>
      <w:r>
        <w:tab/>
      </w:r>
      <w:r>
        <w:fldChar w:fldCharType="begin"/>
      </w:r>
      <w:r>
        <w:instrText xml:space="preserve"> PAGEREF _Toc4302 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"_Toc15981" </w:instrText>
      </w:r>
      <w:r>
        <w:fldChar w:fldCharType="separate"/>
      </w:r>
      <w:r>
        <w:rPr>
          <w:bCs/>
          <w:kern w:val="44"/>
          <w:szCs w:val="30"/>
        </w:rPr>
        <w:t>（三）、110kV以下站用变/接地变保护</w:t>
      </w:r>
      <w:r>
        <w:tab/>
      </w:r>
      <w:r>
        <w:fldChar w:fldCharType="begin"/>
      </w:r>
      <w:r>
        <w:instrText xml:space="preserve"> PAGEREF _Toc15981 </w:instrText>
      </w:r>
      <w:r>
        <w:fldChar w:fldCharType="separate"/>
      </w:r>
      <w:r>
        <w:t>59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"_Toc14155" </w:instrText>
      </w:r>
      <w:r>
        <w:fldChar w:fldCharType="separate"/>
      </w:r>
      <w:r>
        <w:rPr>
          <w:bCs/>
          <w:kern w:val="44"/>
          <w:szCs w:val="30"/>
        </w:rPr>
        <w:t>（四）、110kV以下电容器保护</w:t>
      </w:r>
      <w:r>
        <w:tab/>
      </w:r>
      <w:r>
        <w:fldChar w:fldCharType="begin"/>
      </w:r>
      <w:r>
        <w:instrText xml:space="preserve"> PAGEREF _Toc14155 </w:instrText>
      </w:r>
      <w:r>
        <w:fldChar w:fldCharType="separate"/>
      </w:r>
      <w:r>
        <w:t>65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"_Toc22895" </w:instrText>
      </w:r>
      <w:r>
        <w:fldChar w:fldCharType="separate"/>
      </w:r>
      <w:r>
        <w:rPr>
          <w:bCs/>
          <w:kern w:val="44"/>
          <w:szCs w:val="30"/>
        </w:rPr>
        <w:t>（五）、110kV以下电抗器保护</w:t>
      </w:r>
      <w:r>
        <w:tab/>
      </w:r>
      <w:r>
        <w:fldChar w:fldCharType="begin"/>
      </w:r>
      <w:r>
        <w:instrText xml:space="preserve"> PAGEREF _Toc22895 </w:instrText>
      </w:r>
      <w:r>
        <w:fldChar w:fldCharType="separate"/>
      </w:r>
      <w:r>
        <w:t>75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"_Toc22268" </w:instrText>
      </w:r>
      <w:r>
        <w:fldChar w:fldCharType="separate"/>
      </w:r>
      <w:r>
        <w:rPr>
          <w:bCs/>
          <w:kern w:val="44"/>
          <w:szCs w:val="44"/>
        </w:rPr>
        <w:t>五、 智能终端软件版本</w:t>
      </w:r>
      <w:r>
        <w:tab/>
      </w:r>
      <w:r>
        <w:fldChar w:fldCharType="begin"/>
      </w:r>
      <w:r>
        <w:instrText xml:space="preserve"> PAGEREF _Toc22268 </w:instrText>
      </w:r>
      <w:r>
        <w:fldChar w:fldCharType="separate"/>
      </w:r>
      <w:r>
        <w:t>80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"_Toc21463" </w:instrText>
      </w:r>
      <w:r>
        <w:fldChar w:fldCharType="separate"/>
      </w:r>
      <w:r>
        <w:rPr>
          <w:bCs/>
          <w:kern w:val="44"/>
          <w:szCs w:val="44"/>
        </w:rPr>
        <w:t>六、 智能交换机软件版本</w:t>
      </w:r>
      <w:r>
        <w:tab/>
      </w:r>
      <w:r>
        <w:fldChar w:fldCharType="begin"/>
      </w:r>
      <w:r>
        <w:instrText xml:space="preserve"> PAGEREF _Toc21463 </w:instrText>
      </w:r>
      <w:r>
        <w:fldChar w:fldCharType="separate"/>
      </w:r>
      <w:r>
        <w:t>84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"_Toc22636" </w:instrText>
      </w:r>
      <w:r>
        <w:fldChar w:fldCharType="separate"/>
      </w:r>
      <w:r>
        <w:rPr>
          <w:bCs/>
          <w:kern w:val="44"/>
          <w:szCs w:val="44"/>
        </w:rPr>
        <w:t>七、 智能录波器软件版本</w:t>
      </w:r>
      <w:r>
        <w:tab/>
      </w:r>
      <w:r>
        <w:fldChar w:fldCharType="begin"/>
      </w:r>
      <w:r>
        <w:instrText xml:space="preserve"> PAGEREF _Toc22636 </w:instrText>
      </w:r>
      <w:r>
        <w:fldChar w:fldCharType="separate"/>
      </w:r>
      <w:r>
        <w:t>94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13958"/>
        </w:tabs>
      </w:pPr>
      <w:r>
        <w:fldChar w:fldCharType="begin"/>
      </w:r>
      <w:r>
        <w:instrText xml:space="preserve"> HYPERLINK \l "_Toc1579" </w:instrText>
      </w:r>
      <w:r>
        <w:fldChar w:fldCharType="separate"/>
      </w:r>
      <w:r>
        <w:rPr>
          <w:bCs/>
          <w:kern w:val="44"/>
          <w:szCs w:val="44"/>
        </w:rPr>
        <w:t>八、 小电流接地选线装置软件版本</w:t>
      </w:r>
      <w:r>
        <w:tab/>
      </w:r>
      <w:r>
        <w:fldChar w:fldCharType="begin"/>
      </w:r>
      <w:r>
        <w:instrText xml:space="preserve"> PAGEREF _Toc1579 </w:instrText>
      </w:r>
      <w:r>
        <w:fldChar w:fldCharType="separate"/>
      </w:r>
      <w:r>
        <w:t>96</w:t>
      </w:r>
      <w:r>
        <w:fldChar w:fldCharType="end"/>
      </w:r>
      <w:r>
        <w:fldChar w:fldCharType="end"/>
      </w:r>
    </w:p>
    <w:p>
      <w:pPr>
        <w:rPr>
          <w:rFonts w:eastAsia="黑体"/>
          <w:bCs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r>
        <w:rPr>
          <w:rFonts w:eastAsia="黑体"/>
          <w:bCs/>
          <w:szCs w:val="28"/>
        </w:rPr>
        <w:fldChar w:fldCharType="end"/>
      </w:r>
    </w:p>
    <w:p>
      <w:pPr>
        <w:keepNext/>
        <w:keepLines/>
        <w:numPr>
          <w:ilvl w:val="0"/>
          <w:numId w:val="3"/>
        </w:numPr>
        <w:spacing w:before="340" w:after="330"/>
        <w:jc w:val="center"/>
        <w:outlineLvl w:val="0"/>
        <w:rPr>
          <w:b/>
          <w:bCs/>
          <w:kern w:val="44"/>
          <w:sz w:val="44"/>
          <w:szCs w:val="44"/>
        </w:rPr>
      </w:pPr>
      <w:bookmarkStart w:id="1" w:name="_Toc20761"/>
      <w:bookmarkStart w:id="2" w:name="_Toc345666186"/>
      <w:bookmarkStart w:id="3" w:name="_Toc698"/>
      <w:bookmarkStart w:id="4" w:name="_Toc29638"/>
      <w:bookmarkStart w:id="5" w:name="_Toc9047"/>
      <w:bookmarkStart w:id="6" w:name="_Toc25862"/>
      <w:bookmarkStart w:id="7" w:name="_Toc16565"/>
      <w:r>
        <w:rPr>
          <w:rFonts w:hint="eastAsia"/>
          <w:b/>
          <w:bCs/>
          <w:kern w:val="44"/>
          <w:sz w:val="44"/>
          <w:szCs w:val="44"/>
        </w:rPr>
        <w:t>500kV系统各类保护软件版本</w:t>
      </w:r>
      <w:bookmarkEnd w:id="1"/>
      <w:bookmarkEnd w:id="2"/>
      <w:bookmarkEnd w:id="3"/>
      <w:bookmarkEnd w:id="4"/>
      <w:bookmarkEnd w:id="5"/>
      <w:bookmarkEnd w:id="6"/>
      <w:bookmarkEnd w:id="7"/>
    </w:p>
    <w:p>
      <w:pPr>
        <w:keepNext/>
        <w:keepLines/>
        <w:numPr>
          <w:ilvl w:val="0"/>
          <w:numId w:val="4"/>
        </w:numPr>
        <w:spacing w:before="240" w:after="120"/>
        <w:outlineLvl w:val="0"/>
        <w:rPr>
          <w:rFonts w:ascii="宋体" w:hAnsi="宋体" w:cs="Arial"/>
          <w:b/>
          <w:bCs/>
          <w:kern w:val="44"/>
          <w:sz w:val="30"/>
          <w:szCs w:val="30"/>
        </w:rPr>
      </w:pPr>
      <w:bookmarkStart w:id="8" w:name="_Toc1722"/>
      <w:bookmarkStart w:id="9" w:name="_Toc16209"/>
      <w:bookmarkStart w:id="10" w:name="_Toc29614"/>
      <w:bookmarkStart w:id="11" w:name="_Toc345666187"/>
      <w:bookmarkStart w:id="12" w:name="_Toc3832"/>
      <w:bookmarkStart w:id="13" w:name="_Toc23475"/>
      <w:bookmarkStart w:id="14" w:name="_Toc29455"/>
      <w:r>
        <w:rPr>
          <w:rFonts w:hint="eastAsia" w:ascii="宋体" w:hAnsi="宋体" w:cs="Arial"/>
          <w:b/>
          <w:bCs/>
          <w:kern w:val="44"/>
          <w:sz w:val="30"/>
          <w:szCs w:val="30"/>
        </w:rPr>
        <w:t>500kV线路保护</w:t>
      </w:r>
      <w:bookmarkEnd w:id="8"/>
      <w:bookmarkEnd w:id="9"/>
      <w:bookmarkEnd w:id="10"/>
      <w:bookmarkEnd w:id="11"/>
      <w:bookmarkEnd w:id="12"/>
      <w:bookmarkEnd w:id="13"/>
      <w:bookmarkEnd w:id="14"/>
    </w:p>
    <w:p>
      <w:pPr>
        <w:spacing w:before="120" w:beforeLines="50" w:after="120" w:after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</w:t>
      </w:r>
      <w:r>
        <w:rPr>
          <w:b/>
          <w:sz w:val="28"/>
          <w:szCs w:val="28"/>
        </w:rPr>
        <w:t>集成过电压及远方跳闸功能的</w:t>
      </w:r>
      <w:r>
        <w:rPr>
          <w:rFonts w:hint="eastAsia"/>
          <w:b/>
          <w:sz w:val="28"/>
          <w:szCs w:val="28"/>
        </w:rPr>
        <w:t>双光差保护</w:t>
      </w:r>
    </w:p>
    <w:tbl>
      <w:tblPr>
        <w:tblStyle w:val="19"/>
        <w:tblW w:w="14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"/>
        <w:gridCol w:w="1834"/>
        <w:gridCol w:w="253"/>
        <w:gridCol w:w="551"/>
        <w:gridCol w:w="746"/>
        <w:gridCol w:w="1"/>
        <w:gridCol w:w="843"/>
        <w:gridCol w:w="854"/>
        <w:gridCol w:w="1"/>
        <w:gridCol w:w="1119"/>
        <w:gridCol w:w="2693"/>
        <w:gridCol w:w="1"/>
        <w:gridCol w:w="294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  <w:highlight w:val="none"/>
              </w:rPr>
            </w:pPr>
            <w:r>
              <w:rPr>
                <w:b/>
                <w:sz w:val="18"/>
                <w:szCs w:val="18"/>
                <w:highlight w:val="none"/>
                <w:lang w:bidi="ar"/>
              </w:rPr>
              <w:t>序号</w:t>
            </w:r>
          </w:p>
        </w:tc>
        <w:tc>
          <w:tcPr>
            <w:tcW w:w="18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 w:val="18"/>
                <w:szCs w:val="18"/>
                <w:highlight w:val="none"/>
              </w:rPr>
            </w:pPr>
            <w:r>
              <w:rPr>
                <w:b/>
                <w:sz w:val="18"/>
                <w:szCs w:val="18"/>
                <w:highlight w:val="none"/>
                <w:lang w:bidi="ar"/>
              </w:rPr>
              <w:t>设备供货供应商</w:t>
            </w:r>
          </w:p>
        </w:tc>
        <w:tc>
          <w:tcPr>
            <w:tcW w:w="25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 w:val="18"/>
                <w:szCs w:val="18"/>
                <w:highlight w:val="none"/>
              </w:rPr>
            </w:pPr>
            <w:r>
              <w:rPr>
                <w:b/>
                <w:sz w:val="18"/>
                <w:szCs w:val="18"/>
                <w:highlight w:val="none"/>
                <w:lang w:bidi="ar"/>
              </w:rPr>
              <w:t>装置型号</w:t>
            </w:r>
          </w:p>
        </w:tc>
        <w:tc>
          <w:tcPr>
            <w:tcW w:w="129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 w:val="18"/>
                <w:szCs w:val="18"/>
                <w:highlight w:val="none"/>
              </w:rPr>
            </w:pPr>
            <w:r>
              <w:rPr>
                <w:b/>
                <w:sz w:val="18"/>
                <w:szCs w:val="18"/>
                <w:highlight w:val="none"/>
                <w:lang w:bidi="ar"/>
              </w:rPr>
              <w:t>保护模块</w:t>
            </w:r>
          </w:p>
        </w:tc>
        <w:tc>
          <w:tcPr>
            <w:tcW w:w="8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 w:val="18"/>
                <w:szCs w:val="18"/>
                <w:highlight w:val="none"/>
                <w:lang w:bidi="ar"/>
              </w:rPr>
            </w:pPr>
            <w:r>
              <w:rPr>
                <w:b/>
                <w:sz w:val="18"/>
                <w:szCs w:val="18"/>
                <w:highlight w:val="none"/>
                <w:lang w:bidi="ar"/>
              </w:rPr>
              <w:t>版本号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 w:val="18"/>
                <w:szCs w:val="18"/>
                <w:highlight w:val="none"/>
                <w:lang w:bidi="ar"/>
              </w:rPr>
            </w:pPr>
            <w:r>
              <w:rPr>
                <w:b/>
                <w:sz w:val="18"/>
                <w:szCs w:val="18"/>
                <w:highlight w:val="none"/>
                <w:lang w:bidi="ar"/>
              </w:rPr>
              <w:t>CRC校验码</w:t>
            </w:r>
          </w:p>
        </w:tc>
        <w:tc>
          <w:tcPr>
            <w:tcW w:w="1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 w:val="18"/>
                <w:szCs w:val="18"/>
                <w:highlight w:val="none"/>
                <w:lang w:bidi="ar"/>
              </w:rPr>
            </w:pPr>
            <w:r>
              <w:rPr>
                <w:b/>
                <w:sz w:val="18"/>
                <w:szCs w:val="18"/>
                <w:highlight w:val="none"/>
                <w:lang w:bidi="ar"/>
              </w:rPr>
              <w:t>程序生成时间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 w:val="18"/>
                <w:szCs w:val="18"/>
                <w:highlight w:val="none"/>
                <w:lang w:bidi="ar"/>
              </w:rPr>
            </w:pPr>
            <w:r>
              <w:rPr>
                <w:b/>
                <w:sz w:val="18"/>
                <w:szCs w:val="18"/>
                <w:highlight w:val="none"/>
                <w:lang w:bidi="ar"/>
              </w:rPr>
              <w:t>适用范围（含保护功能配置）</w:t>
            </w:r>
          </w:p>
        </w:tc>
        <w:tc>
          <w:tcPr>
            <w:tcW w:w="29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/>
                <w:b/>
                <w:sz w:val="18"/>
                <w:szCs w:val="18"/>
                <w:highlight w:val="none"/>
                <w:lang w:val="en-US" w:eastAsia="zh-CN" w:bidi="ar"/>
              </w:rPr>
              <w:t>检测问题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/>
                <w:b/>
                <w:sz w:val="18"/>
                <w:szCs w:val="18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6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183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253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 w:val="18"/>
                <w:szCs w:val="18"/>
                <w:highlight w:val="none"/>
              </w:rPr>
            </w:pPr>
            <w:r>
              <w:rPr>
                <w:b/>
                <w:sz w:val="18"/>
                <w:szCs w:val="18"/>
                <w:highlight w:val="none"/>
                <w:lang w:bidi="ar"/>
              </w:rPr>
              <w:t>序号</w:t>
            </w: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 w:val="18"/>
                <w:szCs w:val="18"/>
                <w:highlight w:val="none"/>
              </w:rPr>
            </w:pPr>
            <w:r>
              <w:rPr>
                <w:b/>
                <w:sz w:val="18"/>
                <w:szCs w:val="18"/>
                <w:highlight w:val="none"/>
                <w:lang w:bidi="ar"/>
              </w:rPr>
              <w:t>名称</w:t>
            </w:r>
          </w:p>
        </w:tc>
        <w:tc>
          <w:tcPr>
            <w:tcW w:w="844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85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1120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2945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8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lang w:bidi="ar"/>
              </w:rPr>
              <w:t>南京南瑞继保工程技术有限公司</w:t>
            </w:r>
          </w:p>
        </w:tc>
        <w:tc>
          <w:tcPr>
            <w:tcW w:w="25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lang w:bidi="ar"/>
              </w:rPr>
              <w:t>PCS-931A5-DG-N</w:t>
            </w:r>
          </w:p>
        </w:tc>
        <w:tc>
          <w:tcPr>
            <w:tcW w:w="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  <w:lang w:bidi="ar"/>
              </w:rPr>
              <w:t>保护CPU</w:t>
            </w:r>
          </w:p>
        </w:tc>
        <w:tc>
          <w:tcPr>
            <w:tcW w:w="84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8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112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</w:rPr>
              <w:t>光缆跳闸线路保护装置，</w:t>
            </w:r>
            <w:r>
              <w:rPr>
                <w:color w:val="000000" w:themeColor="text1"/>
                <w:sz w:val="18"/>
                <w:szCs w:val="18"/>
                <w:highlight w:val="none"/>
                <w:lang w:bidi="ar"/>
              </w:rPr>
              <w:t>适用于2M双光纤通道，保护功能配置为</w:t>
            </w: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</w:rPr>
              <w:t>纵联电流差动保护、接地和相间距离保护、零序过流保护、过流保护、过电压及远方跳闸功能</w:t>
            </w:r>
          </w:p>
        </w:tc>
        <w:tc>
          <w:tcPr>
            <w:tcW w:w="2945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90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6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183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253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  <w:lang w:bidi="ar"/>
              </w:rPr>
              <w:t>管理CPU</w:t>
            </w:r>
          </w:p>
        </w:tc>
        <w:tc>
          <w:tcPr>
            <w:tcW w:w="84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8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112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945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6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183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253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746" w:type="dxa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  <w:lang w:bidi="ar"/>
              </w:rPr>
              <w:t>ICD文件</w:t>
            </w:r>
          </w:p>
        </w:tc>
        <w:tc>
          <w:tcPr>
            <w:tcW w:w="844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945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6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183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253" w:type="dxa"/>
            <w:vMerge w:val="continue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  <w:r>
              <w:rPr>
                <w:bCs/>
                <w:color w:val="FF000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  <w:r>
              <w:rPr>
                <w:bCs/>
                <w:color w:val="FF0000"/>
                <w:sz w:val="18"/>
                <w:szCs w:val="18"/>
                <w:highlight w:val="none"/>
                <w:lang w:bidi="ar"/>
              </w:rPr>
              <w:t>保护CPU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945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190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FF000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6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183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253" w:type="dxa"/>
            <w:vMerge w:val="continue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  <w:r>
              <w:rPr>
                <w:bCs/>
                <w:color w:val="FF000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  <w:r>
              <w:rPr>
                <w:bCs/>
                <w:color w:val="FF0000"/>
                <w:sz w:val="18"/>
                <w:szCs w:val="18"/>
                <w:highlight w:val="none"/>
                <w:lang w:bidi="ar"/>
              </w:rPr>
              <w:t>管理CPU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945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6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1834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253" w:type="dxa"/>
            <w:vMerge w:val="continue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  <w:r>
              <w:rPr>
                <w:bCs/>
                <w:color w:val="FF000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  <w:r>
              <w:rPr>
                <w:bCs/>
                <w:color w:val="FF0000"/>
                <w:sz w:val="18"/>
                <w:szCs w:val="18"/>
                <w:highlight w:val="none"/>
                <w:lang w:bidi="ar"/>
              </w:rPr>
              <w:t>ICD文件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945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mbria"/>
                <w:sz w:val="18"/>
                <w:szCs w:val="18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before="120" w:beforeLines="50" w:after="120" w:afterLines="50"/>
        <w:rPr>
          <w:b/>
          <w:sz w:val="28"/>
          <w:szCs w:val="28"/>
          <w:highlight w:val="none"/>
        </w:rPr>
      </w:pPr>
    </w:p>
    <w:p>
      <w:pPr>
        <w:numPr>
          <w:ilvl w:val="0"/>
          <w:numId w:val="0"/>
        </w:numPr>
        <w:spacing w:before="120" w:beforeLines="50" w:after="120" w:afterLines="50"/>
        <w:rPr>
          <w:b/>
          <w:sz w:val="28"/>
          <w:szCs w:val="28"/>
          <w:highlight w:val="none"/>
        </w:rPr>
      </w:pPr>
    </w:p>
    <w:p>
      <w:pPr>
        <w:numPr>
          <w:ilvl w:val="0"/>
          <w:numId w:val="0"/>
        </w:numPr>
        <w:spacing w:before="120" w:beforeLines="50" w:after="120" w:afterLines="50"/>
        <w:rPr>
          <w:b/>
          <w:sz w:val="28"/>
          <w:szCs w:val="28"/>
          <w:highlight w:val="none"/>
        </w:rPr>
      </w:pPr>
    </w:p>
    <w:p>
      <w:pPr>
        <w:numPr>
          <w:ilvl w:val="0"/>
          <w:numId w:val="0"/>
        </w:numPr>
        <w:spacing w:before="120" w:beforeLines="50" w:after="120" w:afterLines="50"/>
        <w:rPr>
          <w:b/>
          <w:sz w:val="28"/>
          <w:szCs w:val="28"/>
        </w:rPr>
      </w:pPr>
    </w:p>
    <w:p>
      <w:pPr>
        <w:numPr>
          <w:ilvl w:val="0"/>
          <w:numId w:val="0"/>
        </w:numPr>
        <w:spacing w:before="120" w:beforeLines="50" w:after="120" w:afterLines="50"/>
        <w:rPr>
          <w:b/>
          <w:sz w:val="28"/>
          <w:szCs w:val="28"/>
        </w:rPr>
      </w:pPr>
    </w:p>
    <w:p>
      <w:pPr>
        <w:rPr>
          <w:rFonts w:eastAsia="黑体"/>
          <w:bCs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1F6"/>
    <w:multiLevelType w:val="multilevel"/>
    <w:tmpl w:val="0FCC41F6"/>
    <w:lvl w:ilvl="0" w:tentative="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337131"/>
    <w:multiLevelType w:val="multilevel"/>
    <w:tmpl w:val="36337131"/>
    <w:lvl w:ilvl="0" w:tentative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56386D6B"/>
    <w:multiLevelType w:val="multilevel"/>
    <w:tmpl w:val="56386D6B"/>
    <w:lvl w:ilvl="0" w:tentative="0">
      <w:start w:val="1"/>
      <w:numFmt w:val="decimal"/>
      <w:suff w:val="space"/>
      <w:lvlText w:val="%1、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C20CAF"/>
    <w:multiLevelType w:val="multilevel"/>
    <w:tmpl w:val="70C20CAF"/>
    <w:lvl w:ilvl="0" w:tentative="0">
      <w:start w:val="1"/>
      <w:numFmt w:val="koreanDigital2"/>
      <w:lvlText w:val="（%1）、"/>
      <w:lvlJc w:val="left"/>
      <w:pPr>
        <w:tabs>
          <w:tab w:val="left" w:pos="0"/>
        </w:tabs>
        <w:ind w:left="900" w:hanging="900"/>
      </w:pPr>
      <w:rPr>
        <w:rFonts w:hint="default"/>
        <w:sz w:val="30"/>
        <w:szCs w:val="3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2900"/>
    <w:rsid w:val="00087ED9"/>
    <w:rsid w:val="000A448F"/>
    <w:rsid w:val="000B0A18"/>
    <w:rsid w:val="000B3E73"/>
    <w:rsid w:val="000B7926"/>
    <w:rsid w:val="000C58C6"/>
    <w:rsid w:val="000D0D71"/>
    <w:rsid w:val="000D2E68"/>
    <w:rsid w:val="000D4A7C"/>
    <w:rsid w:val="000E4125"/>
    <w:rsid w:val="000F1690"/>
    <w:rsid w:val="000F16E6"/>
    <w:rsid w:val="00100198"/>
    <w:rsid w:val="00105B91"/>
    <w:rsid w:val="001133A3"/>
    <w:rsid w:val="00133544"/>
    <w:rsid w:val="00143CC9"/>
    <w:rsid w:val="00147CE7"/>
    <w:rsid w:val="00173193"/>
    <w:rsid w:val="00173436"/>
    <w:rsid w:val="001817B9"/>
    <w:rsid w:val="00187303"/>
    <w:rsid w:val="001C0C0C"/>
    <w:rsid w:val="001C3695"/>
    <w:rsid w:val="001C50D5"/>
    <w:rsid w:val="001D35D1"/>
    <w:rsid w:val="001D7B8C"/>
    <w:rsid w:val="001E5DD0"/>
    <w:rsid w:val="0021052E"/>
    <w:rsid w:val="00210C8D"/>
    <w:rsid w:val="00226E5D"/>
    <w:rsid w:val="00236A07"/>
    <w:rsid w:val="0025135C"/>
    <w:rsid w:val="00261169"/>
    <w:rsid w:val="00264BA2"/>
    <w:rsid w:val="00276EFD"/>
    <w:rsid w:val="00287EC1"/>
    <w:rsid w:val="002916B7"/>
    <w:rsid w:val="00291AEC"/>
    <w:rsid w:val="002A3061"/>
    <w:rsid w:val="002C4F86"/>
    <w:rsid w:val="002C5B85"/>
    <w:rsid w:val="002E1EB9"/>
    <w:rsid w:val="0030194F"/>
    <w:rsid w:val="00301C83"/>
    <w:rsid w:val="00303EAC"/>
    <w:rsid w:val="00321A7C"/>
    <w:rsid w:val="003251A4"/>
    <w:rsid w:val="003310F7"/>
    <w:rsid w:val="00332B9C"/>
    <w:rsid w:val="00361AEF"/>
    <w:rsid w:val="00363EA5"/>
    <w:rsid w:val="003774D7"/>
    <w:rsid w:val="003A35CE"/>
    <w:rsid w:val="003B1292"/>
    <w:rsid w:val="003B70F9"/>
    <w:rsid w:val="003C3BAF"/>
    <w:rsid w:val="003D01D3"/>
    <w:rsid w:val="003D0F51"/>
    <w:rsid w:val="003D5825"/>
    <w:rsid w:val="003E7579"/>
    <w:rsid w:val="0041474E"/>
    <w:rsid w:val="00427894"/>
    <w:rsid w:val="00431F40"/>
    <w:rsid w:val="00442A18"/>
    <w:rsid w:val="004551B6"/>
    <w:rsid w:val="00455DD3"/>
    <w:rsid w:val="00483190"/>
    <w:rsid w:val="0048744F"/>
    <w:rsid w:val="00496953"/>
    <w:rsid w:val="00497906"/>
    <w:rsid w:val="004B3CA5"/>
    <w:rsid w:val="004B6C2A"/>
    <w:rsid w:val="004C5E4A"/>
    <w:rsid w:val="004C7079"/>
    <w:rsid w:val="004D09DC"/>
    <w:rsid w:val="004E0DEF"/>
    <w:rsid w:val="00500470"/>
    <w:rsid w:val="005152B2"/>
    <w:rsid w:val="00532635"/>
    <w:rsid w:val="00543C5D"/>
    <w:rsid w:val="0054676C"/>
    <w:rsid w:val="00587988"/>
    <w:rsid w:val="00596280"/>
    <w:rsid w:val="005A3CC3"/>
    <w:rsid w:val="005A5D9E"/>
    <w:rsid w:val="005B42F6"/>
    <w:rsid w:val="005B494D"/>
    <w:rsid w:val="005B614C"/>
    <w:rsid w:val="00603DE3"/>
    <w:rsid w:val="00604FE8"/>
    <w:rsid w:val="0061682A"/>
    <w:rsid w:val="006202AB"/>
    <w:rsid w:val="00637E8A"/>
    <w:rsid w:val="0064212D"/>
    <w:rsid w:val="006427D9"/>
    <w:rsid w:val="00650C59"/>
    <w:rsid w:val="006C2896"/>
    <w:rsid w:val="006D7363"/>
    <w:rsid w:val="006E21C3"/>
    <w:rsid w:val="006E4351"/>
    <w:rsid w:val="006E4E28"/>
    <w:rsid w:val="006F2249"/>
    <w:rsid w:val="007046DC"/>
    <w:rsid w:val="0071091B"/>
    <w:rsid w:val="007209F5"/>
    <w:rsid w:val="007232A1"/>
    <w:rsid w:val="007315E2"/>
    <w:rsid w:val="00743EEC"/>
    <w:rsid w:val="00764BBD"/>
    <w:rsid w:val="00764FA7"/>
    <w:rsid w:val="00796BAF"/>
    <w:rsid w:val="007F10A2"/>
    <w:rsid w:val="007F49D0"/>
    <w:rsid w:val="007F7076"/>
    <w:rsid w:val="0080481E"/>
    <w:rsid w:val="008129CD"/>
    <w:rsid w:val="00817752"/>
    <w:rsid w:val="00827032"/>
    <w:rsid w:val="008524B1"/>
    <w:rsid w:val="00853C97"/>
    <w:rsid w:val="00865A79"/>
    <w:rsid w:val="00874CF7"/>
    <w:rsid w:val="008C0D4E"/>
    <w:rsid w:val="008D0196"/>
    <w:rsid w:val="008D3B67"/>
    <w:rsid w:val="008E04ED"/>
    <w:rsid w:val="008E053D"/>
    <w:rsid w:val="008E4B9D"/>
    <w:rsid w:val="00906C78"/>
    <w:rsid w:val="00914D43"/>
    <w:rsid w:val="009816FF"/>
    <w:rsid w:val="0098171B"/>
    <w:rsid w:val="00986ED9"/>
    <w:rsid w:val="009A2FA2"/>
    <w:rsid w:val="009A42E1"/>
    <w:rsid w:val="009B2AFE"/>
    <w:rsid w:val="009C0133"/>
    <w:rsid w:val="009C4AD1"/>
    <w:rsid w:val="009C6DE8"/>
    <w:rsid w:val="009D7AF2"/>
    <w:rsid w:val="009E6498"/>
    <w:rsid w:val="00A02831"/>
    <w:rsid w:val="00A07787"/>
    <w:rsid w:val="00A12453"/>
    <w:rsid w:val="00A15C6F"/>
    <w:rsid w:val="00A34857"/>
    <w:rsid w:val="00A35016"/>
    <w:rsid w:val="00A45894"/>
    <w:rsid w:val="00A45E47"/>
    <w:rsid w:val="00A4749E"/>
    <w:rsid w:val="00A5223A"/>
    <w:rsid w:val="00A67072"/>
    <w:rsid w:val="00A77CAD"/>
    <w:rsid w:val="00A97AB1"/>
    <w:rsid w:val="00AA0D67"/>
    <w:rsid w:val="00AA2816"/>
    <w:rsid w:val="00AA79C3"/>
    <w:rsid w:val="00AB78BD"/>
    <w:rsid w:val="00AD1FCC"/>
    <w:rsid w:val="00AE28D2"/>
    <w:rsid w:val="00B24F82"/>
    <w:rsid w:val="00B35018"/>
    <w:rsid w:val="00B643F5"/>
    <w:rsid w:val="00B6586B"/>
    <w:rsid w:val="00B75F9F"/>
    <w:rsid w:val="00B92980"/>
    <w:rsid w:val="00BA1AA9"/>
    <w:rsid w:val="00BB474A"/>
    <w:rsid w:val="00BC4C85"/>
    <w:rsid w:val="00BD012B"/>
    <w:rsid w:val="00BD13F1"/>
    <w:rsid w:val="00BE3E6D"/>
    <w:rsid w:val="00BE68AE"/>
    <w:rsid w:val="00BF2DF9"/>
    <w:rsid w:val="00C239C1"/>
    <w:rsid w:val="00C243E1"/>
    <w:rsid w:val="00C47248"/>
    <w:rsid w:val="00C56274"/>
    <w:rsid w:val="00C66BF1"/>
    <w:rsid w:val="00C742E4"/>
    <w:rsid w:val="00C9453A"/>
    <w:rsid w:val="00CB1C81"/>
    <w:rsid w:val="00CB3AEF"/>
    <w:rsid w:val="00CC1C6F"/>
    <w:rsid w:val="00CC250A"/>
    <w:rsid w:val="00CD21B0"/>
    <w:rsid w:val="00CE1B81"/>
    <w:rsid w:val="00CE260F"/>
    <w:rsid w:val="00CF5DFA"/>
    <w:rsid w:val="00D04623"/>
    <w:rsid w:val="00D130E2"/>
    <w:rsid w:val="00D17C87"/>
    <w:rsid w:val="00D60260"/>
    <w:rsid w:val="00D91801"/>
    <w:rsid w:val="00DB7F10"/>
    <w:rsid w:val="00DD101A"/>
    <w:rsid w:val="00DD55B3"/>
    <w:rsid w:val="00DE2649"/>
    <w:rsid w:val="00DE594B"/>
    <w:rsid w:val="00DF57A3"/>
    <w:rsid w:val="00E05D58"/>
    <w:rsid w:val="00E21B34"/>
    <w:rsid w:val="00E41854"/>
    <w:rsid w:val="00E47E6E"/>
    <w:rsid w:val="00E52F32"/>
    <w:rsid w:val="00E561BF"/>
    <w:rsid w:val="00E62645"/>
    <w:rsid w:val="00EC1B1A"/>
    <w:rsid w:val="00EC2CBE"/>
    <w:rsid w:val="00ED5A83"/>
    <w:rsid w:val="00EF7C12"/>
    <w:rsid w:val="00F001A4"/>
    <w:rsid w:val="00F05DA2"/>
    <w:rsid w:val="00F24016"/>
    <w:rsid w:val="00F27DB3"/>
    <w:rsid w:val="00F57598"/>
    <w:rsid w:val="00F6582E"/>
    <w:rsid w:val="00F97E39"/>
    <w:rsid w:val="00FA4D36"/>
    <w:rsid w:val="00FB2D7C"/>
    <w:rsid w:val="00FB670D"/>
    <w:rsid w:val="00FC0684"/>
    <w:rsid w:val="00FC4609"/>
    <w:rsid w:val="00FD0C85"/>
    <w:rsid w:val="00FD6DEC"/>
    <w:rsid w:val="088B5447"/>
    <w:rsid w:val="08DF3F39"/>
    <w:rsid w:val="12017A54"/>
    <w:rsid w:val="21993FCE"/>
    <w:rsid w:val="49DD3E2B"/>
    <w:rsid w:val="519F360A"/>
    <w:rsid w:val="53FC6555"/>
    <w:rsid w:val="564B6AD5"/>
    <w:rsid w:val="5DB318B5"/>
    <w:rsid w:val="6A1B6419"/>
    <w:rsid w:val="784F4806"/>
    <w:rsid w:val="78997CA9"/>
    <w:rsid w:val="7B3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3">
    <w:name w:val="heading 2"/>
    <w:basedOn w:val="1"/>
    <w:next w:val="1"/>
    <w:link w:val="27"/>
    <w:unhideWhenUsed/>
    <w:qFormat/>
    <w:uiPriority w:val="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4">
    <w:name w:val="heading 3"/>
    <w:basedOn w:val="1"/>
    <w:next w:val="1"/>
    <w:link w:val="29"/>
    <w:semiHidden/>
    <w:unhideWhenUsed/>
    <w:qFormat/>
    <w:uiPriority w:val="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5">
    <w:name w:val="heading 4"/>
    <w:basedOn w:val="1"/>
    <w:next w:val="1"/>
    <w:link w:val="30"/>
    <w:semiHidden/>
    <w:unhideWhenUsed/>
    <w:qFormat/>
    <w:uiPriority w:val="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6">
    <w:name w:val="heading 5"/>
    <w:basedOn w:val="1"/>
    <w:next w:val="1"/>
    <w:link w:val="31"/>
    <w:semiHidden/>
    <w:unhideWhenUsed/>
    <w:qFormat/>
    <w:uiPriority w:val="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7">
    <w:name w:val="heading 6"/>
    <w:basedOn w:val="1"/>
    <w:next w:val="1"/>
    <w:link w:val="32"/>
    <w:semiHidden/>
    <w:unhideWhenUsed/>
    <w:qFormat/>
    <w:uiPriority w:val="9"/>
    <w:pPr>
      <w:shd w:val="clear" w:color="auto" w:fill="FFFFFF" w:themeFill="background1"/>
      <w:spacing w:after="0" w:line="271" w:lineRule="auto"/>
      <w:outlineLvl w:val="5"/>
    </w:pPr>
    <w:rPr>
      <w:b/>
      <w:bCs/>
      <w:color w:val="585858" w:themeColor="text1" w:themeTint="A6"/>
      <w:spacing w:val="5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spacing w:after="0"/>
      <w:outlineLvl w:val="6"/>
    </w:pPr>
    <w:rPr>
      <w:b/>
      <w:bCs/>
      <w:i/>
      <w:iCs/>
      <w:color w:val="585858" w:themeColor="text1" w:themeTint="A6"/>
      <w:sz w:val="20"/>
      <w:szCs w:val="20"/>
    </w:rPr>
  </w:style>
  <w:style w:type="paragraph" w:styleId="9">
    <w:name w:val="heading 8"/>
    <w:basedOn w:val="1"/>
    <w:next w:val="1"/>
    <w:link w:val="34"/>
    <w:semiHidden/>
    <w:unhideWhenUsed/>
    <w:qFormat/>
    <w:uiPriority w:val="9"/>
    <w:pPr>
      <w:spacing w:after="0"/>
      <w:outlineLvl w:val="7"/>
    </w:pPr>
    <w:rPr>
      <w:b/>
      <w:bCs/>
      <w:color w:val="7E7E7E" w:themeColor="text1" w:themeTint="80"/>
      <w:sz w:val="20"/>
      <w:szCs w:val="20"/>
    </w:rPr>
  </w:style>
  <w:style w:type="paragraph" w:styleId="10">
    <w:name w:val="heading 9"/>
    <w:basedOn w:val="1"/>
    <w:next w:val="1"/>
    <w:link w:val="35"/>
    <w:semiHidden/>
    <w:unhideWhenUsed/>
    <w:qFormat/>
    <w:uiPriority w:val="9"/>
    <w:pPr>
      <w:spacing w:after="0" w:line="271" w:lineRule="auto"/>
      <w:outlineLvl w:val="8"/>
    </w:pPr>
    <w:rPr>
      <w:b/>
      <w:bCs/>
      <w:i/>
      <w:iCs/>
      <w:color w:val="7E7E7E" w:themeColor="text1" w:themeTint="80"/>
      <w:sz w:val="18"/>
      <w:szCs w:val="1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Document Map"/>
    <w:basedOn w:val="1"/>
    <w:link w:val="51"/>
    <w:unhideWhenUsed/>
    <w:qFormat/>
    <w:uiPriority w:val="99"/>
    <w:pPr>
      <w:widowControl w:val="0"/>
      <w:spacing w:after="0" w:line="240" w:lineRule="auto"/>
      <w:jc w:val="both"/>
    </w:pPr>
    <w:rPr>
      <w:rFonts w:ascii="宋体" w:eastAsia="宋体" w:hAnsiTheme="minorHAnsi" w:cstheme="minorBidi"/>
      <w:kern w:val="2"/>
      <w:sz w:val="18"/>
      <w:szCs w:val="18"/>
    </w:rPr>
  </w:style>
  <w:style w:type="paragraph" w:styleId="13">
    <w:name w:val="Balloon Text"/>
    <w:basedOn w:val="1"/>
    <w:link w:val="50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4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</w:style>
  <w:style w:type="paragraph" w:styleId="17">
    <w:name w:val="Subtitle"/>
    <w:basedOn w:val="1"/>
    <w:next w:val="1"/>
    <w:link w:val="37"/>
    <w:qFormat/>
    <w:uiPriority w:val="11"/>
    <w:rPr>
      <w:i/>
      <w:iCs/>
      <w:smallCaps/>
      <w:spacing w:val="10"/>
      <w:sz w:val="28"/>
      <w:szCs w:val="28"/>
    </w:rPr>
  </w:style>
  <w:style w:type="paragraph" w:styleId="18">
    <w:name w:val="Title"/>
    <w:basedOn w:val="1"/>
    <w:next w:val="1"/>
    <w:link w:val="36"/>
    <w:qFormat/>
    <w:uiPriority w:val="10"/>
    <w:pPr>
      <w:spacing w:after="300" w:line="240" w:lineRule="auto"/>
      <w:contextualSpacing/>
    </w:pPr>
    <w:rPr>
      <w:smallCaps/>
      <w:sz w:val="52"/>
      <w:szCs w:val="52"/>
    </w:rPr>
  </w:style>
  <w:style w:type="table" w:styleId="20">
    <w:name w:val="Table Grid"/>
    <w:basedOn w:val="19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qFormat/>
    <w:uiPriority w:val="22"/>
    <w:rPr>
      <w:b/>
      <w:bCs/>
    </w:rPr>
  </w:style>
  <w:style w:type="character" w:styleId="23">
    <w:name w:val="Emphasis"/>
    <w:qFormat/>
    <w:uiPriority w:val="20"/>
    <w:rPr>
      <w:b/>
      <w:bCs/>
      <w:i/>
      <w:iCs/>
      <w:spacing w:val="10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character" w:customStyle="1" w:styleId="25">
    <w:name w:val="页眉 Char"/>
    <w:basedOn w:val="21"/>
    <w:link w:val="15"/>
    <w:qFormat/>
    <w:uiPriority w:val="99"/>
    <w:rPr>
      <w:sz w:val="18"/>
      <w:szCs w:val="18"/>
    </w:rPr>
  </w:style>
  <w:style w:type="character" w:customStyle="1" w:styleId="26">
    <w:name w:val="页脚 Char"/>
    <w:basedOn w:val="21"/>
    <w:link w:val="14"/>
    <w:qFormat/>
    <w:uiPriority w:val="99"/>
    <w:rPr>
      <w:sz w:val="18"/>
      <w:szCs w:val="18"/>
    </w:rPr>
  </w:style>
  <w:style w:type="character" w:customStyle="1" w:styleId="27">
    <w:name w:val="标题 2 Char"/>
    <w:basedOn w:val="21"/>
    <w:link w:val="3"/>
    <w:qFormat/>
    <w:uiPriority w:val="9"/>
    <w:rPr>
      <w:smallCaps/>
      <w:sz w:val="28"/>
      <w:szCs w:val="28"/>
    </w:rPr>
  </w:style>
  <w:style w:type="character" w:customStyle="1" w:styleId="28">
    <w:name w:val="标题 1 Char"/>
    <w:basedOn w:val="21"/>
    <w:link w:val="2"/>
    <w:qFormat/>
    <w:uiPriority w:val="9"/>
    <w:rPr>
      <w:smallCaps/>
      <w:spacing w:val="5"/>
      <w:sz w:val="36"/>
      <w:szCs w:val="36"/>
    </w:rPr>
  </w:style>
  <w:style w:type="character" w:customStyle="1" w:styleId="29">
    <w:name w:val="标题 3 Char"/>
    <w:basedOn w:val="21"/>
    <w:link w:val="4"/>
    <w:semiHidden/>
    <w:qFormat/>
    <w:uiPriority w:val="9"/>
    <w:rPr>
      <w:i/>
      <w:iCs/>
      <w:smallCaps/>
      <w:spacing w:val="5"/>
      <w:sz w:val="26"/>
      <w:szCs w:val="26"/>
    </w:rPr>
  </w:style>
  <w:style w:type="character" w:customStyle="1" w:styleId="30">
    <w:name w:val="标题 4 Char"/>
    <w:basedOn w:val="21"/>
    <w:link w:val="5"/>
    <w:semiHidden/>
    <w:qFormat/>
    <w:uiPriority w:val="9"/>
    <w:rPr>
      <w:b/>
      <w:bCs/>
      <w:spacing w:val="5"/>
      <w:sz w:val="24"/>
      <w:szCs w:val="24"/>
    </w:rPr>
  </w:style>
  <w:style w:type="character" w:customStyle="1" w:styleId="31">
    <w:name w:val="标题 5 Char"/>
    <w:basedOn w:val="21"/>
    <w:link w:val="6"/>
    <w:semiHidden/>
    <w:qFormat/>
    <w:uiPriority w:val="9"/>
    <w:rPr>
      <w:i/>
      <w:iCs/>
      <w:sz w:val="24"/>
      <w:szCs w:val="24"/>
    </w:rPr>
  </w:style>
  <w:style w:type="character" w:customStyle="1" w:styleId="32">
    <w:name w:val="标题 6 Char"/>
    <w:basedOn w:val="21"/>
    <w:link w:val="7"/>
    <w:semiHidden/>
    <w:qFormat/>
    <w:uiPriority w:val="9"/>
    <w:rPr>
      <w:b/>
      <w:bCs/>
      <w:color w:val="585858" w:themeColor="text1" w:themeTint="A6"/>
      <w:spacing w:val="5"/>
      <w:shd w:val="clear" w:color="auto" w:fill="FFFFFF" w:themeFill="background1"/>
    </w:rPr>
  </w:style>
  <w:style w:type="character" w:customStyle="1" w:styleId="33">
    <w:name w:val="标题 7 Char"/>
    <w:basedOn w:val="21"/>
    <w:link w:val="8"/>
    <w:semiHidden/>
    <w:qFormat/>
    <w:uiPriority w:val="9"/>
    <w:rPr>
      <w:b/>
      <w:bCs/>
      <w:i/>
      <w:iCs/>
      <w:color w:val="585858" w:themeColor="text1" w:themeTint="A6"/>
      <w:sz w:val="20"/>
      <w:szCs w:val="20"/>
    </w:rPr>
  </w:style>
  <w:style w:type="character" w:customStyle="1" w:styleId="34">
    <w:name w:val="标题 8 Char"/>
    <w:basedOn w:val="21"/>
    <w:link w:val="9"/>
    <w:semiHidden/>
    <w:qFormat/>
    <w:uiPriority w:val="9"/>
    <w:rPr>
      <w:b/>
      <w:bCs/>
      <w:color w:val="7E7E7E" w:themeColor="text1" w:themeTint="80"/>
      <w:sz w:val="20"/>
      <w:szCs w:val="20"/>
    </w:rPr>
  </w:style>
  <w:style w:type="character" w:customStyle="1" w:styleId="35">
    <w:name w:val="标题 9 Char"/>
    <w:basedOn w:val="21"/>
    <w:link w:val="10"/>
    <w:semiHidden/>
    <w:qFormat/>
    <w:uiPriority w:val="9"/>
    <w:rPr>
      <w:b/>
      <w:bCs/>
      <w:i/>
      <w:iCs/>
      <w:color w:val="7E7E7E" w:themeColor="text1" w:themeTint="80"/>
      <w:sz w:val="18"/>
      <w:szCs w:val="18"/>
    </w:rPr>
  </w:style>
  <w:style w:type="character" w:customStyle="1" w:styleId="36">
    <w:name w:val="标题 Char"/>
    <w:basedOn w:val="21"/>
    <w:link w:val="18"/>
    <w:qFormat/>
    <w:uiPriority w:val="10"/>
    <w:rPr>
      <w:smallCaps/>
      <w:sz w:val="52"/>
      <w:szCs w:val="52"/>
    </w:rPr>
  </w:style>
  <w:style w:type="character" w:customStyle="1" w:styleId="37">
    <w:name w:val="副标题 Char"/>
    <w:basedOn w:val="21"/>
    <w:link w:val="17"/>
    <w:qFormat/>
    <w:uiPriority w:val="11"/>
    <w:rPr>
      <w:i/>
      <w:iCs/>
      <w:smallCaps/>
      <w:spacing w:val="10"/>
      <w:sz w:val="28"/>
      <w:szCs w:val="28"/>
    </w:rPr>
  </w:style>
  <w:style w:type="paragraph" w:styleId="38">
    <w:name w:val="No Spacing"/>
    <w:basedOn w:val="1"/>
    <w:link w:val="39"/>
    <w:qFormat/>
    <w:uiPriority w:val="1"/>
    <w:pPr>
      <w:spacing w:after="0" w:line="240" w:lineRule="auto"/>
    </w:pPr>
  </w:style>
  <w:style w:type="character" w:customStyle="1" w:styleId="39">
    <w:name w:val="无间隔 Char"/>
    <w:basedOn w:val="21"/>
    <w:link w:val="38"/>
    <w:qFormat/>
    <w:uiPriority w:val="1"/>
  </w:style>
  <w:style w:type="paragraph" w:styleId="40">
    <w:name w:val="Quote"/>
    <w:basedOn w:val="1"/>
    <w:next w:val="1"/>
    <w:link w:val="41"/>
    <w:qFormat/>
    <w:uiPriority w:val="29"/>
    <w:rPr>
      <w:i/>
      <w:iCs/>
    </w:rPr>
  </w:style>
  <w:style w:type="character" w:customStyle="1" w:styleId="41">
    <w:name w:val="引用 Char"/>
    <w:basedOn w:val="21"/>
    <w:link w:val="40"/>
    <w:qFormat/>
    <w:uiPriority w:val="29"/>
    <w:rPr>
      <w:i/>
      <w:iCs/>
    </w:rPr>
  </w:style>
  <w:style w:type="paragraph" w:styleId="42">
    <w:name w:val="Intense Quote"/>
    <w:basedOn w:val="1"/>
    <w:next w:val="1"/>
    <w:link w:val="43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43">
    <w:name w:val="明显引用 Char"/>
    <w:basedOn w:val="21"/>
    <w:link w:val="42"/>
    <w:uiPriority w:val="30"/>
    <w:rPr>
      <w:i/>
      <w:iCs/>
    </w:rPr>
  </w:style>
  <w:style w:type="character" w:customStyle="1" w:styleId="44">
    <w:name w:val="不明显强调1"/>
    <w:qFormat/>
    <w:uiPriority w:val="19"/>
    <w:rPr>
      <w:i/>
      <w:iCs/>
    </w:rPr>
  </w:style>
  <w:style w:type="character" w:customStyle="1" w:styleId="45">
    <w:name w:val="明显强调1"/>
    <w:qFormat/>
    <w:uiPriority w:val="21"/>
    <w:rPr>
      <w:b/>
      <w:bCs/>
      <w:i/>
      <w:iCs/>
    </w:rPr>
  </w:style>
  <w:style w:type="character" w:customStyle="1" w:styleId="46">
    <w:name w:val="不明显参考1"/>
    <w:basedOn w:val="21"/>
    <w:qFormat/>
    <w:uiPriority w:val="31"/>
    <w:rPr>
      <w:smallCaps/>
    </w:rPr>
  </w:style>
  <w:style w:type="character" w:customStyle="1" w:styleId="47">
    <w:name w:val="明显参考1"/>
    <w:qFormat/>
    <w:uiPriority w:val="32"/>
    <w:rPr>
      <w:b/>
      <w:bCs/>
      <w:smallCaps/>
    </w:rPr>
  </w:style>
  <w:style w:type="character" w:customStyle="1" w:styleId="48">
    <w:name w:val="书籍标题1"/>
    <w:basedOn w:val="21"/>
    <w:qFormat/>
    <w:uiPriority w:val="33"/>
    <w:rPr>
      <w:i/>
      <w:iCs/>
      <w:smallCaps/>
      <w:spacing w:val="5"/>
    </w:rPr>
  </w:style>
  <w:style w:type="paragraph" w:customStyle="1" w:styleId="49">
    <w:name w:val="TOC 标题1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50">
    <w:name w:val="批注框文本 Char"/>
    <w:basedOn w:val="21"/>
    <w:link w:val="13"/>
    <w:semiHidden/>
    <w:qFormat/>
    <w:uiPriority w:val="99"/>
    <w:rPr>
      <w:sz w:val="18"/>
      <w:szCs w:val="18"/>
    </w:rPr>
  </w:style>
  <w:style w:type="character" w:customStyle="1" w:styleId="51">
    <w:name w:val="文档结构图 Char"/>
    <w:basedOn w:val="21"/>
    <w:link w:val="12"/>
    <w:qFormat/>
    <w:uiPriority w:val="99"/>
    <w:rPr>
      <w:rFonts w:ascii="宋体" w:eastAsia="宋体" w:hAnsiTheme="minorHAnsi" w:cstheme="minorBidi"/>
      <w:kern w:val="2"/>
      <w:sz w:val="18"/>
      <w:szCs w:val="18"/>
    </w:rPr>
  </w:style>
  <w:style w:type="paragraph" w:customStyle="1" w:styleId="52">
    <w:name w:val="名称"/>
    <w:basedOn w:val="1"/>
    <w:next w:val="1"/>
    <w:qFormat/>
    <w:uiPriority w:val="0"/>
    <w:pPr>
      <w:shd w:val="clear" w:color="FFFFFF" w:fill="FFFFFF"/>
      <w:spacing w:before="640" w:after="560" w:line="460" w:lineRule="exact"/>
      <w:jc w:val="center"/>
    </w:pPr>
    <w:rPr>
      <w:rFonts w:ascii="黑体" w:hAnsi="Times New Roman" w:eastAsia="黑体" w:cs="Times New Roman"/>
      <w:b/>
      <w:sz w:val="32"/>
      <w:szCs w:val="20"/>
    </w:rPr>
  </w:style>
  <w:style w:type="paragraph" w:customStyle="1" w:styleId="53">
    <w:name w:val="列出段落1"/>
    <w:basedOn w:val="1"/>
    <w:qFormat/>
    <w:uiPriority w:val="34"/>
    <w:pPr>
      <w:widowControl w:val="0"/>
      <w:spacing w:after="0" w:line="240" w:lineRule="auto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character" w:customStyle="1" w:styleId="54">
    <w:name w:val="Subtle Emphasis"/>
    <w:qFormat/>
    <w:uiPriority w:val="19"/>
    <w:rPr>
      <w:i/>
      <w:iCs/>
    </w:rPr>
  </w:style>
  <w:style w:type="character" w:customStyle="1" w:styleId="55">
    <w:name w:val="Intense Emphasis"/>
    <w:qFormat/>
    <w:uiPriority w:val="21"/>
    <w:rPr>
      <w:b/>
      <w:bCs/>
      <w:i/>
      <w:iCs/>
    </w:rPr>
  </w:style>
  <w:style w:type="character" w:customStyle="1" w:styleId="56">
    <w:name w:val="Subtle Reference"/>
    <w:basedOn w:val="21"/>
    <w:qFormat/>
    <w:uiPriority w:val="31"/>
    <w:rPr>
      <w:smallCaps/>
    </w:rPr>
  </w:style>
  <w:style w:type="character" w:customStyle="1" w:styleId="57">
    <w:name w:val="Intense Reference"/>
    <w:qFormat/>
    <w:uiPriority w:val="32"/>
    <w:rPr>
      <w:b/>
      <w:bCs/>
      <w:smallCaps/>
    </w:rPr>
  </w:style>
  <w:style w:type="character" w:customStyle="1" w:styleId="58">
    <w:name w:val="Book Title"/>
    <w:basedOn w:val="21"/>
    <w:qFormat/>
    <w:uiPriority w:val="33"/>
    <w:rPr>
      <w:i/>
      <w:iCs/>
      <w:smallCaps/>
      <w:spacing w:val="5"/>
    </w:rPr>
  </w:style>
  <w:style w:type="paragraph" w:customStyle="1" w:styleId="59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paragraph" w:customStyle="1" w:styleId="6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黑体" w:hAnsi="黑体" w:eastAsia="黑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73</Pages>
  <Words>4519</Words>
  <Characters>25760</Characters>
  <Lines>214</Lines>
  <Paragraphs>60</Paragraphs>
  <TotalTime>2</TotalTime>
  <ScaleCrop>false</ScaleCrop>
  <LinksUpToDate>false</LinksUpToDate>
  <CharactersWithSpaces>30219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2019-03-14T08:58:00Z</dcterms:created>
  <dc:creator>lenovo</dc:creator>
  <cp:lastModifiedBy>陈旭</cp:lastModifiedBy>
  <dcterms:modified xsi:type="dcterms:W3CDTF">2022-06-17T07:05:19Z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