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Times New Roman" w:hAnsi="Times New Roman" w:eastAsia="黑体" w:cs="Times New Roman"/>
          <w:sz w:val="44"/>
          <w:szCs w:val="44"/>
        </w:rPr>
      </w:pPr>
      <w:r>
        <w:rPr>
          <w:rFonts w:ascii="Times New Roman" w:hAnsi="Times New Roman" w:eastAsia="黑体" w:cs="Times New Roman"/>
          <w:sz w:val="44"/>
          <w:szCs w:val="44"/>
        </w:rPr>
        <w:t>附件2：</w:t>
      </w:r>
    </w:p>
    <w:p>
      <w:pPr>
        <w:spacing w:before="312" w:beforeLines="100" w:after="468" w:afterLines="150"/>
        <w:jc w:val="center"/>
        <w:rPr>
          <w:rFonts w:ascii="Times New Roman" w:hAnsi="Times New Roman" w:eastAsia="黑体" w:cs="Times New Roman"/>
          <w:sz w:val="44"/>
          <w:szCs w:val="44"/>
        </w:rPr>
      </w:pPr>
      <w:r>
        <w:rPr>
          <w:rFonts w:ascii="Times New Roman" w:hAnsi="Times New Roman" w:eastAsia="黑体" w:cs="Times New Roman"/>
          <w:sz w:val="44"/>
          <w:szCs w:val="44"/>
        </w:rPr>
        <w:t>南方电网公司2023年配电自动化设备送样检测（第一批）收费情况说明</w:t>
      </w:r>
    </w:p>
    <w:p>
      <w:pPr>
        <w:spacing w:line="560" w:lineRule="exact"/>
        <w:rPr>
          <w:rFonts w:hint="eastAsia" w:ascii="仿宋_GB2312" w:hAnsi="Times New Roman" w:eastAsia="仿宋_GB2312" w:cs="Times New Roman"/>
          <w:sz w:val="32"/>
          <w:szCs w:val="32"/>
        </w:rPr>
      </w:pPr>
      <w:bookmarkStart w:id="0" w:name="_Toc374456301"/>
      <w:bookmarkStart w:id="1" w:name="_Toc406053145"/>
      <w:bookmarkStart w:id="2" w:name="_Toc406052836"/>
      <w:bookmarkStart w:id="3" w:name="_Toc374457544"/>
      <w:r>
        <w:rPr>
          <w:rFonts w:hint="eastAsia" w:ascii="仿宋_GB2312" w:hAnsi="Times New Roman" w:eastAsia="仿宋_GB2312" w:cs="Times New Roman"/>
          <w:sz w:val="32"/>
          <w:szCs w:val="32"/>
        </w:rPr>
        <w:t>各供应商：</w:t>
      </w:r>
    </w:p>
    <w:p>
      <w:pPr>
        <w:ind w:firstLine="640" w:firstLineChars="200"/>
        <w:rPr>
          <w:rFonts w:hint="eastAsia" w:ascii="仿宋_GB2312" w:hAnsi="Times New Roman" w:eastAsia="仿宋_GB2312" w:cs="Times New Roman"/>
          <w:sz w:val="32"/>
          <w:szCs w:val="32"/>
        </w:rPr>
      </w:pPr>
      <w:r>
        <w:rPr>
          <w:rFonts w:hint="eastAsia" w:ascii="仿宋_GB2312" w:hAnsi="Times New Roman" w:eastAsia="仿宋_GB2312" w:cs="Times New Roman"/>
          <w:sz w:val="32"/>
          <w:szCs w:val="32"/>
        </w:rPr>
        <w:t>送样检测采取自愿原则，相关的样品制造、检测费由供应商自行承担，参检供应商需在检测机构规定时间内完成费用缴纳。有关要求如下：</w:t>
      </w:r>
    </w:p>
    <w:p>
      <w:pPr>
        <w:spacing w:line="560" w:lineRule="exact"/>
        <w:ind w:firstLine="640" w:firstLineChars="200"/>
        <w:rPr>
          <w:rFonts w:ascii="Times New Roman" w:hAnsi="Times New Roman" w:eastAsia="黑体" w:cs="Times New Roman"/>
          <w:sz w:val="32"/>
          <w:szCs w:val="32"/>
        </w:rPr>
      </w:pPr>
      <w:r>
        <w:rPr>
          <w:rFonts w:hint="eastAsia" w:ascii="Times New Roman" w:hAnsi="Times New Roman" w:eastAsia="黑体" w:cs="Times New Roman"/>
          <w:sz w:val="32"/>
          <w:szCs w:val="32"/>
        </w:rPr>
        <w:t>一</w:t>
      </w:r>
      <w:r>
        <w:rPr>
          <w:rFonts w:ascii="Times New Roman" w:hAnsi="Times New Roman" w:eastAsia="黑体" w:cs="Times New Roman"/>
          <w:sz w:val="32"/>
          <w:szCs w:val="32"/>
        </w:rPr>
        <w:t>、收费标准</w:t>
      </w:r>
    </w:p>
    <w:p>
      <w:pPr>
        <w:spacing w:line="560" w:lineRule="exact"/>
        <w:ind w:firstLine="640" w:firstLineChars="200"/>
        <w:rPr>
          <w:rFonts w:hint="eastAsia" w:ascii="仿宋_GB2312" w:hAnsi="Times New Roman" w:eastAsia="仿宋_GB2312" w:cs="Times New Roman"/>
          <w:sz w:val="32"/>
          <w:szCs w:val="32"/>
        </w:rPr>
      </w:pPr>
      <w:r>
        <w:rPr>
          <w:rFonts w:hint="eastAsia" w:ascii="仿宋_GB2312" w:hAnsi="Times New Roman" w:eastAsia="仿宋_GB2312" w:cs="Times New Roman"/>
          <w:sz w:val="32"/>
          <w:szCs w:val="32"/>
        </w:rPr>
        <w:t>送样检测部分检测内容和试验项目为南方电网公司招标采购技术规范特有要求，国家无统一收费标准。根据检测工作所必须配置的人员、检测设备以及日常实验室运营支出，考虑其综合成本，并参考同类企业、同类检测收费情况，检测机构确定的设备送样检测收费标准见下表。</w:t>
      </w:r>
    </w:p>
    <w:tbl>
      <w:tblPr>
        <w:tblStyle w:val="11"/>
        <w:tblW w:w="9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4"/>
        <w:gridCol w:w="1261"/>
        <w:gridCol w:w="5192"/>
        <w:gridCol w:w="18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924" w:type="dxa"/>
            <w:vAlign w:val="center"/>
          </w:tcPr>
          <w:p>
            <w:pPr>
              <w:widowControl/>
              <w:jc w:val="center"/>
              <w:rPr>
                <w:rFonts w:cs="Times New Roman" w:asciiTheme="minorEastAsia" w:hAnsiTheme="minorEastAsia"/>
                <w:b/>
                <w:sz w:val="24"/>
              </w:rPr>
            </w:pPr>
            <w:r>
              <w:rPr>
                <w:rFonts w:cs="Times New Roman" w:asciiTheme="minorEastAsia" w:hAnsiTheme="minorEastAsia"/>
                <w:b/>
                <w:sz w:val="24"/>
              </w:rPr>
              <w:t>序号</w:t>
            </w:r>
          </w:p>
        </w:tc>
        <w:tc>
          <w:tcPr>
            <w:tcW w:w="1261" w:type="dxa"/>
            <w:vAlign w:val="center"/>
          </w:tcPr>
          <w:p>
            <w:pPr>
              <w:widowControl/>
              <w:jc w:val="center"/>
              <w:rPr>
                <w:rFonts w:cs="Times New Roman" w:asciiTheme="minorEastAsia" w:hAnsiTheme="minorEastAsia"/>
                <w:b/>
                <w:sz w:val="24"/>
              </w:rPr>
            </w:pPr>
            <w:r>
              <w:rPr>
                <w:rFonts w:cs="Times New Roman" w:asciiTheme="minorEastAsia" w:hAnsiTheme="minorEastAsia"/>
                <w:b/>
                <w:sz w:val="24"/>
              </w:rPr>
              <w:t>设备名称</w:t>
            </w:r>
          </w:p>
        </w:tc>
        <w:tc>
          <w:tcPr>
            <w:tcW w:w="5192" w:type="dxa"/>
            <w:vAlign w:val="center"/>
          </w:tcPr>
          <w:p>
            <w:pPr>
              <w:widowControl/>
              <w:jc w:val="center"/>
              <w:rPr>
                <w:rFonts w:cs="Times New Roman" w:asciiTheme="minorEastAsia" w:hAnsiTheme="minorEastAsia"/>
                <w:b/>
                <w:sz w:val="24"/>
              </w:rPr>
            </w:pPr>
            <w:r>
              <w:rPr>
                <w:rFonts w:cs="Times New Roman" w:asciiTheme="minorEastAsia" w:hAnsiTheme="minorEastAsia"/>
                <w:b/>
                <w:sz w:val="24"/>
              </w:rPr>
              <w:t>品类名称</w:t>
            </w:r>
          </w:p>
        </w:tc>
        <w:tc>
          <w:tcPr>
            <w:tcW w:w="1840" w:type="dxa"/>
            <w:vAlign w:val="center"/>
          </w:tcPr>
          <w:p>
            <w:pPr>
              <w:widowControl/>
              <w:jc w:val="center"/>
              <w:rPr>
                <w:rFonts w:cs="Times New Roman" w:asciiTheme="minorEastAsia" w:hAnsiTheme="minorEastAsia"/>
                <w:b/>
                <w:sz w:val="24"/>
              </w:rPr>
            </w:pPr>
            <w:r>
              <w:rPr>
                <w:rFonts w:cs="Times New Roman" w:asciiTheme="minorEastAsia" w:hAnsiTheme="minorEastAsia"/>
                <w:b/>
                <w:sz w:val="24"/>
              </w:rPr>
              <w:t>收费（万元）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24" w:type="dxa"/>
            <w:vAlign w:val="center"/>
          </w:tcPr>
          <w:p>
            <w:pPr>
              <w:spacing w:line="360" w:lineRule="auto"/>
              <w:jc w:val="center"/>
              <w:rPr>
                <w:rFonts w:cs="Times New Roman" w:asciiTheme="minorEastAsia" w:hAnsiTheme="minorEastAsia"/>
                <w:sz w:val="24"/>
              </w:rPr>
            </w:pPr>
            <w:r>
              <w:rPr>
                <w:rFonts w:cs="Times New Roman" w:asciiTheme="minorEastAsia" w:hAnsiTheme="minorEastAsia"/>
                <w:sz w:val="24"/>
              </w:rPr>
              <w:t>1</w:t>
            </w:r>
          </w:p>
        </w:tc>
        <w:tc>
          <w:tcPr>
            <w:tcW w:w="1261" w:type="dxa"/>
            <w:vMerge w:val="restart"/>
            <w:vAlign w:val="center"/>
          </w:tcPr>
          <w:p>
            <w:pPr>
              <w:spacing w:line="360" w:lineRule="auto"/>
              <w:jc w:val="center"/>
              <w:rPr>
                <w:rFonts w:cs="Times New Roman" w:asciiTheme="minorEastAsia" w:hAnsiTheme="minorEastAsia"/>
                <w:sz w:val="24"/>
              </w:rPr>
            </w:pPr>
            <w:r>
              <w:rPr>
                <w:rFonts w:cs="Times New Roman" w:asciiTheme="minorEastAsia" w:hAnsiTheme="minorEastAsia"/>
                <w:sz w:val="24"/>
              </w:rPr>
              <w:t>配电自动化设备</w:t>
            </w:r>
          </w:p>
        </w:tc>
        <w:tc>
          <w:tcPr>
            <w:tcW w:w="5192" w:type="dxa"/>
            <w:vAlign w:val="center"/>
          </w:tcPr>
          <w:p>
            <w:pPr>
              <w:spacing w:line="360" w:lineRule="auto"/>
              <w:jc w:val="center"/>
              <w:rPr>
                <w:rFonts w:cs="Times New Roman" w:asciiTheme="minorEastAsia" w:hAnsiTheme="minorEastAsia"/>
                <w:sz w:val="24"/>
              </w:rPr>
            </w:pPr>
            <w:r>
              <w:rPr>
                <w:rFonts w:cs="Times New Roman" w:asciiTheme="minorEastAsia" w:hAnsiTheme="minorEastAsia"/>
                <w:sz w:val="24"/>
              </w:rPr>
              <w:t>10kV SF6全绝缘断路器柜自动化成套设备</w:t>
            </w:r>
          </w:p>
        </w:tc>
        <w:tc>
          <w:tcPr>
            <w:tcW w:w="1840" w:type="dxa"/>
            <w:vAlign w:val="center"/>
          </w:tcPr>
          <w:p>
            <w:pPr>
              <w:spacing w:line="360" w:lineRule="auto"/>
              <w:jc w:val="center"/>
              <w:rPr>
                <w:rFonts w:hint="eastAsia" w:cs="Times New Roman" w:asciiTheme="minorEastAsia" w:hAnsiTheme="minorEastAsia" w:eastAsiaTheme="minorEastAsia"/>
                <w:sz w:val="24"/>
                <w:lang w:eastAsia="zh-CN"/>
              </w:rPr>
            </w:pPr>
            <w:r>
              <w:rPr>
                <w:rFonts w:cs="Times New Roman" w:asciiTheme="minorEastAsia" w:hAnsiTheme="minorEastAsia"/>
                <w:sz w:val="24"/>
              </w:rPr>
              <w:t>17.</w:t>
            </w:r>
            <w:r>
              <w:rPr>
                <w:rFonts w:hint="eastAsia" w:cs="Times New Roman" w:asciiTheme="minorEastAsia" w:hAnsiTheme="minorEastAsia"/>
                <w:sz w:val="24"/>
                <w:lang w:val="en-US" w:eastAsia="zh-CN"/>
              </w:rPr>
              <w:t>0</w:t>
            </w:r>
            <w:r>
              <w:rPr>
                <w:rFonts w:hint="eastAsia" w:cs="Times New Roman" w:asciiTheme="minorEastAsia" w:hAnsiTheme="minorEastAsia"/>
                <w:sz w:val="24"/>
                <w:lang w:eastAsia="zh-CN"/>
              </w:rPr>
              <w:t>（其中，二次设备</w:t>
            </w:r>
            <w:r>
              <w:rPr>
                <w:rFonts w:hint="eastAsia" w:cs="Times New Roman" w:asciiTheme="minorEastAsia" w:hAnsiTheme="minorEastAsia"/>
                <w:sz w:val="24"/>
                <w:lang w:val="en-US" w:eastAsia="zh-CN"/>
              </w:rPr>
              <w:t>5万</w:t>
            </w:r>
            <w:r>
              <w:rPr>
                <w:rFonts w:hint="eastAsia" w:cs="Times New Roman" w:asciiTheme="minorEastAsia" w:hAnsiTheme="minorEastAsia"/>
                <w:sz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24" w:type="dxa"/>
            <w:vAlign w:val="center"/>
          </w:tcPr>
          <w:p>
            <w:pPr>
              <w:spacing w:line="360" w:lineRule="auto"/>
              <w:jc w:val="center"/>
              <w:rPr>
                <w:rFonts w:cs="Times New Roman" w:asciiTheme="minorEastAsia" w:hAnsiTheme="minorEastAsia"/>
                <w:sz w:val="24"/>
              </w:rPr>
            </w:pPr>
            <w:r>
              <w:rPr>
                <w:rFonts w:cs="Times New Roman" w:asciiTheme="minorEastAsia" w:hAnsiTheme="minorEastAsia"/>
                <w:sz w:val="24"/>
              </w:rPr>
              <w:t>2</w:t>
            </w:r>
          </w:p>
        </w:tc>
        <w:tc>
          <w:tcPr>
            <w:tcW w:w="1261" w:type="dxa"/>
            <w:vMerge w:val="continue"/>
            <w:vAlign w:val="center"/>
          </w:tcPr>
          <w:p>
            <w:pPr>
              <w:spacing w:line="360" w:lineRule="auto"/>
              <w:jc w:val="center"/>
              <w:rPr>
                <w:rFonts w:cs="Times New Roman" w:asciiTheme="minorEastAsia" w:hAnsiTheme="minorEastAsia"/>
                <w:sz w:val="24"/>
              </w:rPr>
            </w:pPr>
          </w:p>
        </w:tc>
        <w:tc>
          <w:tcPr>
            <w:tcW w:w="5192" w:type="dxa"/>
            <w:vAlign w:val="center"/>
          </w:tcPr>
          <w:p>
            <w:pPr>
              <w:spacing w:line="360" w:lineRule="auto"/>
              <w:jc w:val="center"/>
              <w:rPr>
                <w:rFonts w:cs="Times New Roman" w:asciiTheme="minorEastAsia" w:hAnsiTheme="minorEastAsia"/>
                <w:sz w:val="24"/>
              </w:rPr>
            </w:pPr>
            <w:r>
              <w:rPr>
                <w:rFonts w:cs="Times New Roman" w:asciiTheme="minorEastAsia" w:hAnsiTheme="minorEastAsia"/>
                <w:sz w:val="24"/>
              </w:rPr>
              <w:t>10kV 常压密封空气绝缘断路器柜自动化成套设备</w:t>
            </w:r>
          </w:p>
        </w:tc>
        <w:tc>
          <w:tcPr>
            <w:tcW w:w="1840" w:type="dxa"/>
            <w:vAlign w:val="center"/>
          </w:tcPr>
          <w:p>
            <w:pPr>
              <w:spacing w:line="360" w:lineRule="auto"/>
              <w:jc w:val="center"/>
              <w:rPr>
                <w:rFonts w:cs="Times New Roman" w:asciiTheme="minorEastAsia" w:hAnsiTheme="minorEastAsia"/>
                <w:sz w:val="24"/>
              </w:rPr>
            </w:pPr>
            <w:r>
              <w:rPr>
                <w:rFonts w:cs="Times New Roman" w:asciiTheme="minorEastAsia" w:hAnsiTheme="minorEastAsia"/>
                <w:sz w:val="24"/>
              </w:rPr>
              <w:t>1</w:t>
            </w:r>
            <w:r>
              <w:rPr>
                <w:rFonts w:hint="eastAsia" w:cs="Times New Roman" w:asciiTheme="minorEastAsia" w:hAnsiTheme="minorEastAsia"/>
                <w:sz w:val="24"/>
                <w:lang w:val="en-US" w:eastAsia="zh-CN"/>
              </w:rPr>
              <w:t>6.8</w:t>
            </w:r>
            <w:r>
              <w:rPr>
                <w:rFonts w:hint="eastAsia" w:cs="Times New Roman" w:asciiTheme="minorEastAsia" w:hAnsiTheme="minorEastAsia"/>
                <w:sz w:val="24"/>
                <w:lang w:eastAsia="zh-CN"/>
              </w:rPr>
              <w:t>（其中，二次设备</w:t>
            </w:r>
            <w:r>
              <w:rPr>
                <w:rFonts w:hint="eastAsia" w:cs="Times New Roman" w:asciiTheme="minorEastAsia" w:hAnsiTheme="minorEastAsia"/>
                <w:sz w:val="24"/>
                <w:lang w:val="en-US" w:eastAsia="zh-CN"/>
              </w:rPr>
              <w:t>5万</w:t>
            </w:r>
            <w:r>
              <w:rPr>
                <w:rFonts w:hint="eastAsia" w:cs="Times New Roman" w:asciiTheme="minorEastAsia" w:hAnsiTheme="minorEastAsia"/>
                <w:sz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24" w:type="dxa"/>
            <w:vAlign w:val="center"/>
          </w:tcPr>
          <w:p>
            <w:pPr>
              <w:spacing w:line="360" w:lineRule="auto"/>
              <w:jc w:val="center"/>
              <w:rPr>
                <w:rFonts w:cs="Times New Roman" w:asciiTheme="minorEastAsia" w:hAnsiTheme="minorEastAsia"/>
                <w:sz w:val="24"/>
              </w:rPr>
            </w:pPr>
            <w:r>
              <w:rPr>
                <w:rFonts w:cs="Times New Roman" w:asciiTheme="minorEastAsia" w:hAnsiTheme="minorEastAsia"/>
                <w:sz w:val="24"/>
              </w:rPr>
              <w:t>3</w:t>
            </w:r>
          </w:p>
        </w:tc>
        <w:tc>
          <w:tcPr>
            <w:tcW w:w="1261" w:type="dxa"/>
            <w:vMerge w:val="continue"/>
            <w:vAlign w:val="center"/>
          </w:tcPr>
          <w:p>
            <w:pPr>
              <w:spacing w:line="360" w:lineRule="auto"/>
              <w:jc w:val="center"/>
              <w:rPr>
                <w:rFonts w:cs="Times New Roman" w:asciiTheme="minorEastAsia" w:hAnsiTheme="minorEastAsia"/>
                <w:sz w:val="24"/>
              </w:rPr>
            </w:pPr>
          </w:p>
        </w:tc>
        <w:tc>
          <w:tcPr>
            <w:tcW w:w="5192" w:type="dxa"/>
            <w:vAlign w:val="center"/>
          </w:tcPr>
          <w:p>
            <w:pPr>
              <w:spacing w:line="360" w:lineRule="auto"/>
              <w:jc w:val="center"/>
              <w:rPr>
                <w:rFonts w:cs="Times New Roman" w:asciiTheme="minorEastAsia" w:hAnsiTheme="minorEastAsia"/>
                <w:sz w:val="24"/>
              </w:rPr>
            </w:pPr>
            <w:r>
              <w:rPr>
                <w:rFonts w:cs="Times New Roman" w:asciiTheme="minorEastAsia" w:hAnsiTheme="minorEastAsia"/>
                <w:sz w:val="24"/>
              </w:rPr>
              <w:t>10kV SF6全绝缘负荷开关柜自动化成套设备</w:t>
            </w:r>
          </w:p>
        </w:tc>
        <w:tc>
          <w:tcPr>
            <w:tcW w:w="1840" w:type="dxa"/>
            <w:vAlign w:val="center"/>
          </w:tcPr>
          <w:p>
            <w:pPr>
              <w:spacing w:line="360" w:lineRule="auto"/>
              <w:jc w:val="center"/>
              <w:rPr>
                <w:rFonts w:cs="Times New Roman" w:asciiTheme="minorEastAsia" w:hAnsiTheme="minorEastAsia"/>
                <w:sz w:val="24"/>
              </w:rPr>
            </w:pPr>
            <w:r>
              <w:rPr>
                <w:rFonts w:cs="Times New Roman" w:asciiTheme="minorEastAsia" w:hAnsiTheme="minorEastAsia"/>
                <w:sz w:val="24"/>
              </w:rPr>
              <w:t>1</w:t>
            </w:r>
            <w:r>
              <w:rPr>
                <w:rFonts w:hint="eastAsia" w:cs="Times New Roman" w:asciiTheme="minorEastAsia" w:hAnsiTheme="minorEastAsia"/>
                <w:sz w:val="24"/>
                <w:lang w:val="en-US" w:eastAsia="zh-CN"/>
              </w:rPr>
              <w:t>6.8</w:t>
            </w:r>
            <w:r>
              <w:rPr>
                <w:rFonts w:hint="eastAsia" w:cs="Times New Roman" w:asciiTheme="minorEastAsia" w:hAnsiTheme="minorEastAsia"/>
                <w:sz w:val="24"/>
                <w:lang w:eastAsia="zh-CN"/>
              </w:rPr>
              <w:t>（其中，二次设备</w:t>
            </w:r>
            <w:r>
              <w:rPr>
                <w:rFonts w:hint="eastAsia" w:cs="Times New Roman" w:asciiTheme="minorEastAsia" w:hAnsiTheme="minorEastAsia"/>
                <w:sz w:val="24"/>
                <w:lang w:val="en-US" w:eastAsia="zh-CN"/>
              </w:rPr>
              <w:t>5万</w:t>
            </w:r>
            <w:r>
              <w:rPr>
                <w:rFonts w:hint="eastAsia" w:cs="Times New Roman" w:asciiTheme="minorEastAsia" w:hAnsiTheme="minorEastAsia"/>
                <w:sz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24" w:type="dxa"/>
            <w:vAlign w:val="center"/>
          </w:tcPr>
          <w:p>
            <w:pPr>
              <w:spacing w:line="360" w:lineRule="auto"/>
              <w:jc w:val="center"/>
              <w:rPr>
                <w:rFonts w:cs="Times New Roman" w:asciiTheme="minorEastAsia" w:hAnsiTheme="minorEastAsia"/>
                <w:sz w:val="24"/>
              </w:rPr>
            </w:pPr>
            <w:r>
              <w:rPr>
                <w:rFonts w:cs="Times New Roman" w:asciiTheme="minorEastAsia" w:hAnsiTheme="minorEastAsia"/>
                <w:sz w:val="24"/>
              </w:rPr>
              <w:t>4</w:t>
            </w:r>
          </w:p>
        </w:tc>
        <w:tc>
          <w:tcPr>
            <w:tcW w:w="1261" w:type="dxa"/>
            <w:vMerge w:val="continue"/>
            <w:vAlign w:val="center"/>
          </w:tcPr>
          <w:p>
            <w:pPr>
              <w:spacing w:line="360" w:lineRule="auto"/>
              <w:jc w:val="center"/>
              <w:rPr>
                <w:rFonts w:cs="Times New Roman" w:asciiTheme="minorEastAsia" w:hAnsiTheme="minorEastAsia"/>
                <w:sz w:val="24"/>
              </w:rPr>
            </w:pPr>
          </w:p>
        </w:tc>
        <w:tc>
          <w:tcPr>
            <w:tcW w:w="5192" w:type="dxa"/>
            <w:vAlign w:val="center"/>
          </w:tcPr>
          <w:p>
            <w:pPr>
              <w:spacing w:line="360" w:lineRule="auto"/>
              <w:jc w:val="center"/>
              <w:rPr>
                <w:rFonts w:cs="Times New Roman" w:asciiTheme="minorEastAsia" w:hAnsiTheme="minorEastAsia"/>
                <w:sz w:val="24"/>
              </w:rPr>
            </w:pPr>
            <w:r>
              <w:rPr>
                <w:rFonts w:cs="Times New Roman" w:asciiTheme="minorEastAsia" w:hAnsiTheme="minorEastAsia"/>
                <w:sz w:val="24"/>
              </w:rPr>
              <w:t>10kV 柱上真空断路器自动化成套设备</w:t>
            </w:r>
          </w:p>
        </w:tc>
        <w:tc>
          <w:tcPr>
            <w:tcW w:w="1840" w:type="dxa"/>
            <w:vAlign w:val="center"/>
          </w:tcPr>
          <w:p>
            <w:pPr>
              <w:spacing w:line="360" w:lineRule="auto"/>
              <w:jc w:val="center"/>
              <w:rPr>
                <w:rFonts w:cs="Times New Roman" w:asciiTheme="minorEastAsia" w:hAnsiTheme="minorEastAsia"/>
                <w:sz w:val="24"/>
              </w:rPr>
            </w:pPr>
            <w:r>
              <w:rPr>
                <w:rFonts w:cs="Times New Roman" w:asciiTheme="minorEastAsia" w:hAnsiTheme="minorEastAsia"/>
                <w:sz w:val="24"/>
              </w:rPr>
              <w:t>1</w:t>
            </w:r>
            <w:r>
              <w:rPr>
                <w:rFonts w:hint="eastAsia" w:cs="Times New Roman" w:asciiTheme="minorEastAsia" w:hAnsiTheme="minorEastAsia"/>
                <w:sz w:val="24"/>
                <w:lang w:val="en-US" w:eastAsia="zh-CN"/>
              </w:rPr>
              <w:t>3.0</w:t>
            </w:r>
            <w:r>
              <w:rPr>
                <w:rFonts w:hint="eastAsia" w:cs="Times New Roman" w:asciiTheme="minorEastAsia" w:hAnsiTheme="minorEastAsia"/>
                <w:sz w:val="24"/>
                <w:lang w:eastAsia="zh-CN"/>
              </w:rPr>
              <w:t>（其中，二次设备</w:t>
            </w:r>
            <w:r>
              <w:rPr>
                <w:rFonts w:hint="eastAsia" w:cs="Times New Roman" w:asciiTheme="minorEastAsia" w:hAnsiTheme="minorEastAsia"/>
                <w:sz w:val="24"/>
                <w:lang w:val="en-US" w:eastAsia="zh-CN"/>
              </w:rPr>
              <w:t>5万</w:t>
            </w:r>
            <w:r>
              <w:rPr>
                <w:rFonts w:hint="eastAsia" w:cs="Times New Roman" w:asciiTheme="minorEastAsia" w:hAnsiTheme="minorEastAsia"/>
                <w:sz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24" w:type="dxa"/>
            <w:vAlign w:val="center"/>
          </w:tcPr>
          <w:p>
            <w:pPr>
              <w:spacing w:line="360" w:lineRule="auto"/>
              <w:jc w:val="center"/>
              <w:rPr>
                <w:rFonts w:cs="Times New Roman" w:asciiTheme="minorEastAsia" w:hAnsiTheme="minorEastAsia"/>
                <w:sz w:val="24"/>
              </w:rPr>
            </w:pPr>
            <w:r>
              <w:rPr>
                <w:rFonts w:cs="Times New Roman" w:asciiTheme="minorEastAsia" w:hAnsiTheme="minorEastAsia"/>
                <w:sz w:val="24"/>
              </w:rPr>
              <w:t>5</w:t>
            </w:r>
          </w:p>
        </w:tc>
        <w:tc>
          <w:tcPr>
            <w:tcW w:w="1261" w:type="dxa"/>
            <w:vMerge w:val="continue"/>
            <w:vAlign w:val="center"/>
          </w:tcPr>
          <w:p>
            <w:pPr>
              <w:spacing w:line="360" w:lineRule="auto"/>
              <w:jc w:val="center"/>
              <w:rPr>
                <w:rFonts w:cs="Times New Roman" w:asciiTheme="minorEastAsia" w:hAnsiTheme="minorEastAsia"/>
                <w:sz w:val="24"/>
              </w:rPr>
            </w:pPr>
          </w:p>
        </w:tc>
        <w:tc>
          <w:tcPr>
            <w:tcW w:w="5192" w:type="dxa"/>
            <w:vAlign w:val="center"/>
          </w:tcPr>
          <w:p>
            <w:pPr>
              <w:spacing w:line="360" w:lineRule="auto"/>
              <w:jc w:val="center"/>
              <w:rPr>
                <w:rFonts w:cs="Times New Roman" w:asciiTheme="minorEastAsia" w:hAnsiTheme="minorEastAsia"/>
                <w:sz w:val="24"/>
              </w:rPr>
            </w:pPr>
            <w:r>
              <w:rPr>
                <w:rFonts w:cs="Times New Roman" w:asciiTheme="minorEastAsia" w:hAnsiTheme="minorEastAsia"/>
                <w:sz w:val="24"/>
              </w:rPr>
              <w:t>架空型故障指示器</w:t>
            </w:r>
          </w:p>
        </w:tc>
        <w:tc>
          <w:tcPr>
            <w:tcW w:w="1840" w:type="dxa"/>
            <w:vAlign w:val="center"/>
          </w:tcPr>
          <w:p>
            <w:pPr>
              <w:spacing w:line="360" w:lineRule="auto"/>
              <w:jc w:val="center"/>
              <w:rPr>
                <w:rFonts w:cs="Times New Roman" w:asciiTheme="minorEastAsia" w:hAnsiTheme="minorEastAsia"/>
                <w:sz w:val="24"/>
              </w:rPr>
            </w:pPr>
            <w:r>
              <w:rPr>
                <w:rFonts w:cs="Times New Roman" w:asciiTheme="minorEastAsia" w:hAnsiTheme="minorEastAsia"/>
                <w:sz w:val="24"/>
              </w:rPr>
              <w:t>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24" w:type="dxa"/>
            <w:vAlign w:val="center"/>
          </w:tcPr>
          <w:p>
            <w:pPr>
              <w:spacing w:line="360" w:lineRule="auto"/>
              <w:jc w:val="center"/>
              <w:rPr>
                <w:rFonts w:cs="Times New Roman" w:asciiTheme="minorEastAsia" w:hAnsiTheme="minorEastAsia"/>
                <w:sz w:val="24"/>
              </w:rPr>
            </w:pPr>
            <w:r>
              <w:rPr>
                <w:rFonts w:cs="Times New Roman" w:asciiTheme="minorEastAsia" w:hAnsiTheme="minorEastAsia"/>
                <w:sz w:val="24"/>
              </w:rPr>
              <w:t>6</w:t>
            </w:r>
          </w:p>
        </w:tc>
        <w:tc>
          <w:tcPr>
            <w:tcW w:w="1261" w:type="dxa"/>
            <w:vMerge w:val="continue"/>
            <w:vAlign w:val="center"/>
          </w:tcPr>
          <w:p>
            <w:pPr>
              <w:spacing w:line="360" w:lineRule="auto"/>
              <w:jc w:val="center"/>
              <w:rPr>
                <w:rFonts w:cs="Times New Roman" w:asciiTheme="minorEastAsia" w:hAnsiTheme="minorEastAsia"/>
                <w:sz w:val="24"/>
              </w:rPr>
            </w:pPr>
          </w:p>
        </w:tc>
        <w:tc>
          <w:tcPr>
            <w:tcW w:w="5192" w:type="dxa"/>
            <w:vAlign w:val="center"/>
          </w:tcPr>
          <w:p>
            <w:pPr>
              <w:spacing w:line="360" w:lineRule="auto"/>
              <w:jc w:val="center"/>
              <w:rPr>
                <w:rFonts w:cs="Times New Roman" w:asciiTheme="minorEastAsia" w:hAnsiTheme="minorEastAsia"/>
                <w:sz w:val="24"/>
              </w:rPr>
            </w:pPr>
            <w:r>
              <w:rPr>
                <w:rFonts w:cs="Times New Roman" w:asciiTheme="minorEastAsia" w:hAnsiTheme="minorEastAsia"/>
                <w:sz w:val="24"/>
              </w:rPr>
              <w:t>配电自动化馈线终端（FTU）</w:t>
            </w:r>
          </w:p>
        </w:tc>
        <w:tc>
          <w:tcPr>
            <w:tcW w:w="1840" w:type="dxa"/>
            <w:vAlign w:val="center"/>
          </w:tcPr>
          <w:p>
            <w:pPr>
              <w:spacing w:line="360" w:lineRule="auto"/>
              <w:jc w:val="center"/>
              <w:rPr>
                <w:rFonts w:cs="Times New Roman" w:asciiTheme="minorEastAsia" w:hAnsiTheme="minorEastAsia"/>
                <w:sz w:val="24"/>
              </w:rPr>
            </w:pPr>
            <w:r>
              <w:rPr>
                <w:rFonts w:cs="Times New Roman" w:asciiTheme="minorEastAsia" w:hAnsiTheme="minorEastAsia"/>
                <w:sz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24" w:type="dxa"/>
            <w:vAlign w:val="center"/>
          </w:tcPr>
          <w:p>
            <w:pPr>
              <w:spacing w:line="360" w:lineRule="auto"/>
              <w:jc w:val="center"/>
              <w:rPr>
                <w:rFonts w:cs="Times New Roman" w:asciiTheme="minorEastAsia" w:hAnsiTheme="minorEastAsia"/>
                <w:sz w:val="24"/>
              </w:rPr>
            </w:pPr>
            <w:r>
              <w:rPr>
                <w:rFonts w:cs="Times New Roman" w:asciiTheme="minorEastAsia" w:hAnsiTheme="minorEastAsia"/>
                <w:sz w:val="24"/>
              </w:rPr>
              <w:t>7</w:t>
            </w:r>
          </w:p>
        </w:tc>
        <w:tc>
          <w:tcPr>
            <w:tcW w:w="1261" w:type="dxa"/>
            <w:vMerge w:val="continue"/>
            <w:vAlign w:val="center"/>
          </w:tcPr>
          <w:p>
            <w:pPr>
              <w:spacing w:line="360" w:lineRule="auto"/>
              <w:jc w:val="center"/>
              <w:rPr>
                <w:rFonts w:cs="Times New Roman" w:asciiTheme="minorEastAsia" w:hAnsiTheme="minorEastAsia"/>
                <w:sz w:val="24"/>
              </w:rPr>
            </w:pPr>
          </w:p>
        </w:tc>
        <w:tc>
          <w:tcPr>
            <w:tcW w:w="5192" w:type="dxa"/>
            <w:vAlign w:val="center"/>
          </w:tcPr>
          <w:p>
            <w:pPr>
              <w:spacing w:line="360" w:lineRule="auto"/>
              <w:jc w:val="center"/>
              <w:rPr>
                <w:rFonts w:cs="Times New Roman" w:asciiTheme="minorEastAsia" w:hAnsiTheme="minorEastAsia"/>
                <w:sz w:val="24"/>
              </w:rPr>
            </w:pPr>
            <w:r>
              <w:rPr>
                <w:rFonts w:cs="Times New Roman" w:asciiTheme="minorEastAsia" w:hAnsiTheme="minorEastAsia"/>
                <w:sz w:val="24"/>
              </w:rPr>
              <w:t>配电自动化站所终端（DTU）（集中式）</w:t>
            </w:r>
          </w:p>
        </w:tc>
        <w:tc>
          <w:tcPr>
            <w:tcW w:w="1840" w:type="dxa"/>
            <w:vAlign w:val="center"/>
          </w:tcPr>
          <w:p>
            <w:pPr>
              <w:spacing w:line="360" w:lineRule="auto"/>
              <w:jc w:val="center"/>
              <w:rPr>
                <w:rFonts w:cs="Times New Roman" w:asciiTheme="minorEastAsia" w:hAnsiTheme="minorEastAsia"/>
                <w:sz w:val="24"/>
              </w:rPr>
            </w:pPr>
            <w:r>
              <w:rPr>
                <w:rFonts w:cs="Times New Roman" w:asciiTheme="minorEastAsia" w:hAnsiTheme="minorEastAsia"/>
                <w:sz w:val="24"/>
              </w:rPr>
              <w:t>5</w:t>
            </w:r>
          </w:p>
        </w:tc>
      </w:tr>
      <w:bookmarkEnd w:id="0"/>
      <w:bookmarkEnd w:id="1"/>
      <w:bookmarkEnd w:id="2"/>
      <w:bookmarkEnd w:id="3"/>
    </w:tbl>
    <w:p>
      <w:pPr>
        <w:spacing w:line="560" w:lineRule="exact"/>
        <w:ind w:firstLine="643" w:firstLineChars="200"/>
        <w:rPr>
          <w:rFonts w:ascii="Times New Roman" w:hAnsi="Times New Roman" w:eastAsia="黑体" w:cs="Times New Roman"/>
          <w:b/>
          <w:bCs/>
          <w:sz w:val="32"/>
          <w:szCs w:val="32"/>
        </w:rPr>
      </w:pPr>
      <w:bookmarkStart w:id="4" w:name="_Toc406052837"/>
      <w:r>
        <w:rPr>
          <w:rFonts w:hint="eastAsia" w:ascii="Times New Roman" w:hAnsi="Times New Roman" w:eastAsia="黑体" w:cs="Times New Roman"/>
          <w:b/>
          <w:bCs/>
          <w:sz w:val="32"/>
          <w:szCs w:val="32"/>
        </w:rPr>
        <w:t>二</w:t>
      </w:r>
      <w:r>
        <w:rPr>
          <w:rFonts w:ascii="Times New Roman" w:hAnsi="Times New Roman" w:eastAsia="黑体" w:cs="Times New Roman"/>
          <w:b/>
          <w:bCs/>
          <w:sz w:val="32"/>
          <w:szCs w:val="32"/>
        </w:rPr>
        <w:t>、具体要求</w:t>
      </w:r>
    </w:p>
    <w:bookmarkEnd w:id="4"/>
    <w:p>
      <w:pPr>
        <w:spacing w:line="560" w:lineRule="exact"/>
        <w:ind w:firstLine="640" w:firstLineChars="200"/>
        <w:rPr>
          <w:rFonts w:ascii="仿宋_GB2312" w:hAnsi="Times New Roman" w:eastAsia="仿宋_GB2312" w:cs="Times New Roman"/>
          <w:sz w:val="32"/>
          <w:szCs w:val="32"/>
        </w:rPr>
      </w:pPr>
      <w:r>
        <w:rPr>
          <w:rFonts w:hint="eastAsia" w:ascii="仿宋_GB2312" w:hAnsi="Times New Roman" w:eastAsia="仿宋_GB2312" w:cs="Times New Roman"/>
          <w:sz w:val="32"/>
          <w:szCs w:val="32"/>
        </w:rPr>
        <w:t>（一）委托南方电网科学研究院有限责任公司</w:t>
      </w:r>
    </w:p>
    <w:p>
      <w:pPr>
        <w:spacing w:line="560" w:lineRule="exact"/>
        <w:ind w:firstLine="640" w:firstLineChars="200"/>
        <w:rPr>
          <w:rFonts w:hint="eastAsia" w:ascii="仿宋_GB2312" w:hAnsi="Times New Roman" w:eastAsia="仿宋_GB2312" w:cs="Times New Roman"/>
          <w:sz w:val="32"/>
          <w:szCs w:val="32"/>
        </w:rPr>
      </w:pPr>
      <w:r>
        <w:rPr>
          <w:rFonts w:hint="eastAsia" w:ascii="仿宋_GB2312" w:hAnsi="Times New Roman" w:eastAsia="仿宋_GB2312" w:cs="Times New Roman"/>
          <w:sz w:val="32"/>
          <w:szCs w:val="32"/>
        </w:rPr>
        <w:t>1、检测费用收取方式仅限银行转账，收款账户信息详见送样检测委托书（附件3附录1），汇款或缴费时请务必注明“南方电网2023年配电自动化设备送样检测费”。</w:t>
      </w:r>
      <w:r>
        <w:rPr>
          <w:rFonts w:hint="eastAsia" w:ascii="仿宋_GB2312" w:hAnsi="Times New Roman" w:eastAsia="仿宋_GB2312" w:cs="Times New Roman"/>
          <w:b/>
          <w:bCs/>
          <w:sz w:val="32"/>
          <w:szCs w:val="32"/>
        </w:rPr>
        <w:t>缴费时间另行短信和邮件通知，在通知时间内缴费。</w:t>
      </w:r>
    </w:p>
    <w:p>
      <w:pPr>
        <w:spacing w:line="560" w:lineRule="exact"/>
        <w:ind w:firstLine="640" w:firstLineChars="200"/>
        <w:rPr>
          <w:rFonts w:hint="eastAsia" w:ascii="仿宋_GB2312" w:hAnsi="Times New Roman" w:eastAsia="仿宋_GB2312" w:cs="Times New Roman"/>
          <w:sz w:val="32"/>
          <w:szCs w:val="32"/>
        </w:rPr>
      </w:pPr>
      <w:r>
        <w:rPr>
          <w:rFonts w:hint="eastAsia" w:ascii="仿宋_GB2312" w:hAnsi="Times New Roman" w:eastAsia="仿宋_GB2312" w:cs="Times New Roman"/>
          <w:sz w:val="32"/>
          <w:szCs w:val="32"/>
        </w:rPr>
        <w:t>2、发票的获取：发票按照送样检测委托书上信息进行开具，对能及时、正确提供“一般纳税人资格证明”的企业，可开具增值税专用发票(税率6%)，否则开具增值税电子普通发票。</w:t>
      </w:r>
    </w:p>
    <w:p>
      <w:pPr>
        <w:spacing w:line="560" w:lineRule="exact"/>
        <w:ind w:firstLine="640" w:firstLineChars="200"/>
        <w:rPr>
          <w:rFonts w:ascii="仿宋_GB2312" w:hAnsi="Times New Roman" w:eastAsia="仿宋_GB2312" w:cs="Times New Roman"/>
          <w:sz w:val="32"/>
          <w:szCs w:val="32"/>
        </w:rPr>
      </w:pPr>
      <w:r>
        <w:rPr>
          <w:rFonts w:hint="eastAsia" w:ascii="仿宋_GB2312" w:hAnsi="Times New Roman" w:eastAsia="仿宋_GB2312" w:cs="Times New Roman"/>
          <w:sz w:val="32"/>
          <w:szCs w:val="32"/>
        </w:rPr>
        <w:t>3、发票领取时间：发票将在检测完成后，与检测报告一同发放，若参检企业需邮寄发票，则按照送样检测委托书上的联系方式与地址寄出发票。</w:t>
      </w:r>
    </w:p>
    <w:p>
      <w:pPr>
        <w:spacing w:line="560" w:lineRule="exact"/>
        <w:ind w:firstLine="640" w:firstLineChars="200"/>
        <w:rPr>
          <w:rFonts w:ascii="仿宋_GB2312" w:hAnsi="Times New Roman" w:eastAsia="仿宋_GB2312" w:cs="Times New Roman"/>
          <w:sz w:val="32"/>
          <w:szCs w:val="32"/>
        </w:rPr>
      </w:pPr>
      <w:r>
        <w:rPr>
          <w:rFonts w:hint="eastAsia" w:ascii="仿宋_GB2312" w:hAnsi="Times New Roman" w:eastAsia="仿宋_GB2312" w:cs="Times New Roman"/>
          <w:sz w:val="32"/>
          <w:szCs w:val="32"/>
        </w:rPr>
        <w:t>（二）委托其他检测机构</w:t>
      </w:r>
    </w:p>
    <w:p>
      <w:pPr>
        <w:spacing w:line="560" w:lineRule="exact"/>
        <w:ind w:firstLine="640" w:firstLineChars="200"/>
        <w:rPr>
          <w:rFonts w:hint="eastAsia" w:ascii="仿宋_GB2312" w:hAnsi="Times New Roman" w:eastAsia="仿宋_GB2312" w:cs="Times New Roman"/>
          <w:sz w:val="32"/>
          <w:szCs w:val="32"/>
        </w:rPr>
      </w:pPr>
      <w:r>
        <w:rPr>
          <w:rFonts w:hint="eastAsia" w:ascii="仿宋_GB2312" w:hAnsi="Times New Roman" w:eastAsia="仿宋_GB2312" w:cs="Times New Roman"/>
          <w:sz w:val="32"/>
          <w:szCs w:val="32"/>
        </w:rPr>
        <w:t>供应商应按本方案的收费标准支付检测费用，具体支付方式按其他检测机构的要求，</w:t>
      </w:r>
      <w:bookmarkStart w:id="5" w:name="_GoBack"/>
      <w:bookmarkEnd w:id="5"/>
      <w:r>
        <w:rPr>
          <w:rFonts w:hint="eastAsia" w:ascii="仿宋_GB2312" w:hAnsi="Times New Roman" w:eastAsia="仿宋_GB2312" w:cs="Times New Roman"/>
          <w:sz w:val="32"/>
          <w:szCs w:val="32"/>
        </w:rPr>
        <w:t>并按附件6的要求，提供相关证明。</w:t>
      </w:r>
    </w:p>
    <w:p>
      <w:pPr>
        <w:spacing w:line="560" w:lineRule="exact"/>
        <w:ind w:firstLine="640" w:firstLineChars="200"/>
        <w:rPr>
          <w:rFonts w:hint="eastAsia" w:ascii="仿宋_GB2312" w:hAnsi="Times New Roman" w:eastAsia="仿宋_GB2312" w:cs="Times New Roman"/>
          <w:sz w:val="32"/>
          <w:szCs w:val="32"/>
        </w:rPr>
      </w:pPr>
    </w:p>
    <w:p>
      <w:pPr>
        <w:spacing w:line="560" w:lineRule="exact"/>
        <w:jc w:val="left"/>
        <w:rPr>
          <w:rFonts w:ascii="Times New Roman" w:hAnsi="Times New Roman" w:eastAsia="宋体" w:cs="Times New Roman"/>
          <w:color w:val="000000" w:themeColor="text1"/>
          <w:sz w:val="32"/>
          <w:szCs w:val="32"/>
          <w14:textFill>
            <w14:solidFill>
              <w14:schemeClr w14:val="tx1"/>
            </w14:solidFill>
          </w14:textFill>
        </w:rPr>
        <w:sectPr>
          <w:footerReference r:id="rId3" w:type="default"/>
          <w:pgSz w:w="11906" w:h="16838"/>
          <w:pgMar w:top="1440" w:right="1800" w:bottom="1440" w:left="1800" w:header="851" w:footer="992" w:gutter="0"/>
          <w:pgNumType w:fmt="decimal"/>
          <w:cols w:space="425" w:num="1"/>
          <w:docGrid w:type="lines" w:linePitch="312" w:charSpace="0"/>
        </w:sectPr>
      </w:pPr>
    </w:p>
    <w:p>
      <w:pPr>
        <w:widowControl/>
        <w:jc w:val="left"/>
        <w:rPr>
          <w:rFonts w:ascii="Times New Roman" w:hAnsi="Times New Roman" w:cs="Times New Roman"/>
          <w:sz w:val="28"/>
          <w:szCs w:val="28"/>
        </w:rPr>
      </w:pPr>
    </w:p>
    <w:sectPr>
      <w:headerReference r:id="rId4" w:type="default"/>
      <w:type w:val="continuous"/>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  \* MERGEFORMAT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1</w:t>
                          </w:r>
                          <w:r>
                            <w:rPr>
                              <w:rFonts w:hint="eastAsia" w:asciiTheme="minorEastAsia" w:hAnsiTheme="minorEastAsia" w:eastAsiaTheme="minorEastAsia" w:cstheme="minorEastAsia"/>
                              <w:sz w:val="21"/>
                              <w:szCs w:val="21"/>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8"/>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  \* MERGEFORMAT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1</w:t>
                    </w:r>
                    <w:r>
                      <w:rPr>
                        <w:rFonts w:hint="eastAsia" w:asciiTheme="minorEastAsia" w:hAnsiTheme="minorEastAsia" w:eastAsiaTheme="minorEastAsia" w:cstheme="minorEastAsia"/>
                        <w:sz w:val="21"/>
                        <w:szCs w:val="21"/>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NotDisplayPageBoundaries w:val="1"/>
  <w:embedSystemFonts/>
  <w:bordersDoNotSurroundHeader w:val="1"/>
  <w:bordersDoNotSurroundFooter w:val="1"/>
  <w:revisionView w:markup="0"/>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74736B2"/>
    <w:rsid w:val="000038BA"/>
    <w:rsid w:val="00011A74"/>
    <w:rsid w:val="00015249"/>
    <w:rsid w:val="00024536"/>
    <w:rsid w:val="00024888"/>
    <w:rsid w:val="00031FE5"/>
    <w:rsid w:val="000457F1"/>
    <w:rsid w:val="000509E3"/>
    <w:rsid w:val="00063A85"/>
    <w:rsid w:val="00076E1E"/>
    <w:rsid w:val="00090AE1"/>
    <w:rsid w:val="000A1A91"/>
    <w:rsid w:val="000A430A"/>
    <w:rsid w:val="000A5437"/>
    <w:rsid w:val="000B7C24"/>
    <w:rsid w:val="000C3767"/>
    <w:rsid w:val="000C38AF"/>
    <w:rsid w:val="000C4354"/>
    <w:rsid w:val="000C620F"/>
    <w:rsid w:val="000D0680"/>
    <w:rsid w:val="000E14E5"/>
    <w:rsid w:val="000E1C7F"/>
    <w:rsid w:val="000E3B0E"/>
    <w:rsid w:val="000E5A4C"/>
    <w:rsid w:val="000F2BE7"/>
    <w:rsid w:val="00102B98"/>
    <w:rsid w:val="001044A6"/>
    <w:rsid w:val="001227C6"/>
    <w:rsid w:val="00125A1E"/>
    <w:rsid w:val="00131207"/>
    <w:rsid w:val="00131922"/>
    <w:rsid w:val="001410CC"/>
    <w:rsid w:val="0014753E"/>
    <w:rsid w:val="00151737"/>
    <w:rsid w:val="00154DBC"/>
    <w:rsid w:val="001647D1"/>
    <w:rsid w:val="001718CB"/>
    <w:rsid w:val="00173C3A"/>
    <w:rsid w:val="0018110C"/>
    <w:rsid w:val="00192F4A"/>
    <w:rsid w:val="001A6143"/>
    <w:rsid w:val="001B15BA"/>
    <w:rsid w:val="001C557C"/>
    <w:rsid w:val="001D5529"/>
    <w:rsid w:val="001F30A4"/>
    <w:rsid w:val="001F31A3"/>
    <w:rsid w:val="002174CD"/>
    <w:rsid w:val="00226291"/>
    <w:rsid w:val="0024312E"/>
    <w:rsid w:val="00246824"/>
    <w:rsid w:val="0025628E"/>
    <w:rsid w:val="00270CF1"/>
    <w:rsid w:val="00276B67"/>
    <w:rsid w:val="00296629"/>
    <w:rsid w:val="00296ADC"/>
    <w:rsid w:val="002A7CBF"/>
    <w:rsid w:val="002B04C4"/>
    <w:rsid w:val="002C144E"/>
    <w:rsid w:val="002D448B"/>
    <w:rsid w:val="002F0FE7"/>
    <w:rsid w:val="002F439C"/>
    <w:rsid w:val="003020F6"/>
    <w:rsid w:val="003033D0"/>
    <w:rsid w:val="003112DC"/>
    <w:rsid w:val="00313018"/>
    <w:rsid w:val="003136A7"/>
    <w:rsid w:val="00315512"/>
    <w:rsid w:val="00317990"/>
    <w:rsid w:val="0032068A"/>
    <w:rsid w:val="0033579E"/>
    <w:rsid w:val="00337F10"/>
    <w:rsid w:val="0034325B"/>
    <w:rsid w:val="003476AA"/>
    <w:rsid w:val="00352EF5"/>
    <w:rsid w:val="003572B0"/>
    <w:rsid w:val="00360BDC"/>
    <w:rsid w:val="00364671"/>
    <w:rsid w:val="0037680C"/>
    <w:rsid w:val="003809F6"/>
    <w:rsid w:val="00385780"/>
    <w:rsid w:val="00386F0F"/>
    <w:rsid w:val="00387790"/>
    <w:rsid w:val="003914A0"/>
    <w:rsid w:val="00395292"/>
    <w:rsid w:val="003A768B"/>
    <w:rsid w:val="003B3101"/>
    <w:rsid w:val="003B354C"/>
    <w:rsid w:val="003B7426"/>
    <w:rsid w:val="003C41B4"/>
    <w:rsid w:val="003C50FE"/>
    <w:rsid w:val="003C7183"/>
    <w:rsid w:val="003D2526"/>
    <w:rsid w:val="003F084C"/>
    <w:rsid w:val="003F0D91"/>
    <w:rsid w:val="0040776F"/>
    <w:rsid w:val="00410627"/>
    <w:rsid w:val="00412F58"/>
    <w:rsid w:val="00415A41"/>
    <w:rsid w:val="00423C5D"/>
    <w:rsid w:val="00424888"/>
    <w:rsid w:val="004305AB"/>
    <w:rsid w:val="004373C0"/>
    <w:rsid w:val="004608B6"/>
    <w:rsid w:val="00460B1C"/>
    <w:rsid w:val="00463747"/>
    <w:rsid w:val="00467FC9"/>
    <w:rsid w:val="0047271F"/>
    <w:rsid w:val="004844ED"/>
    <w:rsid w:val="004855A5"/>
    <w:rsid w:val="004A355C"/>
    <w:rsid w:val="004B5626"/>
    <w:rsid w:val="004D074C"/>
    <w:rsid w:val="004D4A2F"/>
    <w:rsid w:val="004E351A"/>
    <w:rsid w:val="004E7828"/>
    <w:rsid w:val="004F0D4D"/>
    <w:rsid w:val="005138C8"/>
    <w:rsid w:val="005231FB"/>
    <w:rsid w:val="00526341"/>
    <w:rsid w:val="00545C53"/>
    <w:rsid w:val="005551D6"/>
    <w:rsid w:val="00555451"/>
    <w:rsid w:val="00555979"/>
    <w:rsid w:val="00572354"/>
    <w:rsid w:val="00576870"/>
    <w:rsid w:val="00591756"/>
    <w:rsid w:val="005924C4"/>
    <w:rsid w:val="00594DDB"/>
    <w:rsid w:val="0059641A"/>
    <w:rsid w:val="005A0DAD"/>
    <w:rsid w:val="005A15C8"/>
    <w:rsid w:val="005A2B1A"/>
    <w:rsid w:val="005B29D8"/>
    <w:rsid w:val="005B5065"/>
    <w:rsid w:val="005C1CF7"/>
    <w:rsid w:val="005C7276"/>
    <w:rsid w:val="005D149D"/>
    <w:rsid w:val="005E0DAA"/>
    <w:rsid w:val="005E0E7A"/>
    <w:rsid w:val="005E4BB4"/>
    <w:rsid w:val="00610DB2"/>
    <w:rsid w:val="00610E24"/>
    <w:rsid w:val="00614C73"/>
    <w:rsid w:val="00623823"/>
    <w:rsid w:val="0062463A"/>
    <w:rsid w:val="00625CC8"/>
    <w:rsid w:val="00642559"/>
    <w:rsid w:val="0064568F"/>
    <w:rsid w:val="00646147"/>
    <w:rsid w:val="00660A51"/>
    <w:rsid w:val="00663C05"/>
    <w:rsid w:val="00676C7B"/>
    <w:rsid w:val="00682CF7"/>
    <w:rsid w:val="00684B59"/>
    <w:rsid w:val="00690A1A"/>
    <w:rsid w:val="00692545"/>
    <w:rsid w:val="00694D95"/>
    <w:rsid w:val="00695FC8"/>
    <w:rsid w:val="006970EF"/>
    <w:rsid w:val="006A4BF4"/>
    <w:rsid w:val="006C1A6A"/>
    <w:rsid w:val="006E08C4"/>
    <w:rsid w:val="006F1E0A"/>
    <w:rsid w:val="006F5AAA"/>
    <w:rsid w:val="006F6C43"/>
    <w:rsid w:val="007028E0"/>
    <w:rsid w:val="00713C27"/>
    <w:rsid w:val="00723B2D"/>
    <w:rsid w:val="00730127"/>
    <w:rsid w:val="007340C6"/>
    <w:rsid w:val="00734796"/>
    <w:rsid w:val="00734C0E"/>
    <w:rsid w:val="00736C2B"/>
    <w:rsid w:val="007375A0"/>
    <w:rsid w:val="00742DCB"/>
    <w:rsid w:val="0075278A"/>
    <w:rsid w:val="00752E86"/>
    <w:rsid w:val="007543AC"/>
    <w:rsid w:val="0076195C"/>
    <w:rsid w:val="00774CF4"/>
    <w:rsid w:val="00781B1F"/>
    <w:rsid w:val="00783414"/>
    <w:rsid w:val="007959D7"/>
    <w:rsid w:val="007A54EA"/>
    <w:rsid w:val="007B7F8F"/>
    <w:rsid w:val="007D2402"/>
    <w:rsid w:val="007D42B5"/>
    <w:rsid w:val="007E2C6A"/>
    <w:rsid w:val="007E706E"/>
    <w:rsid w:val="007F6958"/>
    <w:rsid w:val="008007D0"/>
    <w:rsid w:val="008024CC"/>
    <w:rsid w:val="0080468B"/>
    <w:rsid w:val="00804A0B"/>
    <w:rsid w:val="008113D0"/>
    <w:rsid w:val="00822000"/>
    <w:rsid w:val="0084176C"/>
    <w:rsid w:val="008429FB"/>
    <w:rsid w:val="008468B1"/>
    <w:rsid w:val="00853659"/>
    <w:rsid w:val="00856CA8"/>
    <w:rsid w:val="00866DE8"/>
    <w:rsid w:val="0087526D"/>
    <w:rsid w:val="00875459"/>
    <w:rsid w:val="00886ED1"/>
    <w:rsid w:val="008C00E5"/>
    <w:rsid w:val="008C0B7C"/>
    <w:rsid w:val="008C3F9D"/>
    <w:rsid w:val="008C6156"/>
    <w:rsid w:val="008D0ACF"/>
    <w:rsid w:val="008E0270"/>
    <w:rsid w:val="0090204C"/>
    <w:rsid w:val="00911246"/>
    <w:rsid w:val="009134E4"/>
    <w:rsid w:val="009321C8"/>
    <w:rsid w:val="00955038"/>
    <w:rsid w:val="009568EE"/>
    <w:rsid w:val="00962229"/>
    <w:rsid w:val="00962B47"/>
    <w:rsid w:val="00962DFF"/>
    <w:rsid w:val="009635FB"/>
    <w:rsid w:val="00966522"/>
    <w:rsid w:val="00981835"/>
    <w:rsid w:val="009818D9"/>
    <w:rsid w:val="009933AF"/>
    <w:rsid w:val="009B26E4"/>
    <w:rsid w:val="009C33E2"/>
    <w:rsid w:val="00A06E9A"/>
    <w:rsid w:val="00A23296"/>
    <w:rsid w:val="00A24351"/>
    <w:rsid w:val="00A272ED"/>
    <w:rsid w:val="00A44777"/>
    <w:rsid w:val="00A45E9E"/>
    <w:rsid w:val="00A519D6"/>
    <w:rsid w:val="00A53FFD"/>
    <w:rsid w:val="00A55916"/>
    <w:rsid w:val="00A564AC"/>
    <w:rsid w:val="00A663DE"/>
    <w:rsid w:val="00A67F59"/>
    <w:rsid w:val="00A70E04"/>
    <w:rsid w:val="00A74613"/>
    <w:rsid w:val="00A76C04"/>
    <w:rsid w:val="00A8438E"/>
    <w:rsid w:val="00A87E0C"/>
    <w:rsid w:val="00AA2EAC"/>
    <w:rsid w:val="00AA7FDC"/>
    <w:rsid w:val="00AB15A5"/>
    <w:rsid w:val="00AC2971"/>
    <w:rsid w:val="00AC42AE"/>
    <w:rsid w:val="00AD1124"/>
    <w:rsid w:val="00AD7BCE"/>
    <w:rsid w:val="00AF57A0"/>
    <w:rsid w:val="00B226A2"/>
    <w:rsid w:val="00B23075"/>
    <w:rsid w:val="00B23CD3"/>
    <w:rsid w:val="00B23D2F"/>
    <w:rsid w:val="00B34BB5"/>
    <w:rsid w:val="00B37A65"/>
    <w:rsid w:val="00B41B8D"/>
    <w:rsid w:val="00B43B0D"/>
    <w:rsid w:val="00B515A1"/>
    <w:rsid w:val="00B51DD9"/>
    <w:rsid w:val="00B53C5D"/>
    <w:rsid w:val="00B53D18"/>
    <w:rsid w:val="00B54377"/>
    <w:rsid w:val="00B85F7B"/>
    <w:rsid w:val="00BA29DF"/>
    <w:rsid w:val="00BD1528"/>
    <w:rsid w:val="00BD2CFB"/>
    <w:rsid w:val="00BD3DB0"/>
    <w:rsid w:val="00BE2D64"/>
    <w:rsid w:val="00C007D9"/>
    <w:rsid w:val="00C019A5"/>
    <w:rsid w:val="00C04157"/>
    <w:rsid w:val="00C100F0"/>
    <w:rsid w:val="00C214C6"/>
    <w:rsid w:val="00C21BDB"/>
    <w:rsid w:val="00C22725"/>
    <w:rsid w:val="00C27A39"/>
    <w:rsid w:val="00C46676"/>
    <w:rsid w:val="00C51863"/>
    <w:rsid w:val="00C56C71"/>
    <w:rsid w:val="00C63CA3"/>
    <w:rsid w:val="00C6469C"/>
    <w:rsid w:val="00C71F37"/>
    <w:rsid w:val="00C7640C"/>
    <w:rsid w:val="00C8306C"/>
    <w:rsid w:val="00C84975"/>
    <w:rsid w:val="00C93F14"/>
    <w:rsid w:val="00CA1440"/>
    <w:rsid w:val="00CA5ED3"/>
    <w:rsid w:val="00CB0DFF"/>
    <w:rsid w:val="00CB44EB"/>
    <w:rsid w:val="00CC00F8"/>
    <w:rsid w:val="00CD4A03"/>
    <w:rsid w:val="00CD7B0D"/>
    <w:rsid w:val="00CE0E5C"/>
    <w:rsid w:val="00CF3E2C"/>
    <w:rsid w:val="00D03B3B"/>
    <w:rsid w:val="00D13122"/>
    <w:rsid w:val="00D14784"/>
    <w:rsid w:val="00D160E6"/>
    <w:rsid w:val="00D21DC1"/>
    <w:rsid w:val="00D40AA4"/>
    <w:rsid w:val="00D46DAB"/>
    <w:rsid w:val="00D51A79"/>
    <w:rsid w:val="00D52161"/>
    <w:rsid w:val="00D52253"/>
    <w:rsid w:val="00D61A3C"/>
    <w:rsid w:val="00D651C2"/>
    <w:rsid w:val="00D77A43"/>
    <w:rsid w:val="00D80E5B"/>
    <w:rsid w:val="00D82FED"/>
    <w:rsid w:val="00DA0608"/>
    <w:rsid w:val="00DA6744"/>
    <w:rsid w:val="00DB0257"/>
    <w:rsid w:val="00DB2378"/>
    <w:rsid w:val="00DC13A2"/>
    <w:rsid w:val="00DC1BD8"/>
    <w:rsid w:val="00DC5E97"/>
    <w:rsid w:val="00DD45F8"/>
    <w:rsid w:val="00DD4AA6"/>
    <w:rsid w:val="00DE0994"/>
    <w:rsid w:val="00DE3A35"/>
    <w:rsid w:val="00E21197"/>
    <w:rsid w:val="00E220DC"/>
    <w:rsid w:val="00E2302B"/>
    <w:rsid w:val="00E40832"/>
    <w:rsid w:val="00E66A12"/>
    <w:rsid w:val="00E67445"/>
    <w:rsid w:val="00E71125"/>
    <w:rsid w:val="00E73181"/>
    <w:rsid w:val="00E830BD"/>
    <w:rsid w:val="00E839C7"/>
    <w:rsid w:val="00E84B4A"/>
    <w:rsid w:val="00E90CC2"/>
    <w:rsid w:val="00EB5F3F"/>
    <w:rsid w:val="00EB7327"/>
    <w:rsid w:val="00ED582E"/>
    <w:rsid w:val="00EE0E94"/>
    <w:rsid w:val="00EF0784"/>
    <w:rsid w:val="00EF3BD8"/>
    <w:rsid w:val="00F00A24"/>
    <w:rsid w:val="00F12659"/>
    <w:rsid w:val="00F13880"/>
    <w:rsid w:val="00F23F1E"/>
    <w:rsid w:val="00F30F87"/>
    <w:rsid w:val="00F36208"/>
    <w:rsid w:val="00F37E6A"/>
    <w:rsid w:val="00F41351"/>
    <w:rsid w:val="00F46DF9"/>
    <w:rsid w:val="00F6307E"/>
    <w:rsid w:val="00F6315C"/>
    <w:rsid w:val="00F66F22"/>
    <w:rsid w:val="00F74811"/>
    <w:rsid w:val="00F85616"/>
    <w:rsid w:val="00F87774"/>
    <w:rsid w:val="00FA15D7"/>
    <w:rsid w:val="00FA1A0A"/>
    <w:rsid w:val="00FA7DBE"/>
    <w:rsid w:val="00FB04BC"/>
    <w:rsid w:val="00FB278D"/>
    <w:rsid w:val="00FB4A0B"/>
    <w:rsid w:val="00FE156A"/>
    <w:rsid w:val="074736B2"/>
    <w:rsid w:val="08564CB9"/>
    <w:rsid w:val="097C50D3"/>
    <w:rsid w:val="11794E45"/>
    <w:rsid w:val="145F5484"/>
    <w:rsid w:val="17437452"/>
    <w:rsid w:val="1953423E"/>
    <w:rsid w:val="1A1B1B45"/>
    <w:rsid w:val="1A3F149C"/>
    <w:rsid w:val="1A841A62"/>
    <w:rsid w:val="1BFD79D9"/>
    <w:rsid w:val="1C8742AC"/>
    <w:rsid w:val="20492F33"/>
    <w:rsid w:val="28016C64"/>
    <w:rsid w:val="2870428B"/>
    <w:rsid w:val="2B0A4E4A"/>
    <w:rsid w:val="2B2C3BAF"/>
    <w:rsid w:val="2BBD5071"/>
    <w:rsid w:val="2E827D1A"/>
    <w:rsid w:val="2ED428ED"/>
    <w:rsid w:val="37A80527"/>
    <w:rsid w:val="39F77939"/>
    <w:rsid w:val="410602E5"/>
    <w:rsid w:val="433A7130"/>
    <w:rsid w:val="47056436"/>
    <w:rsid w:val="4BE34BD4"/>
    <w:rsid w:val="4D3D7D73"/>
    <w:rsid w:val="504D53D6"/>
    <w:rsid w:val="50B1156D"/>
    <w:rsid w:val="515C5C5D"/>
    <w:rsid w:val="55D83AA4"/>
    <w:rsid w:val="5B5C3245"/>
    <w:rsid w:val="5ED10132"/>
    <w:rsid w:val="65F17629"/>
    <w:rsid w:val="67EC2375"/>
    <w:rsid w:val="6A271A07"/>
    <w:rsid w:val="6B5B5012"/>
    <w:rsid w:val="6F6C0CDE"/>
    <w:rsid w:val="70F12FB1"/>
    <w:rsid w:val="71831C6A"/>
    <w:rsid w:val="78BD3492"/>
    <w:rsid w:val="78F56E92"/>
    <w:rsid w:val="7A281AB9"/>
    <w:rsid w:val="7D891BB1"/>
    <w:rsid w:val="7EE238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nhideWhenUsed="0" w:uiPriority="0" w:semiHidden="0" w:name="macro"/>
    <w:lsdException w:uiPriority="0" w:name="toa heading"/>
    <w:lsdException w:uiPriority="0" w:name="List"/>
    <w:lsdException w:unhideWhenUsed="0" w:uiPriority="0" w:semiHidden="0" w:name="List Bullet"/>
    <w:lsdException w:unhideWhenUsed="0" w:uiPriority="0" w:semiHidden="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qFormat="1" w:unhideWhenUsed="0" w:uiPriority="99" w:semiHidden="0" w:name="Body Text"/>
    <w:lsdException w:uiPriority="0" w:name="Body Text Indent"/>
    <w:lsdException w:uiPriority="0" w:name="List Continue"/>
    <w:lsdException w:uiPriority="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qFormat/>
    <w:uiPriority w:val="0"/>
    <w:pPr>
      <w:keepNext/>
      <w:keepLines/>
      <w:spacing w:before="100" w:beforeAutospacing="1" w:after="100" w:afterAutospacing="1"/>
      <w:outlineLvl w:val="0"/>
    </w:pPr>
    <w:rPr>
      <w:b/>
      <w:kern w:val="44"/>
      <w:sz w:val="24"/>
      <w:szCs w:val="20"/>
    </w:rPr>
  </w:style>
  <w:style w:type="paragraph" w:styleId="5">
    <w:name w:val="heading 2"/>
    <w:basedOn w:val="1"/>
    <w:next w:val="1"/>
    <w:qFormat/>
    <w:uiPriority w:val="0"/>
    <w:pPr>
      <w:keepNext/>
      <w:keepLines/>
      <w:spacing w:before="260" w:after="260" w:line="416" w:lineRule="auto"/>
      <w:outlineLvl w:val="1"/>
    </w:pPr>
    <w:rPr>
      <w:rFonts w:ascii="Cambria" w:hAnsi="Cambria"/>
      <w:b/>
      <w:bCs/>
      <w:kern w:val="0"/>
      <w:sz w:val="32"/>
      <w:szCs w:val="32"/>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2">
    <w:name w:val="Body Text"/>
    <w:basedOn w:val="3"/>
    <w:next w:val="3"/>
    <w:qFormat/>
    <w:uiPriority w:val="99"/>
    <w:rPr>
      <w:sz w:val="28"/>
    </w:rPr>
  </w:style>
  <w:style w:type="paragraph" w:styleId="3">
    <w:name w:val="Title"/>
    <w:basedOn w:val="1"/>
    <w:next w:val="1"/>
    <w:qFormat/>
    <w:uiPriority w:val="10"/>
    <w:pPr>
      <w:spacing w:before="240" w:after="60"/>
      <w:jc w:val="center"/>
      <w:outlineLvl w:val="0"/>
    </w:pPr>
    <w:rPr>
      <w:rFonts w:ascii="Cambria" w:hAnsi="Cambria" w:eastAsia="宋体" w:cs="Times New Roman"/>
      <w:b/>
      <w:bCs/>
      <w:sz w:val="32"/>
      <w:szCs w:val="32"/>
    </w:rPr>
  </w:style>
  <w:style w:type="paragraph" w:styleId="6">
    <w:name w:val="annotation text"/>
    <w:basedOn w:val="1"/>
    <w:link w:val="20"/>
    <w:qFormat/>
    <w:uiPriority w:val="0"/>
    <w:pPr>
      <w:jc w:val="left"/>
    </w:pPr>
  </w:style>
  <w:style w:type="paragraph" w:styleId="7">
    <w:name w:val="Balloon Text"/>
    <w:basedOn w:val="1"/>
    <w:link w:val="19"/>
    <w:qFormat/>
    <w:uiPriority w:val="0"/>
    <w:rPr>
      <w:sz w:val="18"/>
      <w:szCs w:val="18"/>
    </w:rPr>
  </w:style>
  <w:style w:type="paragraph" w:styleId="8">
    <w:name w:val="footer"/>
    <w:basedOn w:val="1"/>
    <w:link w:val="18"/>
    <w:qFormat/>
    <w:uiPriority w:val="0"/>
    <w:pPr>
      <w:tabs>
        <w:tab w:val="center" w:pos="4153"/>
        <w:tab w:val="right" w:pos="8306"/>
      </w:tabs>
      <w:snapToGrid w:val="0"/>
      <w:jc w:val="left"/>
    </w:pPr>
    <w:rPr>
      <w:sz w:val="18"/>
      <w:szCs w:val="18"/>
    </w:rPr>
  </w:style>
  <w:style w:type="paragraph" w:styleId="9">
    <w:name w:val="header"/>
    <w:basedOn w:val="1"/>
    <w:link w:val="17"/>
    <w:qFormat/>
    <w:uiPriority w:val="0"/>
    <w:pPr>
      <w:pBdr>
        <w:bottom w:val="single" w:color="auto" w:sz="6" w:space="1"/>
      </w:pBdr>
      <w:tabs>
        <w:tab w:val="center" w:pos="4153"/>
        <w:tab w:val="right" w:pos="8306"/>
      </w:tabs>
      <w:snapToGrid w:val="0"/>
      <w:jc w:val="center"/>
    </w:pPr>
    <w:rPr>
      <w:sz w:val="18"/>
      <w:szCs w:val="18"/>
    </w:rPr>
  </w:style>
  <w:style w:type="paragraph" w:styleId="10">
    <w:name w:val="annotation subject"/>
    <w:basedOn w:val="6"/>
    <w:next w:val="6"/>
    <w:link w:val="21"/>
    <w:qFormat/>
    <w:uiPriority w:val="0"/>
    <w:rPr>
      <w:b/>
      <w:bCs/>
    </w:rPr>
  </w:style>
  <w:style w:type="table" w:styleId="12">
    <w:name w:val="Table Grid"/>
    <w:basedOn w:val="11"/>
    <w:qFormat/>
    <w:uiPriority w:val="0"/>
    <w:pPr>
      <w:widowControl w:val="0"/>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tcBorders>
        <w:top w:val="single" w:color="auto" w:sz="4" w:space="0"/>
        <w:left w:val="single" w:color="auto" w:sz="4" w:space="0"/>
        <w:bottom w:val="single" w:color="auto" w:sz="4" w:space="0"/>
        <w:right w:val="single" w:color="auto" w:sz="4" w:space="0"/>
      </w:tcBorders>
    </w:tcPr>
  </w:style>
  <w:style w:type="character" w:styleId="14">
    <w:name w:val="Hyperlink"/>
    <w:basedOn w:val="13"/>
    <w:qFormat/>
    <w:uiPriority w:val="0"/>
    <w:rPr>
      <w:color w:val="0563C1" w:themeColor="hyperlink"/>
      <w:u w:val="single"/>
      <w14:textFill>
        <w14:solidFill>
          <w14:schemeClr w14:val="hlink"/>
        </w14:solidFill>
      </w14:textFill>
    </w:rPr>
  </w:style>
  <w:style w:type="character" w:styleId="15">
    <w:name w:val="annotation reference"/>
    <w:basedOn w:val="13"/>
    <w:qFormat/>
    <w:uiPriority w:val="0"/>
    <w:rPr>
      <w:sz w:val="21"/>
      <w:szCs w:val="21"/>
    </w:rPr>
  </w:style>
  <w:style w:type="paragraph" w:customStyle="1" w:styleId="16">
    <w:name w:val="二级标题"/>
    <w:basedOn w:val="5"/>
    <w:qFormat/>
    <w:uiPriority w:val="0"/>
    <w:pPr>
      <w:spacing w:before="120" w:after="120" w:line="240" w:lineRule="auto"/>
    </w:pPr>
    <w:rPr>
      <w:rFonts w:ascii="黑体" w:hAnsi="黑体" w:eastAsia="黑体"/>
      <w:b w:val="0"/>
      <w:sz w:val="28"/>
    </w:rPr>
  </w:style>
  <w:style w:type="character" w:customStyle="1" w:styleId="17">
    <w:name w:val="页眉 字符"/>
    <w:basedOn w:val="13"/>
    <w:link w:val="9"/>
    <w:qFormat/>
    <w:uiPriority w:val="0"/>
    <w:rPr>
      <w:rFonts w:asciiTheme="minorHAnsi" w:hAnsiTheme="minorHAnsi" w:eastAsiaTheme="minorEastAsia" w:cstheme="minorBidi"/>
      <w:kern w:val="2"/>
      <w:sz w:val="18"/>
      <w:szCs w:val="18"/>
    </w:rPr>
  </w:style>
  <w:style w:type="character" w:customStyle="1" w:styleId="18">
    <w:name w:val="页脚 字符"/>
    <w:basedOn w:val="13"/>
    <w:link w:val="8"/>
    <w:qFormat/>
    <w:uiPriority w:val="0"/>
    <w:rPr>
      <w:rFonts w:asciiTheme="minorHAnsi" w:hAnsiTheme="minorHAnsi" w:eastAsiaTheme="minorEastAsia" w:cstheme="minorBidi"/>
      <w:kern w:val="2"/>
      <w:sz w:val="18"/>
      <w:szCs w:val="18"/>
    </w:rPr>
  </w:style>
  <w:style w:type="character" w:customStyle="1" w:styleId="19">
    <w:name w:val="批注框文本 字符"/>
    <w:basedOn w:val="13"/>
    <w:link w:val="7"/>
    <w:qFormat/>
    <w:uiPriority w:val="0"/>
    <w:rPr>
      <w:rFonts w:asciiTheme="minorHAnsi" w:hAnsiTheme="minorHAnsi" w:eastAsiaTheme="minorEastAsia" w:cstheme="minorBidi"/>
      <w:kern w:val="2"/>
      <w:sz w:val="18"/>
      <w:szCs w:val="18"/>
    </w:rPr>
  </w:style>
  <w:style w:type="character" w:customStyle="1" w:styleId="20">
    <w:name w:val="批注文字 字符"/>
    <w:basedOn w:val="13"/>
    <w:link w:val="6"/>
    <w:qFormat/>
    <w:uiPriority w:val="0"/>
    <w:rPr>
      <w:rFonts w:asciiTheme="minorHAnsi" w:hAnsiTheme="minorHAnsi" w:eastAsiaTheme="minorEastAsia" w:cstheme="minorBidi"/>
      <w:kern w:val="2"/>
      <w:sz w:val="21"/>
      <w:szCs w:val="24"/>
    </w:rPr>
  </w:style>
  <w:style w:type="character" w:customStyle="1" w:styleId="21">
    <w:name w:val="批注主题 字符"/>
    <w:basedOn w:val="20"/>
    <w:link w:val="10"/>
    <w:qFormat/>
    <w:uiPriority w:val="0"/>
    <w:rPr>
      <w:rFonts w:asciiTheme="minorHAnsi" w:hAnsiTheme="minorHAnsi" w:eastAsiaTheme="minorEastAsia" w:cstheme="minorBidi"/>
      <w:b/>
      <w:bCs/>
      <w:kern w:val="2"/>
      <w:sz w:val="21"/>
      <w:szCs w:val="24"/>
    </w:rPr>
  </w:style>
  <w:style w:type="character" w:customStyle="1" w:styleId="22">
    <w:name w:val="未处理的提及1"/>
    <w:basedOn w:val="13"/>
    <w:semiHidden/>
    <w:unhideWhenUsed/>
    <w:qFormat/>
    <w:uiPriority w:val="99"/>
    <w:rPr>
      <w:color w:val="605E5C"/>
      <w:shd w:val="clear" w:color="auto" w:fill="E1DFDD"/>
    </w:rPr>
  </w:style>
  <w:style w:type="paragraph" w:customStyle="1" w:styleId="23">
    <w:name w:val="段"/>
    <w:qFormat/>
    <w:uiPriority w:val="0"/>
    <w:pPr>
      <w:jc w:val="center"/>
    </w:pPr>
    <w:rPr>
      <w:rFonts w:ascii="宋体" w:hAnsi="Times New Roman" w:eastAsia="仿宋_GB2312" w:cs="Times New Roman"/>
      <w:sz w:val="32"/>
      <w:lang w:val="en-US" w:eastAsia="zh-CN" w:bidi="ar-SA"/>
    </w:rPr>
  </w:style>
  <w:style w:type="paragraph" w:customStyle="1" w:styleId="24">
    <w:name w:val="修订1"/>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5">
    <w:name w:val="Revision"/>
    <w:hidden/>
    <w:semiHidden/>
    <w:qFormat/>
    <w:uiPriority w:val="99"/>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54B9B9D-007E-4BD6-AD53-85D4FB7B93BA}">
  <ds:schemaRefs/>
</ds:datastoreItem>
</file>

<file path=docProps/app.xml><?xml version="1.0" encoding="utf-8"?>
<Properties xmlns="http://schemas.openxmlformats.org/officeDocument/2006/extended-properties" xmlns:vt="http://schemas.openxmlformats.org/officeDocument/2006/docPropsVTypes">
  <Template>Normal</Template>
  <Pages>2</Pages>
  <Words>119</Words>
  <Characters>683</Characters>
  <Lines>5</Lines>
  <Paragraphs>1</Paragraphs>
  <TotalTime>0</TotalTime>
  <ScaleCrop>false</ScaleCrop>
  <LinksUpToDate>false</LinksUpToDate>
  <CharactersWithSpaces>801</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2020-04-27T09:17:00Z</dcterms:created>
  <dc:creator>胡珊珊</dc:creator>
  <cp:lastModifiedBy>liukai3</cp:lastModifiedBy>
  <dcterms:modified xsi:type="dcterms:W3CDTF">2023-07-30T13:53:28Z</dcterms:modified>
  <cp:revision>301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4DEE05E98FB84905B617989C98E30CC7</vt:lpwstr>
  </property>
</Properties>
</file>