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新宋体" w:hAnsi="新宋体" w:eastAsia="新宋体" w:cs="新宋体"/>
          <w:sz w:val="28"/>
          <w:szCs w:val="28"/>
          <w:lang w:val="en-US" w:eastAsia="zh-CN"/>
        </w:rPr>
      </w:pPr>
      <w:bookmarkStart w:id="0" w:name="_GoBack"/>
      <w:r>
        <w:rPr>
          <w:rFonts w:hint="eastAsia" w:ascii="新宋体" w:hAnsi="新宋体" w:eastAsia="新宋体" w:cs="新宋体"/>
          <w:sz w:val="28"/>
          <w:szCs w:val="28"/>
          <w:lang w:val="en-US" w:eastAsia="zh-CN"/>
        </w:rPr>
        <w:t>南方电网互联网服务有限公司数据赋能平台技术服务项目技术评审条款</w:t>
      </w:r>
    </w:p>
    <w:bookmarkEnd w:id="0"/>
    <w:p>
      <w:pPr>
        <w:spacing w:beforeLines="0" w:afterLines="0"/>
        <w:ind w:left="170" w:firstLine="560" w:firstLineChars="200"/>
        <w:rPr>
          <w:rFonts w:hint="default" w:ascii="新宋体" w:hAnsi="新宋体" w:eastAsia="新宋体" w:cs="新宋体"/>
          <w:sz w:val="28"/>
          <w:szCs w:val="28"/>
          <w:lang w:val="en-US" w:eastAsia="zh-CN"/>
        </w:rPr>
      </w:pPr>
      <w:r>
        <w:rPr>
          <w:rFonts w:hint="eastAsia" w:ascii="新宋体" w:hAnsi="新宋体" w:eastAsia="新宋体" w:cs="新宋体"/>
          <w:sz w:val="28"/>
          <w:szCs w:val="28"/>
          <w:lang w:val="en-US" w:eastAsia="zh-CN"/>
        </w:rPr>
        <w:t>一、技术评审要求中平台能力项原内容：</w:t>
      </w:r>
    </w:p>
    <w:tbl>
      <w:tblPr>
        <w:tblStyle w:val="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0"/>
        <w:gridCol w:w="1052"/>
        <w:gridCol w:w="1579"/>
        <w:gridCol w:w="4209"/>
        <w:gridCol w:w="10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5"/>
            <w:vAlign w:val="center"/>
          </w:tcPr>
          <w:p>
            <w:pPr>
              <w:spacing w:line="400" w:lineRule="exact"/>
            </w:pPr>
            <w:r>
              <w:rPr>
                <w:b/>
              </w:rPr>
              <w:t>适用标包：</w:t>
            </w:r>
            <w:r>
              <w:rPr>
                <w:rFonts w:hint="eastAsia"/>
                <w:b/>
              </w:rPr>
              <w:t>南方电网互联网服务有限公司数据赋能平台技术服务项目</w:t>
            </w:r>
            <w:r>
              <w:rPr>
                <w:b/>
              </w:rPr>
              <w:t>[</w:t>
            </w:r>
            <w:r>
              <w:rPr>
                <w:rFonts w:hint="eastAsia"/>
                <w:b/>
              </w:rPr>
              <w:t>南方电网互联网服务有限公司数据赋能平台技术服务项目</w:t>
            </w:r>
            <w:r>
              <w:rPr>
                <w:b/>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22" w:type="dxa"/>
            <w:gridSpan w:val="5"/>
          </w:tcPr>
          <w:p>
            <w:pPr>
              <w:spacing w:line="400" w:lineRule="exact"/>
            </w:pPr>
            <w:r>
              <w:rPr>
                <w:b/>
              </w:rPr>
              <w:t>（二）、技术评审（100）分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30" w:type="dxa"/>
            <w:vAlign w:val="center"/>
          </w:tcPr>
          <w:p>
            <w:pPr>
              <w:spacing w:line="400" w:lineRule="exact"/>
              <w:jc w:val="center"/>
            </w:pPr>
            <w:r>
              <w:rPr>
                <w:b/>
              </w:rPr>
              <w:t>序号</w:t>
            </w:r>
          </w:p>
        </w:tc>
        <w:tc>
          <w:tcPr>
            <w:tcW w:w="1052" w:type="dxa"/>
            <w:vAlign w:val="center"/>
          </w:tcPr>
          <w:p>
            <w:pPr>
              <w:spacing w:line="400" w:lineRule="exact"/>
              <w:jc w:val="center"/>
            </w:pPr>
            <w:r>
              <w:rPr>
                <w:b/>
              </w:rPr>
              <w:t>评分因素</w:t>
            </w:r>
          </w:p>
        </w:tc>
        <w:tc>
          <w:tcPr>
            <w:tcW w:w="1579" w:type="dxa"/>
            <w:vAlign w:val="center"/>
          </w:tcPr>
          <w:p>
            <w:pPr>
              <w:spacing w:line="400" w:lineRule="exact"/>
              <w:jc w:val="center"/>
            </w:pPr>
            <w:r>
              <w:rPr>
                <w:b/>
              </w:rPr>
              <w:t>详细评审项</w:t>
            </w:r>
          </w:p>
        </w:tc>
        <w:tc>
          <w:tcPr>
            <w:tcW w:w="4209" w:type="dxa"/>
            <w:vAlign w:val="center"/>
          </w:tcPr>
          <w:p>
            <w:pPr>
              <w:spacing w:line="400" w:lineRule="exact"/>
              <w:jc w:val="center"/>
            </w:pPr>
            <w:r>
              <w:rPr>
                <w:b/>
              </w:rPr>
              <w:t>详细评审分项要素</w:t>
            </w:r>
          </w:p>
        </w:tc>
        <w:tc>
          <w:tcPr>
            <w:tcW w:w="1052" w:type="dxa"/>
            <w:vAlign w:val="center"/>
          </w:tcPr>
          <w:p>
            <w:pPr>
              <w:spacing w:line="400" w:lineRule="exact"/>
              <w:jc w:val="center"/>
            </w:pPr>
            <w:r>
              <w:rPr>
                <w:b/>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0" w:type="dxa"/>
            <w:vAlign w:val="center"/>
          </w:tcPr>
          <w:p>
            <w:pPr>
              <w:spacing w:line="400" w:lineRule="exact"/>
              <w:jc w:val="center"/>
              <w:rPr>
                <w:rFonts w:hint="eastAsia" w:eastAsiaTheme="minorEastAsia"/>
                <w:lang w:eastAsia="zh-CN"/>
              </w:rPr>
            </w:pPr>
            <w:r>
              <w:rPr>
                <w:rFonts w:hint="eastAsia"/>
                <w:lang w:val="en-US" w:eastAsia="zh-CN"/>
              </w:rPr>
              <w:t>2</w:t>
            </w:r>
          </w:p>
        </w:tc>
        <w:tc>
          <w:tcPr>
            <w:tcW w:w="1052" w:type="dxa"/>
            <w:vAlign w:val="center"/>
          </w:tcPr>
          <w:p>
            <w:pPr>
              <w:spacing w:line="360" w:lineRule="auto"/>
              <w:jc w:val="center"/>
            </w:pPr>
            <w:r>
              <w:rPr>
                <w:rFonts w:hint="eastAsia"/>
                <w:lang w:val="en-US" w:eastAsia="zh-CN"/>
              </w:rPr>
              <w:t>平台能力</w:t>
            </w:r>
          </w:p>
        </w:tc>
        <w:tc>
          <w:tcPr>
            <w:tcW w:w="1579" w:type="dxa"/>
            <w:vAlign w:val="center"/>
          </w:tcPr>
          <w:p>
            <w:pPr>
              <w:pStyle w:val="4"/>
              <w:spacing w:line="360" w:lineRule="auto"/>
              <w:jc w:val="center"/>
              <w:rPr>
                <w:sz w:val="21"/>
                <w:szCs w:val="21"/>
              </w:rPr>
            </w:pPr>
            <w:r>
              <w:rPr>
                <w:rFonts w:hint="eastAsia" w:ascii="Dialog" w:hAnsi="Dialog"/>
                <w:sz w:val="21"/>
                <w:szCs w:val="21"/>
                <w:highlight w:val="none"/>
                <w:lang w:val="en-US" w:eastAsia="zh-CN"/>
              </w:rPr>
              <w:t>具体功能点（基础能力）</w:t>
            </w:r>
          </w:p>
        </w:tc>
        <w:tc>
          <w:tcPr>
            <w:tcW w:w="4209" w:type="dxa"/>
            <w:vAlign w:val="center"/>
          </w:tcPr>
          <w:p>
            <w:pPr>
              <w:numPr>
                <w:ilvl w:val="0"/>
                <w:numId w:val="0"/>
              </w:numPr>
              <w:spacing w:line="360" w:lineRule="auto"/>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针对承载数据治理服务能力的平台，需具备以下非功能性能力：</w:t>
            </w:r>
          </w:p>
          <w:p>
            <w:pPr>
              <w:numPr>
                <w:ilvl w:val="0"/>
                <w:numId w:val="0"/>
              </w:numPr>
              <w:spacing w:line="360" w:lineRule="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★1）可扩展性方面，要求平台支持水平扩展集群规模，通过支持机器节点的方式实现数据计算和存储能力的扩展；</w:t>
            </w:r>
          </w:p>
          <w:p>
            <w:pPr>
              <w:numPr>
                <w:ilvl w:val="0"/>
                <w:numId w:val="0"/>
              </w:numPr>
              <w:spacing w:line="360" w:lineRule="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★2）开放性方面，要求平台基于开源Hadoop生态，平台组件保持跟开源社区同步，持续迭代并保证平台的开放性和持续演进；</w:t>
            </w:r>
          </w:p>
          <w:p>
            <w:pPr>
              <w:numPr>
                <w:ilvl w:val="0"/>
                <w:numId w:val="0"/>
              </w:numPr>
              <w:spacing w:line="360" w:lineRule="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★3）安全性方面，平台支持私有化部署，支持基于角色的权限管理体系，支持基于基于Kerbors协议的身份认证、授权机制，提供审计功能；</w:t>
            </w:r>
          </w:p>
          <w:p>
            <w:pPr>
              <w:numPr>
                <w:ilvl w:val="0"/>
                <w:numId w:val="0"/>
              </w:numPr>
              <w:spacing w:line="360" w:lineRule="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★4）可靠性方面，要求中各组件均采用高可用架构，保证单节点故障不影响组件的整体运行；</w:t>
            </w:r>
          </w:p>
          <w:p>
            <w:pPr>
              <w:numPr>
                <w:ilvl w:val="0"/>
                <w:numId w:val="0"/>
              </w:numPr>
              <w:spacing w:line="360" w:lineRule="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★5）易用性方面，支持敏捷开发、敏捷运维；</w:t>
            </w:r>
          </w:p>
          <w:p>
            <w:pPr>
              <w:numPr>
                <w:ilvl w:val="0"/>
                <w:numId w:val="0"/>
              </w:numPr>
              <w:spacing w:line="360" w:lineRule="auto"/>
              <w:rPr>
                <w:rFonts w:hint="eastAsia" w:asciiTheme="minorEastAsia" w:hAnsiTheme="minorEastAsia" w:eastAsiaTheme="minorEastAsia" w:cstheme="minorEastAsia"/>
                <w:b w:val="0"/>
                <w:bCs w:val="0"/>
                <w:sz w:val="21"/>
                <w:szCs w:val="21"/>
                <w:highlight w:val="none"/>
                <w:lang w:val="en-US" w:eastAsia="zh-CN"/>
              </w:rPr>
            </w:pPr>
            <w:r>
              <w:rPr>
                <w:rFonts w:hint="eastAsia" w:asciiTheme="minorEastAsia" w:hAnsiTheme="minorEastAsia" w:eastAsiaTheme="minorEastAsia" w:cstheme="minorEastAsia"/>
                <w:b w:val="0"/>
                <w:bCs w:val="0"/>
                <w:sz w:val="21"/>
                <w:szCs w:val="21"/>
                <w:highlight w:val="none"/>
                <w:lang w:val="en-US" w:eastAsia="zh-CN"/>
              </w:rPr>
              <w:t>每个功能点</w:t>
            </w:r>
            <w:r>
              <w:rPr>
                <w:rFonts w:hint="eastAsia" w:asciiTheme="minorEastAsia" w:hAnsiTheme="minorEastAsia" w:cstheme="minorEastAsia"/>
                <w:b w:val="0"/>
                <w:bCs w:val="0"/>
                <w:sz w:val="21"/>
                <w:szCs w:val="21"/>
                <w:highlight w:val="none"/>
                <w:lang w:val="en-US" w:eastAsia="zh-CN"/>
              </w:rPr>
              <w:t>1</w:t>
            </w:r>
            <w:r>
              <w:rPr>
                <w:rFonts w:hint="eastAsia" w:asciiTheme="minorEastAsia" w:hAnsiTheme="minorEastAsia" w:eastAsiaTheme="minorEastAsia" w:cstheme="minorEastAsia"/>
                <w:b w:val="0"/>
                <w:bCs w:val="0"/>
                <w:sz w:val="21"/>
                <w:szCs w:val="21"/>
                <w:highlight w:val="none"/>
                <w:lang w:val="en-US" w:eastAsia="zh-CN"/>
              </w:rPr>
              <w:t>分，</w:t>
            </w:r>
            <w:r>
              <w:rPr>
                <w:rFonts w:hint="eastAsia" w:asciiTheme="minorEastAsia" w:hAnsiTheme="minorEastAsia" w:cstheme="minorEastAsia"/>
                <w:b w:val="0"/>
                <w:bCs w:val="0"/>
                <w:sz w:val="21"/>
                <w:szCs w:val="21"/>
                <w:highlight w:val="none"/>
                <w:lang w:val="en-US" w:eastAsia="zh-CN"/>
              </w:rPr>
              <w:t>全部细项都满足得1分，存在基本满足的细项得0.5分，存在不满足的细项得0分</w:t>
            </w:r>
            <w:r>
              <w:rPr>
                <w:rFonts w:hint="eastAsia" w:asciiTheme="minorEastAsia" w:hAnsiTheme="minorEastAsia" w:eastAsiaTheme="minorEastAsia" w:cstheme="minorEastAsia"/>
                <w:b w:val="0"/>
                <w:bCs w:val="0"/>
                <w:sz w:val="21"/>
                <w:szCs w:val="21"/>
                <w:highlight w:val="none"/>
                <w:lang w:val="en-US" w:eastAsia="zh-CN"/>
              </w:rPr>
              <w:t>。</w:t>
            </w:r>
          </w:p>
          <w:p>
            <w:pPr>
              <w:numPr>
                <w:ilvl w:val="0"/>
                <w:numId w:val="0"/>
              </w:numPr>
              <w:spacing w:line="360" w:lineRule="auto"/>
              <w:ind w:left="0" w:leftChars="0" w:firstLine="0" w:firstLineChars="0"/>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注：（详见技术规范书3.1.2.应用功能）上述基础能力点需应答满足或基本满足且有详细的说明方可得分，若不满足、或应答满足但功能模块说明不详细、无提供功能对应系统页面截图或证明材料则不得分，同时“★”要求的关键模块为必须响应功能，必须满足或基本满足，否则此详细评审项不得分。</w:t>
            </w:r>
          </w:p>
          <w:p>
            <w:pPr>
              <w:numPr>
                <w:ilvl w:val="0"/>
                <w:numId w:val="0"/>
              </w:numPr>
              <w:spacing w:line="360" w:lineRule="auto"/>
              <w:ind w:left="0" w:leftChars="0" w:firstLine="0" w:firstLineChars="0"/>
              <w:rPr>
                <w:sz w:val="21"/>
                <w:szCs w:val="21"/>
              </w:rPr>
            </w:pPr>
            <w:r>
              <w:rPr>
                <w:rFonts w:hint="eastAsia" w:ascii="宋体" w:hAnsi="宋体" w:cs="宋体"/>
                <w:sz w:val="21"/>
                <w:szCs w:val="21"/>
                <w:highlight w:val="none"/>
                <w:lang w:val="en-US" w:eastAsia="zh-CN"/>
              </w:rPr>
              <w:t>说明：以投标时提供的对应产品POC测试结果表为准，未提供的该项不得分。具体送检及测试要求详见技术规范书。</w:t>
            </w:r>
          </w:p>
        </w:tc>
        <w:tc>
          <w:tcPr>
            <w:tcW w:w="1052" w:type="dxa"/>
            <w:vAlign w:val="center"/>
          </w:tcPr>
          <w:p>
            <w:pPr>
              <w:pStyle w:val="4"/>
              <w:spacing w:line="360" w:lineRule="auto"/>
              <w:ind w:right="0" w:rightChars="0"/>
              <w:jc w:val="center"/>
              <w:rPr>
                <w:sz w:val="21"/>
                <w:szCs w:val="21"/>
              </w:rPr>
            </w:pPr>
            <w:r>
              <w:rPr>
                <w:rFonts w:hint="eastAsia" w:ascii="宋体" w:hAnsi="宋体" w:cs="宋体"/>
                <w:color w:val="000000" w:themeColor="text1"/>
                <w:sz w:val="21"/>
                <w:szCs w:val="21"/>
                <w:highlight w:val="none"/>
                <w:lang w:val="en-US" w:eastAsia="zh-CN"/>
                <w14:textFill>
                  <w14:solidFill>
                    <w14:schemeClr w14:val="tx1"/>
                  </w14:solidFill>
                </w14:textFill>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0" w:type="dxa"/>
            <w:vAlign w:val="center"/>
          </w:tcPr>
          <w:p>
            <w:pPr>
              <w:spacing w:line="400" w:lineRule="exact"/>
              <w:jc w:val="center"/>
              <w:rPr>
                <w:rFonts w:hint="eastAsia" w:eastAsiaTheme="minorEastAsia"/>
                <w:lang w:val="en-US" w:eastAsia="zh-CN"/>
              </w:rPr>
            </w:pPr>
            <w:r>
              <w:rPr>
                <w:rFonts w:hint="eastAsia"/>
                <w:lang w:val="en-US" w:eastAsia="zh-CN"/>
              </w:rPr>
              <w:t>3</w:t>
            </w:r>
          </w:p>
        </w:tc>
        <w:tc>
          <w:tcPr>
            <w:tcW w:w="1052" w:type="dxa"/>
            <w:vAlign w:val="center"/>
          </w:tcPr>
          <w:p>
            <w:pPr>
              <w:spacing w:line="360" w:lineRule="auto"/>
              <w:jc w:val="center"/>
            </w:pPr>
            <w:r>
              <w:rPr>
                <w:rFonts w:hint="eastAsia"/>
                <w:lang w:val="en-US" w:eastAsia="zh-CN"/>
              </w:rPr>
              <w:t>平台能力</w:t>
            </w:r>
          </w:p>
        </w:tc>
        <w:tc>
          <w:tcPr>
            <w:tcW w:w="1579" w:type="dxa"/>
            <w:vAlign w:val="center"/>
          </w:tcPr>
          <w:p>
            <w:pPr>
              <w:pStyle w:val="4"/>
              <w:spacing w:line="360" w:lineRule="auto"/>
              <w:jc w:val="center"/>
              <w:rPr>
                <w:rFonts w:hint="eastAsia" w:ascii="Dialog" w:hAnsi="Dialog"/>
                <w:sz w:val="21"/>
                <w:szCs w:val="21"/>
                <w:highlight w:val="none"/>
              </w:rPr>
            </w:pPr>
            <w:r>
              <w:rPr>
                <w:rFonts w:hint="eastAsia" w:ascii="Dialog" w:hAnsi="Dialog"/>
                <w:sz w:val="21"/>
                <w:szCs w:val="21"/>
                <w:highlight w:val="none"/>
                <w:lang w:val="en-US" w:eastAsia="zh-CN"/>
              </w:rPr>
              <w:t>具体功能点（数据治理能力）</w:t>
            </w:r>
          </w:p>
        </w:tc>
        <w:tc>
          <w:tcPr>
            <w:tcW w:w="4209" w:type="dxa"/>
            <w:vAlign w:val="center"/>
          </w:tcPr>
          <w:p>
            <w:pPr>
              <w:numPr>
                <w:ilvl w:val="0"/>
                <w:numId w:val="0"/>
              </w:numPr>
              <w:spacing w:line="360" w:lineRule="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★1）分布式计算，支持多租户隔离，支持Spark数据安全，支持Impala进行OLAP计算；</w:t>
            </w:r>
          </w:p>
          <w:p>
            <w:pPr>
              <w:numPr>
                <w:ilvl w:val="0"/>
                <w:numId w:val="0"/>
              </w:numPr>
              <w:spacing w:line="360" w:lineRule="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★2）分布式存储，支持数据逻辑删除，支持HDFS存储数据统计；</w:t>
            </w:r>
          </w:p>
          <w:p>
            <w:pPr>
              <w:numPr>
                <w:ilvl w:val="0"/>
                <w:numId w:val="0"/>
              </w:numPr>
              <w:spacing w:line="360" w:lineRule="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★3）多集群部署，满足跨物理集群的部署和管理；</w:t>
            </w:r>
          </w:p>
          <w:p>
            <w:pPr>
              <w:numPr>
                <w:ilvl w:val="0"/>
                <w:numId w:val="0"/>
              </w:numPr>
              <w:spacing w:line="360" w:lineRule="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4）监控管理，提供产品及集群多种性能指标的监控看板，及自定义规则设置；</w:t>
            </w:r>
          </w:p>
          <w:p>
            <w:pPr>
              <w:numPr>
                <w:ilvl w:val="0"/>
                <w:numId w:val="0"/>
              </w:numPr>
              <w:spacing w:line="360" w:lineRule="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★5）权限管理，具备“用户-角色-权限”的权限管理体系，可进行细颗粒度的数据权限、功能权限配置；</w:t>
            </w:r>
          </w:p>
          <w:p>
            <w:pPr>
              <w:numPr>
                <w:ilvl w:val="0"/>
                <w:numId w:val="0"/>
              </w:numPr>
              <w:spacing w:line="360" w:lineRule="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★6）数据源管理，平台支持多种数据源，形式不限于批或流的方式；</w:t>
            </w:r>
          </w:p>
          <w:p>
            <w:pPr>
              <w:numPr>
                <w:ilvl w:val="0"/>
                <w:numId w:val="0"/>
              </w:numPr>
              <w:spacing w:line="360" w:lineRule="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★7）数据集成，支持批量数据同步、实时同步，支持通过向导方式快速进行数据传输任务开发，并可配置过滤条件、重试次数、切分键；</w:t>
            </w:r>
          </w:p>
          <w:p>
            <w:pPr>
              <w:numPr>
                <w:ilvl w:val="0"/>
                <w:numId w:val="0"/>
              </w:numPr>
              <w:spacing w:line="360" w:lineRule="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★8）数据入湖，支持逻辑入湖和物理入湖的两种入湖方式，支持冷、热存储，支持结构化/半结构化/非结构化数据存储；</w:t>
            </w:r>
          </w:p>
          <w:p>
            <w:pPr>
              <w:numPr>
                <w:ilvl w:val="0"/>
                <w:numId w:val="0"/>
              </w:numPr>
              <w:spacing w:line="360" w:lineRule="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9）数仓规范设计，支持数仓规划、主题域的配置和管理，支持表分层管理，支持数据建模引用数据标准，进行模型设计；</w:t>
            </w:r>
          </w:p>
          <w:p>
            <w:pPr>
              <w:numPr>
                <w:ilvl w:val="0"/>
                <w:numId w:val="0"/>
              </w:numPr>
              <w:spacing w:line="360" w:lineRule="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10）任务开发与调度，支持通过可视化的方式进行数据开发，支持开发模式和生产模式的物理集群隔离，保证数据安全，支持告警组设置；</w:t>
            </w:r>
          </w:p>
          <w:p>
            <w:pPr>
              <w:numPr>
                <w:ilvl w:val="0"/>
                <w:numId w:val="0"/>
              </w:numPr>
              <w:spacing w:line="360" w:lineRule="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11）即席查询，支持可视化交互查询，支持查询日志的可视化显示；</w:t>
            </w:r>
          </w:p>
          <w:p>
            <w:pPr>
              <w:numPr>
                <w:ilvl w:val="0"/>
                <w:numId w:val="0"/>
              </w:numPr>
              <w:spacing w:line="360" w:lineRule="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12）指标管理，支持指标基础信息管理，支持指标生命周期管理；</w:t>
            </w:r>
          </w:p>
          <w:p>
            <w:pPr>
              <w:numPr>
                <w:ilvl w:val="0"/>
                <w:numId w:val="0"/>
              </w:numPr>
              <w:spacing w:line="360" w:lineRule="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13）标签管理，支持多种标签开发方式，具备构建业务标签模型方式方法，支持查询标签资产；</w:t>
            </w:r>
          </w:p>
          <w:p>
            <w:pPr>
              <w:numPr>
                <w:ilvl w:val="0"/>
                <w:numId w:val="0"/>
              </w:numPr>
              <w:spacing w:line="360" w:lineRule="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★14）数据服务，支持通过向导模式和脚本模式生成API，支持API管理，数据服务引擎支持MPP数据集市；</w:t>
            </w:r>
          </w:p>
          <w:p>
            <w:pPr>
              <w:numPr>
                <w:ilvl w:val="0"/>
                <w:numId w:val="0"/>
              </w:numPr>
              <w:spacing w:line="360" w:lineRule="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★15）元数据管理，支持从物理视图（数据库角度）展示项目内和项目外的表的基础信息，支持跳转到数据地图产品查看更多表的详细信息；</w:t>
            </w:r>
          </w:p>
          <w:p>
            <w:pPr>
              <w:numPr>
                <w:ilvl w:val="0"/>
                <w:numId w:val="0"/>
              </w:numPr>
              <w:spacing w:line="360" w:lineRule="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16）任务运维，支持通过运维概览页面查看整个项目运维情况，支持周期实例和补数据实例，支持对失败任务的重跑；</w:t>
            </w:r>
          </w:p>
          <w:p>
            <w:pPr>
              <w:numPr>
                <w:ilvl w:val="0"/>
                <w:numId w:val="0"/>
              </w:numPr>
              <w:spacing w:line="360" w:lineRule="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17）数据质量，质量监控规则支持字段级和表级的模板规则，支持配置数据质量的强弱规则，依托离线开发任务，支持任务监控报警，支持质量异常和检测失败报警，支持邮件、短信等多种通知方式；</w:t>
            </w:r>
          </w:p>
          <w:p>
            <w:pPr>
              <w:numPr>
                <w:ilvl w:val="0"/>
                <w:numId w:val="0"/>
              </w:numPr>
              <w:spacing w:line="360" w:lineRule="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18）数据安全，支持数据保护，可进行数据安全等级分类、数据敏感类型管理，支持数据敏感识别，支持HDFS透明存储加密、加密函数管理&amp;应用；</w:t>
            </w:r>
          </w:p>
          <w:p>
            <w:pPr>
              <w:numPr>
                <w:ilvl w:val="0"/>
                <w:numId w:val="0"/>
              </w:numPr>
              <w:spacing w:line="360" w:lineRule="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★19）工单系统响应，具备规范的工单响应机制；</w:t>
            </w:r>
          </w:p>
          <w:p>
            <w:pPr>
              <w:numPr>
                <w:ilvl w:val="0"/>
                <w:numId w:val="0"/>
              </w:numPr>
              <w:spacing w:line="360" w:lineRule="auto"/>
              <w:rPr>
                <w:rFonts w:hint="eastAsia" w:asciiTheme="minorEastAsia" w:hAnsiTheme="minorEastAsia" w:eastAsiaTheme="minorEastAsia" w:cstheme="minorEastAsia"/>
                <w:b w:val="0"/>
                <w:bCs w:val="0"/>
                <w:sz w:val="21"/>
                <w:szCs w:val="21"/>
                <w:highlight w:val="none"/>
                <w:lang w:val="en-US" w:eastAsia="zh-CN"/>
              </w:rPr>
            </w:pPr>
            <w:r>
              <w:rPr>
                <w:rFonts w:hint="eastAsia" w:asciiTheme="minorEastAsia" w:hAnsiTheme="minorEastAsia" w:eastAsiaTheme="minorEastAsia" w:cstheme="minorEastAsia"/>
                <w:b w:val="0"/>
                <w:bCs w:val="0"/>
                <w:sz w:val="21"/>
                <w:szCs w:val="21"/>
                <w:highlight w:val="none"/>
                <w:lang w:val="en-US" w:eastAsia="zh-CN"/>
              </w:rPr>
              <w:t>每个功能点</w:t>
            </w:r>
            <w:r>
              <w:rPr>
                <w:rFonts w:hint="eastAsia" w:asciiTheme="minorEastAsia" w:hAnsiTheme="minorEastAsia" w:cstheme="minorEastAsia"/>
                <w:b w:val="0"/>
                <w:bCs w:val="0"/>
                <w:sz w:val="21"/>
                <w:szCs w:val="21"/>
                <w:highlight w:val="none"/>
                <w:lang w:val="en-US" w:eastAsia="zh-CN"/>
              </w:rPr>
              <w:t>2</w:t>
            </w:r>
            <w:r>
              <w:rPr>
                <w:rFonts w:hint="eastAsia" w:asciiTheme="minorEastAsia" w:hAnsiTheme="minorEastAsia" w:eastAsiaTheme="minorEastAsia" w:cstheme="minorEastAsia"/>
                <w:b w:val="0"/>
                <w:bCs w:val="0"/>
                <w:sz w:val="21"/>
                <w:szCs w:val="21"/>
                <w:highlight w:val="none"/>
                <w:lang w:val="en-US" w:eastAsia="zh-CN"/>
              </w:rPr>
              <w:t>分，</w:t>
            </w:r>
            <w:r>
              <w:rPr>
                <w:rFonts w:hint="eastAsia" w:asciiTheme="minorEastAsia" w:hAnsiTheme="minorEastAsia" w:cstheme="minorEastAsia"/>
                <w:b w:val="0"/>
                <w:bCs w:val="0"/>
                <w:sz w:val="21"/>
                <w:szCs w:val="21"/>
                <w:highlight w:val="none"/>
                <w:lang w:val="en-US" w:eastAsia="zh-CN"/>
              </w:rPr>
              <w:t>全部细项都满足得2分，存在基本满足的细项得1分，存在不满足的细项得0分</w:t>
            </w:r>
            <w:r>
              <w:rPr>
                <w:rFonts w:hint="eastAsia" w:asciiTheme="minorEastAsia" w:hAnsiTheme="minorEastAsia" w:eastAsiaTheme="minorEastAsia" w:cstheme="minorEastAsia"/>
                <w:b w:val="0"/>
                <w:bCs w:val="0"/>
                <w:sz w:val="21"/>
                <w:szCs w:val="21"/>
                <w:highlight w:val="none"/>
                <w:lang w:val="en-US" w:eastAsia="zh-CN"/>
              </w:rPr>
              <w:t>。</w:t>
            </w:r>
          </w:p>
          <w:p>
            <w:pPr>
              <w:numPr>
                <w:ilvl w:val="0"/>
                <w:numId w:val="0"/>
              </w:numPr>
              <w:spacing w:line="360" w:lineRule="auto"/>
              <w:ind w:left="0" w:leftChars="0" w:firstLine="0" w:firstLineChars="0"/>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注：（详见技术规范书3.1.2.应用功能）上述功能点需应答满足或基本满足且有详细的说明方可得分，若不满足、或应答满足但功能模块说明不详细、无提供功能对应系统页面截图或证明材料则不得分，同时“★”要求的关键模块为必须响应功能，必须满足或基本满足，否则此详细评审项不得分。说明：以投标时提供的对应产品POC测试结果表为准，未提供的该项不得分。具体送检及测试要求详见技术规范书。</w:t>
            </w:r>
          </w:p>
        </w:tc>
        <w:tc>
          <w:tcPr>
            <w:tcW w:w="1052" w:type="dxa"/>
            <w:vAlign w:val="center"/>
          </w:tcPr>
          <w:p>
            <w:pPr>
              <w:pStyle w:val="4"/>
              <w:spacing w:line="360" w:lineRule="auto"/>
              <w:ind w:right="0" w:rightChars="0"/>
              <w:jc w:val="center"/>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38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0" w:type="dxa"/>
            <w:vAlign w:val="center"/>
          </w:tcPr>
          <w:p>
            <w:pPr>
              <w:spacing w:line="400" w:lineRule="exact"/>
              <w:jc w:val="center"/>
              <w:rPr>
                <w:rFonts w:hint="eastAsia" w:eastAsiaTheme="minorEastAsia"/>
                <w:lang w:val="en-US" w:eastAsia="zh-CN"/>
              </w:rPr>
            </w:pPr>
            <w:r>
              <w:rPr>
                <w:rFonts w:hint="eastAsia"/>
                <w:lang w:val="en-US" w:eastAsia="zh-CN"/>
              </w:rPr>
              <w:t>4</w:t>
            </w:r>
          </w:p>
        </w:tc>
        <w:tc>
          <w:tcPr>
            <w:tcW w:w="1052" w:type="dxa"/>
            <w:vAlign w:val="center"/>
          </w:tcPr>
          <w:p>
            <w:pPr>
              <w:spacing w:line="360" w:lineRule="auto"/>
              <w:jc w:val="center"/>
              <w:rPr>
                <w:rFonts w:asciiTheme="minorHAnsi" w:hAnsiTheme="minorHAnsi" w:eastAsiaTheme="minorEastAsia" w:cstheme="minorBidi"/>
                <w:kern w:val="2"/>
                <w:sz w:val="21"/>
                <w:szCs w:val="24"/>
                <w:lang w:val="en-US" w:eastAsia="zh-CN" w:bidi="ar-SA"/>
              </w:rPr>
            </w:pPr>
            <w:r>
              <w:rPr>
                <w:rFonts w:hint="eastAsia"/>
                <w:lang w:val="en-US" w:eastAsia="zh-CN"/>
              </w:rPr>
              <w:t>平台能力</w:t>
            </w:r>
          </w:p>
        </w:tc>
        <w:tc>
          <w:tcPr>
            <w:tcW w:w="1579" w:type="dxa"/>
            <w:vAlign w:val="center"/>
          </w:tcPr>
          <w:p>
            <w:pPr>
              <w:pStyle w:val="4"/>
              <w:spacing w:line="360" w:lineRule="auto"/>
              <w:jc w:val="center"/>
              <w:rPr>
                <w:rFonts w:hint="eastAsia" w:asciiTheme="minorHAnsi" w:hAnsiTheme="minorHAnsi" w:eastAsiaTheme="minorEastAsia" w:cstheme="minorBidi"/>
                <w:kern w:val="2"/>
                <w:sz w:val="21"/>
                <w:szCs w:val="21"/>
                <w:highlight w:val="none"/>
                <w:lang w:val="en-US" w:eastAsia="zh-CN" w:bidi="ar-SA"/>
              </w:rPr>
            </w:pPr>
            <w:r>
              <w:rPr>
                <w:rFonts w:hint="eastAsia" w:ascii="Dialog" w:hAnsi="Dialog"/>
                <w:sz w:val="21"/>
                <w:szCs w:val="21"/>
                <w:highlight w:val="none"/>
                <w:lang w:val="en-US" w:eastAsia="zh-CN"/>
              </w:rPr>
              <w:t>具体功能点（埋点采集能力）</w:t>
            </w:r>
          </w:p>
        </w:tc>
        <w:tc>
          <w:tcPr>
            <w:tcW w:w="4209" w:type="dxa"/>
            <w:vAlign w:val="center"/>
          </w:tcPr>
          <w:p>
            <w:pPr>
              <w:numPr>
                <w:ilvl w:val="0"/>
                <w:numId w:val="0"/>
              </w:numPr>
              <w:spacing w:line="360" w:lineRule="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（1）埋点能力，支持客户端埋点SDK、服务端埋点SDK，SDK采集符合个人信息保护法安全规范，支持事件实时查询，支持移动端数据采集的实时校验，提供数据质量诊断工具，提升实施环节数据校验效率；</w:t>
            </w:r>
          </w:p>
          <w:p>
            <w:pPr>
              <w:numPr>
                <w:ilvl w:val="0"/>
                <w:numId w:val="0"/>
              </w:numPr>
              <w:spacing w:line="360" w:lineRule="auto"/>
              <w:rPr>
                <w:rFonts w:hint="eastAsia"/>
                <w:b w:val="0"/>
                <w:bCs w:val="0"/>
                <w:sz w:val="21"/>
                <w:szCs w:val="21"/>
                <w:highlight w:val="none"/>
                <w:lang w:val="en-US" w:eastAsia="zh-CN"/>
              </w:rPr>
            </w:pPr>
            <w:r>
              <w:rPr>
                <w:rFonts w:hint="eastAsia"/>
                <w:b w:val="0"/>
                <w:bCs w:val="0"/>
                <w:sz w:val="21"/>
                <w:szCs w:val="21"/>
                <w:highlight w:val="none"/>
                <w:lang w:val="en-US" w:eastAsia="zh-CN"/>
              </w:rPr>
              <w:t>2）看板能力，支持数据报表和数据看板管理能力，支持看板和报表的隐私权限管理；</w:t>
            </w:r>
          </w:p>
          <w:p>
            <w:pPr>
              <w:numPr>
                <w:ilvl w:val="0"/>
                <w:numId w:val="0"/>
              </w:numPr>
              <w:spacing w:line="360" w:lineRule="auto"/>
              <w:rPr>
                <w:rFonts w:hint="eastAsia"/>
                <w:b w:val="0"/>
                <w:bCs w:val="0"/>
                <w:sz w:val="21"/>
                <w:szCs w:val="21"/>
                <w:highlight w:val="none"/>
                <w:lang w:val="en-US" w:eastAsia="zh-CN"/>
              </w:rPr>
            </w:pPr>
            <w:r>
              <w:rPr>
                <w:rFonts w:hint="eastAsia"/>
                <w:b w:val="0"/>
                <w:bCs w:val="0"/>
                <w:sz w:val="21"/>
                <w:szCs w:val="21"/>
                <w:highlight w:val="none"/>
                <w:lang w:val="en-US" w:eastAsia="zh-CN"/>
              </w:rPr>
              <w:t>3）数据分析模型，支持11种分析模型中的7种及以上（事件分析、漏斗分析、用户路径分析、留存分析、分布分析、归因分析、间隔分析、热力图分析、session分析、LTV分析、KPI分析）；</w:t>
            </w:r>
          </w:p>
          <w:p>
            <w:pPr>
              <w:numPr>
                <w:ilvl w:val="0"/>
                <w:numId w:val="0"/>
              </w:numPr>
              <w:spacing w:line="360" w:lineRule="auto"/>
              <w:rPr>
                <w:rFonts w:hint="eastAsia"/>
                <w:b w:val="0"/>
                <w:bCs w:val="0"/>
                <w:sz w:val="21"/>
                <w:szCs w:val="21"/>
                <w:highlight w:val="none"/>
                <w:lang w:val="en-US" w:eastAsia="zh-CN"/>
              </w:rPr>
            </w:pPr>
            <w:r>
              <w:rPr>
                <w:rFonts w:hint="eastAsia" w:ascii="宋体" w:hAnsi="宋体" w:cs="宋体"/>
                <w:b w:val="0"/>
                <w:bCs w:val="0"/>
                <w:sz w:val="21"/>
                <w:szCs w:val="21"/>
                <w:highlight w:val="none"/>
                <w:lang w:val="en-US" w:eastAsia="zh-CN"/>
              </w:rPr>
              <w:t>★</w:t>
            </w:r>
            <w:r>
              <w:rPr>
                <w:rFonts w:hint="eastAsia"/>
                <w:b w:val="0"/>
                <w:bCs w:val="0"/>
                <w:sz w:val="21"/>
                <w:szCs w:val="21"/>
                <w:highlight w:val="none"/>
                <w:lang w:val="en-US" w:eastAsia="zh-CN"/>
              </w:rPr>
              <w:t>4）数据管理，支持基于四则运算新建自定义指标，支持元数据管理功能；</w:t>
            </w:r>
          </w:p>
          <w:p>
            <w:pPr>
              <w:numPr>
                <w:ilvl w:val="0"/>
                <w:numId w:val="0"/>
              </w:numPr>
              <w:spacing w:line="360" w:lineRule="auto"/>
              <w:rPr>
                <w:rFonts w:hint="eastAsia" w:asciiTheme="minorEastAsia" w:hAnsiTheme="minorEastAsia" w:eastAsiaTheme="minorEastAsia" w:cstheme="minorEastAsia"/>
                <w:b w:val="0"/>
                <w:bCs w:val="0"/>
                <w:sz w:val="21"/>
                <w:szCs w:val="21"/>
                <w:highlight w:val="none"/>
                <w:lang w:val="en-US" w:eastAsia="zh-CN"/>
              </w:rPr>
            </w:pPr>
            <w:r>
              <w:rPr>
                <w:rFonts w:hint="eastAsia" w:asciiTheme="minorEastAsia" w:hAnsiTheme="minorEastAsia" w:eastAsiaTheme="minorEastAsia" w:cstheme="minorEastAsia"/>
                <w:b w:val="0"/>
                <w:bCs w:val="0"/>
                <w:sz w:val="21"/>
                <w:szCs w:val="21"/>
                <w:highlight w:val="none"/>
                <w:lang w:val="en-US" w:eastAsia="zh-CN"/>
              </w:rPr>
              <w:t>每个功能点</w:t>
            </w:r>
            <w:r>
              <w:rPr>
                <w:rFonts w:hint="eastAsia" w:asciiTheme="minorEastAsia" w:hAnsiTheme="minorEastAsia" w:cstheme="minorEastAsia"/>
                <w:b w:val="0"/>
                <w:bCs w:val="0"/>
                <w:sz w:val="21"/>
                <w:szCs w:val="21"/>
                <w:highlight w:val="none"/>
                <w:lang w:val="en-US" w:eastAsia="zh-CN"/>
              </w:rPr>
              <w:t>1</w:t>
            </w:r>
            <w:r>
              <w:rPr>
                <w:rFonts w:hint="eastAsia" w:asciiTheme="minorEastAsia" w:hAnsiTheme="minorEastAsia" w:eastAsiaTheme="minorEastAsia" w:cstheme="minorEastAsia"/>
                <w:b w:val="0"/>
                <w:bCs w:val="0"/>
                <w:sz w:val="21"/>
                <w:szCs w:val="21"/>
                <w:highlight w:val="none"/>
                <w:lang w:val="en-US" w:eastAsia="zh-CN"/>
              </w:rPr>
              <w:t>分，</w:t>
            </w:r>
            <w:r>
              <w:rPr>
                <w:rFonts w:hint="eastAsia" w:asciiTheme="minorEastAsia" w:hAnsiTheme="minorEastAsia" w:cstheme="minorEastAsia"/>
                <w:b w:val="0"/>
                <w:bCs w:val="0"/>
                <w:sz w:val="21"/>
                <w:szCs w:val="21"/>
                <w:highlight w:val="none"/>
                <w:lang w:val="en-US" w:eastAsia="zh-CN"/>
              </w:rPr>
              <w:t>全部细项都满足得1分，存在基本满足的细项得0.5分，存在不满足的细项得0分</w:t>
            </w:r>
            <w:r>
              <w:rPr>
                <w:rFonts w:hint="eastAsia" w:asciiTheme="minorEastAsia" w:hAnsiTheme="minorEastAsia" w:eastAsiaTheme="minorEastAsia" w:cstheme="minorEastAsia"/>
                <w:b w:val="0"/>
                <w:bCs w:val="0"/>
                <w:sz w:val="21"/>
                <w:szCs w:val="21"/>
                <w:highlight w:val="none"/>
                <w:lang w:val="en-US" w:eastAsia="zh-CN"/>
              </w:rPr>
              <w:t>。</w:t>
            </w:r>
          </w:p>
          <w:p>
            <w:pPr>
              <w:numPr>
                <w:ilvl w:val="0"/>
                <w:numId w:val="0"/>
              </w:numPr>
              <w:spacing w:line="360" w:lineRule="auto"/>
              <w:ind w:left="0" w:leftChars="0" w:firstLine="0" w:firstLineChars="0"/>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注：（详见技术规范书3.1.2.应用功能）上述功能点需应答满足或基本满足且有详细的说明方可得分，若不满足、或应答满足但功能模块说明不详细、无提供功能对应系统页面截图或证明材料则不得分，同时“★”要求的关键模块为必须响应功能，必须满足或基本满足，否则此详细评审项不得分。</w:t>
            </w:r>
          </w:p>
          <w:p>
            <w:pPr>
              <w:numPr>
                <w:ilvl w:val="0"/>
                <w:numId w:val="0"/>
              </w:numPr>
              <w:spacing w:line="360" w:lineRule="auto"/>
              <w:ind w:left="0" w:leftChars="0" w:firstLine="0" w:firstLineChars="0"/>
              <w:rPr>
                <w:rFonts w:hint="eastAsia" w:asciiTheme="minorHAnsi" w:hAnsiTheme="minorHAnsi" w:eastAsiaTheme="minorEastAsia" w:cstheme="minorBidi"/>
                <w:kern w:val="2"/>
                <w:sz w:val="21"/>
                <w:szCs w:val="21"/>
                <w:highlight w:val="none"/>
                <w:lang w:val="en-US" w:eastAsia="zh-CN" w:bidi="ar-SA"/>
              </w:rPr>
            </w:pPr>
            <w:r>
              <w:rPr>
                <w:rFonts w:hint="eastAsia" w:ascii="宋体" w:hAnsi="宋体" w:cs="宋体"/>
                <w:sz w:val="21"/>
                <w:szCs w:val="21"/>
                <w:highlight w:val="none"/>
                <w:lang w:val="en-US" w:eastAsia="zh-CN"/>
              </w:rPr>
              <w:t>说明：以投标时提供的对应产品POC测试结果表为准，未提供的该项不得分。具体送检及测试要求详见技术规范书。</w:t>
            </w:r>
          </w:p>
        </w:tc>
        <w:tc>
          <w:tcPr>
            <w:tcW w:w="1052" w:type="dxa"/>
            <w:vAlign w:val="center"/>
          </w:tcPr>
          <w:p>
            <w:pPr>
              <w:pStyle w:val="4"/>
              <w:spacing w:line="360" w:lineRule="auto"/>
              <w:ind w:right="0" w:rightChars="0"/>
              <w:jc w:val="center"/>
              <w:rPr>
                <w:rFonts w:hint="eastAsia" w:asciiTheme="minorHAnsi" w:hAnsiTheme="minorHAnsi" w:eastAsiaTheme="minorEastAsia" w:cstheme="minorBidi"/>
                <w:kern w:val="2"/>
                <w:sz w:val="21"/>
                <w:szCs w:val="21"/>
                <w:highlight w:val="none"/>
                <w:lang w:val="en-US" w:eastAsia="zh-CN" w:bidi="ar-SA"/>
              </w:rPr>
            </w:pPr>
            <w:r>
              <w:rPr>
                <w:rFonts w:hint="eastAsia" w:ascii="宋体" w:hAnsi="宋体" w:cs="宋体"/>
                <w:color w:val="000000" w:themeColor="text1"/>
                <w:sz w:val="21"/>
                <w:szCs w:val="21"/>
                <w:highlight w:val="none"/>
                <w:lang w:val="en-US" w:eastAsia="zh-CN"/>
                <w14:textFill>
                  <w14:solidFill>
                    <w14:schemeClr w14:val="tx1"/>
                  </w14:solidFill>
                </w14:textFill>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0" w:type="dxa"/>
            <w:vAlign w:val="center"/>
          </w:tcPr>
          <w:p>
            <w:pPr>
              <w:spacing w:line="400" w:lineRule="exact"/>
              <w:jc w:val="center"/>
              <w:rPr>
                <w:rFonts w:hint="eastAsia" w:eastAsiaTheme="minorEastAsia"/>
                <w:lang w:val="en-US" w:eastAsia="zh-CN"/>
              </w:rPr>
            </w:pPr>
            <w:r>
              <w:rPr>
                <w:rFonts w:hint="eastAsia"/>
                <w:lang w:val="en-US" w:eastAsia="zh-CN"/>
              </w:rPr>
              <w:t>5</w:t>
            </w:r>
          </w:p>
        </w:tc>
        <w:tc>
          <w:tcPr>
            <w:tcW w:w="1052" w:type="dxa"/>
            <w:vAlign w:val="center"/>
          </w:tcPr>
          <w:p>
            <w:pPr>
              <w:spacing w:line="360" w:lineRule="auto"/>
              <w:jc w:val="center"/>
            </w:pPr>
            <w:r>
              <w:rPr>
                <w:rFonts w:hint="eastAsia"/>
                <w:lang w:val="en-US" w:eastAsia="zh-CN"/>
              </w:rPr>
              <w:t>平台能力</w:t>
            </w:r>
          </w:p>
        </w:tc>
        <w:tc>
          <w:tcPr>
            <w:tcW w:w="1579" w:type="dxa"/>
            <w:vAlign w:val="center"/>
          </w:tcPr>
          <w:p>
            <w:pPr>
              <w:pStyle w:val="4"/>
              <w:spacing w:line="360" w:lineRule="auto"/>
              <w:jc w:val="center"/>
              <w:rPr>
                <w:rFonts w:hint="eastAsia" w:ascii="Dialog" w:hAnsi="Dialog"/>
                <w:sz w:val="21"/>
                <w:szCs w:val="21"/>
                <w:highlight w:val="none"/>
              </w:rPr>
            </w:pPr>
            <w:r>
              <w:rPr>
                <w:rFonts w:hint="eastAsia" w:ascii="Dialog" w:hAnsi="Dialog"/>
                <w:sz w:val="21"/>
                <w:szCs w:val="21"/>
                <w:highlight w:val="none"/>
                <w:lang w:val="en-US" w:eastAsia="zh-CN"/>
              </w:rPr>
              <w:t>具体功能点（数据可视化能力）</w:t>
            </w:r>
          </w:p>
        </w:tc>
        <w:tc>
          <w:tcPr>
            <w:tcW w:w="4209" w:type="dxa"/>
            <w:vAlign w:val="center"/>
          </w:tcPr>
          <w:p>
            <w:pPr>
              <w:numPr>
                <w:ilvl w:val="0"/>
                <w:numId w:val="1"/>
              </w:numPr>
              <w:spacing w:line="360" w:lineRule="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统一服务平台要求，支持多人协作、性能监控管理、权限管理、数据脱敏、水印、资产备份、缓存设置等；</w:t>
            </w:r>
          </w:p>
          <w:p>
            <w:pPr>
              <w:numPr>
                <w:ilvl w:val="0"/>
                <w:numId w:val="0"/>
              </w:numPr>
              <w:spacing w:line="360" w:lineRule="auto"/>
              <w:rPr>
                <w:rFonts w:hint="eastAsia"/>
                <w:b w:val="0"/>
                <w:bCs w:val="0"/>
                <w:sz w:val="21"/>
                <w:szCs w:val="21"/>
                <w:highlight w:val="none"/>
                <w:lang w:val="en-US" w:eastAsia="zh-CN"/>
              </w:rPr>
            </w:pPr>
            <w:r>
              <w:rPr>
                <w:rFonts w:hint="eastAsia" w:ascii="宋体" w:hAnsi="宋体" w:cs="宋体"/>
                <w:b w:val="0"/>
                <w:bCs w:val="0"/>
                <w:sz w:val="21"/>
                <w:szCs w:val="21"/>
                <w:highlight w:val="none"/>
                <w:lang w:val="en-US" w:eastAsia="zh-CN"/>
              </w:rPr>
              <w:t>★</w:t>
            </w:r>
            <w:r>
              <w:rPr>
                <w:rFonts w:hint="eastAsia"/>
                <w:b w:val="0"/>
                <w:bCs w:val="0"/>
                <w:sz w:val="21"/>
                <w:szCs w:val="21"/>
                <w:highlight w:val="none"/>
                <w:lang w:val="en-US" w:eastAsia="zh-CN"/>
              </w:rPr>
              <w:t>2）数据准备，支持直接跨库、跨数据源关联数据，支持数据转换和数据建模，支持设置可见性、地址转经纬度、多选字段隐藏、多选字段删除等功能；</w:t>
            </w:r>
          </w:p>
          <w:p>
            <w:pPr>
              <w:numPr>
                <w:ilvl w:val="0"/>
                <w:numId w:val="0"/>
              </w:numPr>
              <w:spacing w:line="360" w:lineRule="auto"/>
              <w:rPr>
                <w:rFonts w:hint="eastAsia"/>
                <w:b w:val="0"/>
                <w:bCs w:val="0"/>
                <w:sz w:val="21"/>
                <w:szCs w:val="21"/>
                <w:highlight w:val="none"/>
                <w:lang w:val="en-US" w:eastAsia="zh-CN"/>
              </w:rPr>
            </w:pPr>
            <w:r>
              <w:rPr>
                <w:rFonts w:hint="eastAsia" w:ascii="宋体" w:hAnsi="宋体" w:cs="宋体"/>
                <w:b w:val="0"/>
                <w:bCs w:val="0"/>
                <w:sz w:val="21"/>
                <w:szCs w:val="21"/>
                <w:highlight w:val="none"/>
                <w:lang w:val="en-US" w:eastAsia="zh-CN"/>
              </w:rPr>
              <w:t>★</w:t>
            </w:r>
            <w:r>
              <w:rPr>
                <w:rFonts w:hint="eastAsia"/>
                <w:b w:val="0"/>
                <w:bCs w:val="0"/>
                <w:sz w:val="21"/>
                <w:szCs w:val="21"/>
                <w:highlight w:val="none"/>
                <w:lang w:val="en-US" w:eastAsia="zh-CN"/>
              </w:rPr>
              <w:t>3）报表报告，支持中国式复杂报表、数据填报，自带常用计算函数，用户也可自定义计算函数和计算方法；</w:t>
            </w:r>
          </w:p>
          <w:p>
            <w:pPr>
              <w:numPr>
                <w:ilvl w:val="0"/>
                <w:numId w:val="0"/>
              </w:numPr>
              <w:spacing w:line="360" w:lineRule="auto"/>
              <w:rPr>
                <w:rFonts w:hint="eastAsia"/>
                <w:b w:val="0"/>
                <w:bCs w:val="0"/>
                <w:sz w:val="21"/>
                <w:szCs w:val="21"/>
                <w:highlight w:val="none"/>
                <w:lang w:val="en-US" w:eastAsia="zh-CN"/>
              </w:rPr>
            </w:pPr>
            <w:r>
              <w:rPr>
                <w:rFonts w:hint="eastAsia" w:ascii="宋体" w:hAnsi="宋体" w:cs="宋体"/>
                <w:b w:val="0"/>
                <w:bCs w:val="0"/>
                <w:sz w:val="21"/>
                <w:szCs w:val="21"/>
                <w:highlight w:val="none"/>
                <w:lang w:val="en-US" w:eastAsia="zh-CN"/>
              </w:rPr>
              <w:t>★</w:t>
            </w:r>
            <w:r>
              <w:rPr>
                <w:rFonts w:hint="eastAsia"/>
                <w:b w:val="0"/>
                <w:bCs w:val="0"/>
                <w:sz w:val="21"/>
                <w:szCs w:val="21"/>
                <w:highlight w:val="none"/>
                <w:lang w:val="en-US" w:eastAsia="zh-CN"/>
              </w:rPr>
              <w:t>4）数据分析，支持多维度分析、自定义图表、制作报告和查看报告，具备丰富的仪表盘组件；</w:t>
            </w:r>
          </w:p>
          <w:p>
            <w:pPr>
              <w:numPr>
                <w:ilvl w:val="0"/>
                <w:numId w:val="0"/>
              </w:numPr>
              <w:spacing w:line="360" w:lineRule="auto"/>
              <w:rPr>
                <w:rFonts w:hint="eastAsia"/>
                <w:b w:val="0"/>
                <w:bCs w:val="0"/>
                <w:sz w:val="21"/>
                <w:szCs w:val="21"/>
                <w:highlight w:val="none"/>
                <w:lang w:val="en-US" w:eastAsia="zh-CN"/>
              </w:rPr>
            </w:pPr>
            <w:r>
              <w:rPr>
                <w:rFonts w:hint="eastAsia"/>
                <w:b w:val="0"/>
                <w:bCs w:val="0"/>
                <w:sz w:val="21"/>
                <w:szCs w:val="21"/>
                <w:highlight w:val="none"/>
                <w:lang w:val="en-US" w:eastAsia="zh-CN"/>
              </w:rPr>
              <w:t>5）移动端，支持移动端集成，支持移动端水印，支持图表和表格双击组件全屏，全屏状态下，支持笔刷和钻取等交互操作；</w:t>
            </w:r>
          </w:p>
          <w:p>
            <w:pPr>
              <w:numPr>
                <w:ilvl w:val="0"/>
                <w:numId w:val="0"/>
              </w:numPr>
              <w:spacing w:line="360" w:lineRule="auto"/>
              <w:rPr>
                <w:rFonts w:hint="eastAsia" w:asciiTheme="minorEastAsia" w:hAnsiTheme="minorEastAsia" w:eastAsiaTheme="minorEastAsia" w:cstheme="minorEastAsia"/>
                <w:b w:val="0"/>
                <w:bCs w:val="0"/>
                <w:sz w:val="21"/>
                <w:szCs w:val="21"/>
                <w:highlight w:val="none"/>
                <w:lang w:val="en-US" w:eastAsia="zh-CN"/>
              </w:rPr>
            </w:pPr>
            <w:r>
              <w:rPr>
                <w:rFonts w:hint="eastAsia" w:asciiTheme="minorEastAsia" w:hAnsiTheme="minorEastAsia" w:eastAsiaTheme="minorEastAsia" w:cstheme="minorEastAsia"/>
                <w:b w:val="0"/>
                <w:bCs w:val="0"/>
                <w:sz w:val="21"/>
                <w:szCs w:val="21"/>
                <w:highlight w:val="none"/>
                <w:lang w:val="en-US" w:eastAsia="zh-CN"/>
              </w:rPr>
              <w:t>每个功能点</w:t>
            </w:r>
            <w:r>
              <w:rPr>
                <w:rFonts w:hint="eastAsia" w:asciiTheme="minorEastAsia" w:hAnsiTheme="minorEastAsia" w:cstheme="minorEastAsia"/>
                <w:b w:val="0"/>
                <w:bCs w:val="0"/>
                <w:sz w:val="21"/>
                <w:szCs w:val="21"/>
                <w:highlight w:val="none"/>
                <w:lang w:val="en-US" w:eastAsia="zh-CN"/>
              </w:rPr>
              <w:t>2</w:t>
            </w:r>
            <w:r>
              <w:rPr>
                <w:rFonts w:hint="eastAsia" w:asciiTheme="minorEastAsia" w:hAnsiTheme="minorEastAsia" w:eastAsiaTheme="minorEastAsia" w:cstheme="minorEastAsia"/>
                <w:b w:val="0"/>
                <w:bCs w:val="0"/>
                <w:sz w:val="21"/>
                <w:szCs w:val="21"/>
                <w:highlight w:val="none"/>
                <w:lang w:val="en-US" w:eastAsia="zh-CN"/>
              </w:rPr>
              <w:t>分，</w:t>
            </w:r>
            <w:r>
              <w:rPr>
                <w:rFonts w:hint="eastAsia" w:asciiTheme="minorEastAsia" w:hAnsiTheme="minorEastAsia" w:cstheme="minorEastAsia"/>
                <w:b w:val="0"/>
                <w:bCs w:val="0"/>
                <w:sz w:val="21"/>
                <w:szCs w:val="21"/>
                <w:highlight w:val="none"/>
                <w:lang w:val="en-US" w:eastAsia="zh-CN"/>
              </w:rPr>
              <w:t>全部细项都满足得2分，存在基本满足的细项得1分，存在不满足的细项得0分</w:t>
            </w:r>
            <w:r>
              <w:rPr>
                <w:rFonts w:hint="eastAsia" w:asciiTheme="minorEastAsia" w:hAnsiTheme="minorEastAsia" w:eastAsiaTheme="minorEastAsia" w:cstheme="minorEastAsia"/>
                <w:b w:val="0"/>
                <w:bCs w:val="0"/>
                <w:sz w:val="21"/>
                <w:szCs w:val="21"/>
                <w:highlight w:val="none"/>
                <w:lang w:val="en-US" w:eastAsia="zh-CN"/>
              </w:rPr>
              <w:t>。</w:t>
            </w:r>
          </w:p>
          <w:p>
            <w:pPr>
              <w:numPr>
                <w:ilvl w:val="0"/>
                <w:numId w:val="0"/>
              </w:numPr>
              <w:spacing w:line="360" w:lineRule="auto"/>
              <w:ind w:left="0" w:leftChars="0" w:firstLine="0" w:firstLineChars="0"/>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注：（详见技术规范书3.1.2.应用功能）上述功能点需应答满足或基本满足且有详细的说明方可得分，若不满足、或应答满足但功能模块说明不详细、无提供功能对应系统页面截图或证明材料则不得分，同时“★”要求的关键模块为必须响应功能，必须满足或基本满足，否则此详细评审项不得分。</w:t>
            </w:r>
          </w:p>
          <w:p>
            <w:pPr>
              <w:numPr>
                <w:ilvl w:val="0"/>
                <w:numId w:val="0"/>
              </w:numPr>
              <w:spacing w:line="360" w:lineRule="auto"/>
              <w:ind w:left="0" w:leftChars="0" w:firstLine="0" w:firstLineChars="0"/>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说明：以投标时提供的对应产品POC测试结果表为准，未提供的该项不得分。具体送检及测试要求详见技术规范书。</w:t>
            </w:r>
          </w:p>
        </w:tc>
        <w:tc>
          <w:tcPr>
            <w:tcW w:w="1052" w:type="dxa"/>
            <w:vAlign w:val="center"/>
          </w:tcPr>
          <w:p>
            <w:pPr>
              <w:pStyle w:val="4"/>
              <w:spacing w:line="360" w:lineRule="auto"/>
              <w:ind w:right="0" w:rightChars="0"/>
              <w:jc w:val="center"/>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10</w:t>
            </w:r>
          </w:p>
        </w:tc>
      </w:tr>
    </w:tbl>
    <w:p>
      <w:pPr>
        <w:spacing w:beforeLines="0" w:afterLines="0"/>
        <w:rPr>
          <w:rFonts w:hint="eastAsia" w:ascii="新宋体" w:hAnsi="新宋体" w:eastAsia="新宋体" w:cs="新宋体"/>
          <w:sz w:val="28"/>
          <w:szCs w:val="28"/>
          <w:lang w:val="en-US" w:eastAsia="zh-CN"/>
        </w:rPr>
      </w:pPr>
      <w:r>
        <w:rPr>
          <w:rFonts w:hint="eastAsia" w:ascii="新宋体" w:hAnsi="新宋体" w:eastAsia="新宋体" w:cs="新宋体"/>
          <w:sz w:val="28"/>
          <w:szCs w:val="28"/>
          <w:lang w:val="en-US" w:eastAsia="zh-CN"/>
        </w:rPr>
        <w:t>现需要发布澄清更改为：</w:t>
      </w:r>
    </w:p>
    <w:tbl>
      <w:tblPr>
        <w:tblStyle w:val="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0"/>
        <w:gridCol w:w="1052"/>
        <w:gridCol w:w="1579"/>
        <w:gridCol w:w="4209"/>
        <w:gridCol w:w="10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5"/>
            <w:vAlign w:val="center"/>
          </w:tcPr>
          <w:p>
            <w:pPr>
              <w:spacing w:line="400" w:lineRule="exact"/>
            </w:pPr>
            <w:r>
              <w:rPr>
                <w:b/>
              </w:rPr>
              <w:t>适用标包：</w:t>
            </w:r>
            <w:r>
              <w:rPr>
                <w:rFonts w:hint="eastAsia"/>
                <w:b/>
              </w:rPr>
              <w:t>南方电网互联网服务有限公司数据赋能平台技术服务项目</w:t>
            </w:r>
            <w:r>
              <w:rPr>
                <w:b/>
              </w:rPr>
              <w:t>[</w:t>
            </w:r>
            <w:r>
              <w:rPr>
                <w:rFonts w:hint="eastAsia"/>
                <w:b/>
              </w:rPr>
              <w:t>南方电网互联网服务有限公司数据赋能平台技术服务项目</w:t>
            </w:r>
            <w:r>
              <w:rPr>
                <w:b/>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22" w:type="dxa"/>
            <w:gridSpan w:val="5"/>
          </w:tcPr>
          <w:p>
            <w:pPr>
              <w:spacing w:line="400" w:lineRule="exact"/>
            </w:pPr>
            <w:r>
              <w:rPr>
                <w:b/>
              </w:rPr>
              <w:t>（二）、技术评审（100）分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trPr>
        <w:tc>
          <w:tcPr>
            <w:tcW w:w="630" w:type="dxa"/>
            <w:vAlign w:val="center"/>
          </w:tcPr>
          <w:p>
            <w:pPr>
              <w:spacing w:line="400" w:lineRule="exact"/>
              <w:jc w:val="center"/>
            </w:pPr>
            <w:r>
              <w:rPr>
                <w:b/>
              </w:rPr>
              <w:t>序号</w:t>
            </w:r>
          </w:p>
        </w:tc>
        <w:tc>
          <w:tcPr>
            <w:tcW w:w="1052" w:type="dxa"/>
            <w:vAlign w:val="center"/>
          </w:tcPr>
          <w:p>
            <w:pPr>
              <w:spacing w:line="400" w:lineRule="exact"/>
              <w:jc w:val="center"/>
            </w:pPr>
            <w:r>
              <w:rPr>
                <w:b/>
              </w:rPr>
              <w:t>评分因素</w:t>
            </w:r>
          </w:p>
        </w:tc>
        <w:tc>
          <w:tcPr>
            <w:tcW w:w="1579" w:type="dxa"/>
            <w:vAlign w:val="center"/>
          </w:tcPr>
          <w:p>
            <w:pPr>
              <w:spacing w:line="400" w:lineRule="exact"/>
              <w:jc w:val="center"/>
            </w:pPr>
            <w:r>
              <w:rPr>
                <w:b/>
              </w:rPr>
              <w:t>详细评审项</w:t>
            </w:r>
          </w:p>
        </w:tc>
        <w:tc>
          <w:tcPr>
            <w:tcW w:w="4209" w:type="dxa"/>
            <w:vAlign w:val="center"/>
          </w:tcPr>
          <w:p>
            <w:pPr>
              <w:spacing w:line="400" w:lineRule="exact"/>
              <w:jc w:val="center"/>
            </w:pPr>
            <w:r>
              <w:rPr>
                <w:b/>
              </w:rPr>
              <w:t>详细评审分项要素</w:t>
            </w:r>
          </w:p>
        </w:tc>
        <w:tc>
          <w:tcPr>
            <w:tcW w:w="1052" w:type="dxa"/>
            <w:vAlign w:val="center"/>
          </w:tcPr>
          <w:p>
            <w:pPr>
              <w:spacing w:line="400" w:lineRule="exact"/>
              <w:jc w:val="center"/>
            </w:pPr>
            <w:r>
              <w:rPr>
                <w:b/>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0" w:type="dxa"/>
            <w:vAlign w:val="center"/>
          </w:tcPr>
          <w:p>
            <w:pPr>
              <w:spacing w:line="400" w:lineRule="exact"/>
              <w:jc w:val="center"/>
              <w:rPr>
                <w:rFonts w:hint="eastAsia" w:eastAsiaTheme="minorEastAsia"/>
                <w:lang w:eastAsia="zh-CN"/>
              </w:rPr>
            </w:pPr>
            <w:r>
              <w:rPr>
                <w:rFonts w:hint="eastAsia"/>
                <w:lang w:val="en-US" w:eastAsia="zh-CN"/>
              </w:rPr>
              <w:t>2</w:t>
            </w:r>
          </w:p>
        </w:tc>
        <w:tc>
          <w:tcPr>
            <w:tcW w:w="1052" w:type="dxa"/>
            <w:vAlign w:val="center"/>
          </w:tcPr>
          <w:p>
            <w:pPr>
              <w:spacing w:line="360" w:lineRule="auto"/>
              <w:jc w:val="center"/>
            </w:pPr>
            <w:r>
              <w:rPr>
                <w:rFonts w:hint="eastAsia"/>
                <w:lang w:val="en-US" w:eastAsia="zh-CN"/>
              </w:rPr>
              <w:t>平台能力</w:t>
            </w:r>
          </w:p>
        </w:tc>
        <w:tc>
          <w:tcPr>
            <w:tcW w:w="1579" w:type="dxa"/>
            <w:vAlign w:val="center"/>
          </w:tcPr>
          <w:p>
            <w:pPr>
              <w:pStyle w:val="4"/>
              <w:spacing w:line="360" w:lineRule="auto"/>
              <w:jc w:val="center"/>
              <w:rPr>
                <w:sz w:val="21"/>
                <w:szCs w:val="21"/>
              </w:rPr>
            </w:pPr>
            <w:r>
              <w:rPr>
                <w:rFonts w:hint="eastAsia" w:ascii="Dialog" w:hAnsi="Dialog"/>
                <w:sz w:val="21"/>
                <w:szCs w:val="21"/>
                <w:highlight w:val="none"/>
                <w:lang w:val="en-US" w:eastAsia="zh-CN"/>
              </w:rPr>
              <w:t>具体功能点（基础能力）</w:t>
            </w:r>
          </w:p>
        </w:tc>
        <w:tc>
          <w:tcPr>
            <w:tcW w:w="4209" w:type="dxa"/>
            <w:vAlign w:val="center"/>
          </w:tcPr>
          <w:p>
            <w:pPr>
              <w:numPr>
                <w:ilvl w:val="0"/>
                <w:numId w:val="0"/>
              </w:numPr>
              <w:spacing w:line="360" w:lineRule="auto"/>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针对承载数据治理服务能力的平台，需具备以下非功能性能力：</w:t>
            </w:r>
          </w:p>
          <w:p>
            <w:pPr>
              <w:numPr>
                <w:ilvl w:val="0"/>
                <w:numId w:val="0"/>
              </w:numPr>
              <w:spacing w:line="360" w:lineRule="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★1）可扩展性方面，要求平台支持水平扩展集群规模，通过支持机器节点的方式实现数据计算和存储能力的扩展；</w:t>
            </w:r>
          </w:p>
          <w:p>
            <w:pPr>
              <w:numPr>
                <w:ilvl w:val="0"/>
                <w:numId w:val="0"/>
              </w:numPr>
              <w:spacing w:line="360" w:lineRule="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★2）开放性方面，要求平台基于开源Hadoop生态，平台组件保持跟开源社区同步，持续迭代并保证平台的开放性和持续演进；</w:t>
            </w:r>
          </w:p>
          <w:p>
            <w:pPr>
              <w:numPr>
                <w:ilvl w:val="0"/>
                <w:numId w:val="0"/>
              </w:numPr>
              <w:spacing w:line="360" w:lineRule="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★3）安全性方面，平台支持私有化部署，支持基于角色的权限管理体系，支持基于基于Kerbors协议的身份认证、授权机制，提供审计功能；</w:t>
            </w:r>
          </w:p>
          <w:p>
            <w:pPr>
              <w:numPr>
                <w:ilvl w:val="0"/>
                <w:numId w:val="0"/>
              </w:numPr>
              <w:spacing w:line="360" w:lineRule="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★4）可靠性方面，要求中各组件均采用高可用架构，保证单节点故障不影响组件的整体运行；</w:t>
            </w:r>
          </w:p>
          <w:p>
            <w:pPr>
              <w:numPr>
                <w:ilvl w:val="0"/>
                <w:numId w:val="0"/>
              </w:numPr>
              <w:spacing w:line="360" w:lineRule="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★5）易用性方面，支持敏捷开发、敏捷运维；</w:t>
            </w:r>
          </w:p>
          <w:p>
            <w:pPr>
              <w:numPr>
                <w:ilvl w:val="0"/>
                <w:numId w:val="0"/>
              </w:numPr>
              <w:spacing w:line="360" w:lineRule="auto"/>
              <w:rPr>
                <w:rFonts w:hint="eastAsia" w:asciiTheme="minorEastAsia" w:hAnsiTheme="minorEastAsia" w:eastAsiaTheme="minorEastAsia" w:cstheme="minorEastAsia"/>
                <w:b w:val="0"/>
                <w:bCs w:val="0"/>
                <w:sz w:val="21"/>
                <w:szCs w:val="21"/>
                <w:highlight w:val="none"/>
                <w:lang w:val="en-US" w:eastAsia="zh-CN"/>
              </w:rPr>
            </w:pPr>
            <w:r>
              <w:rPr>
                <w:rFonts w:hint="eastAsia" w:asciiTheme="minorEastAsia" w:hAnsiTheme="minorEastAsia" w:eastAsiaTheme="minorEastAsia" w:cstheme="minorEastAsia"/>
                <w:b w:val="0"/>
                <w:bCs w:val="0"/>
                <w:sz w:val="21"/>
                <w:szCs w:val="21"/>
                <w:highlight w:val="none"/>
                <w:lang w:val="en-US" w:eastAsia="zh-CN"/>
              </w:rPr>
              <w:t>每个功能点</w:t>
            </w:r>
            <w:r>
              <w:rPr>
                <w:rFonts w:hint="eastAsia" w:asciiTheme="minorEastAsia" w:hAnsiTheme="minorEastAsia" w:cstheme="minorEastAsia"/>
                <w:b w:val="0"/>
                <w:bCs w:val="0"/>
                <w:sz w:val="21"/>
                <w:szCs w:val="21"/>
                <w:highlight w:val="none"/>
                <w:lang w:val="en-US" w:eastAsia="zh-CN"/>
              </w:rPr>
              <w:t>1</w:t>
            </w:r>
            <w:r>
              <w:rPr>
                <w:rFonts w:hint="eastAsia" w:asciiTheme="minorEastAsia" w:hAnsiTheme="minorEastAsia" w:eastAsiaTheme="minorEastAsia" w:cstheme="minorEastAsia"/>
                <w:b w:val="0"/>
                <w:bCs w:val="0"/>
                <w:sz w:val="21"/>
                <w:szCs w:val="21"/>
                <w:highlight w:val="none"/>
                <w:lang w:val="en-US" w:eastAsia="zh-CN"/>
              </w:rPr>
              <w:t>分，</w:t>
            </w:r>
            <w:r>
              <w:rPr>
                <w:rFonts w:hint="eastAsia" w:asciiTheme="minorEastAsia" w:hAnsiTheme="minorEastAsia" w:cstheme="minorEastAsia"/>
                <w:b w:val="0"/>
                <w:bCs w:val="0"/>
                <w:sz w:val="21"/>
                <w:szCs w:val="21"/>
                <w:highlight w:val="none"/>
                <w:lang w:val="en-US" w:eastAsia="zh-CN"/>
              </w:rPr>
              <w:t>全部细项都满足得1分，存在基本满足的细项得0.5分，存在不满足的细项得0分</w:t>
            </w:r>
            <w:r>
              <w:rPr>
                <w:rFonts w:hint="eastAsia" w:asciiTheme="minorEastAsia" w:hAnsiTheme="minorEastAsia" w:eastAsiaTheme="minorEastAsia" w:cstheme="minorEastAsia"/>
                <w:b w:val="0"/>
                <w:bCs w:val="0"/>
                <w:sz w:val="21"/>
                <w:szCs w:val="21"/>
                <w:highlight w:val="none"/>
                <w:lang w:val="en-US" w:eastAsia="zh-CN"/>
              </w:rPr>
              <w:t>。</w:t>
            </w:r>
          </w:p>
          <w:p>
            <w:pPr>
              <w:numPr>
                <w:ilvl w:val="0"/>
                <w:numId w:val="0"/>
              </w:numPr>
              <w:spacing w:line="360" w:lineRule="auto"/>
              <w:ind w:left="0" w:leftChars="0" w:firstLine="0" w:firstLineChars="0"/>
              <w:rPr>
                <w:sz w:val="21"/>
                <w:szCs w:val="21"/>
              </w:rPr>
            </w:pPr>
            <w:r>
              <w:rPr>
                <w:rFonts w:hint="eastAsia" w:ascii="宋体" w:hAnsi="宋体" w:cs="宋体"/>
                <w:sz w:val="21"/>
                <w:szCs w:val="21"/>
                <w:highlight w:val="none"/>
                <w:lang w:val="en-US" w:eastAsia="zh-CN"/>
              </w:rPr>
              <w:t>注：（详见技术规范书3.1.2.应用功能）上述基础能力点需应答满足或基本满足且有详细的说明方可得分，若不满足、或应答满足但功能模块说明不详细、无提供功能对应系统页面截图或证明材料则不得分，同时“★”要求的关键模块为必须响应功能，必须满足或基本满足，否则此详细评审项不得分。</w:t>
            </w:r>
          </w:p>
        </w:tc>
        <w:tc>
          <w:tcPr>
            <w:tcW w:w="1052" w:type="dxa"/>
            <w:vAlign w:val="center"/>
          </w:tcPr>
          <w:p>
            <w:pPr>
              <w:pStyle w:val="4"/>
              <w:spacing w:line="360" w:lineRule="auto"/>
              <w:ind w:right="0" w:rightChars="0"/>
              <w:jc w:val="center"/>
              <w:rPr>
                <w:sz w:val="21"/>
                <w:szCs w:val="21"/>
              </w:rPr>
            </w:pPr>
            <w:r>
              <w:rPr>
                <w:rFonts w:hint="eastAsia" w:ascii="宋体" w:hAnsi="宋体" w:cs="宋体"/>
                <w:color w:val="000000" w:themeColor="text1"/>
                <w:sz w:val="21"/>
                <w:szCs w:val="21"/>
                <w:highlight w:val="none"/>
                <w:lang w:val="en-US" w:eastAsia="zh-CN"/>
                <w14:textFill>
                  <w14:solidFill>
                    <w14:schemeClr w14:val="tx1"/>
                  </w14:solidFill>
                </w14:textFill>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0" w:type="dxa"/>
            <w:vAlign w:val="center"/>
          </w:tcPr>
          <w:p>
            <w:pPr>
              <w:spacing w:line="400" w:lineRule="exact"/>
              <w:jc w:val="center"/>
              <w:rPr>
                <w:rFonts w:hint="eastAsia" w:eastAsiaTheme="minorEastAsia"/>
                <w:lang w:val="en-US" w:eastAsia="zh-CN"/>
              </w:rPr>
            </w:pPr>
            <w:r>
              <w:rPr>
                <w:rFonts w:hint="eastAsia"/>
                <w:lang w:val="en-US" w:eastAsia="zh-CN"/>
              </w:rPr>
              <w:t>3</w:t>
            </w:r>
          </w:p>
        </w:tc>
        <w:tc>
          <w:tcPr>
            <w:tcW w:w="1052" w:type="dxa"/>
            <w:vAlign w:val="center"/>
          </w:tcPr>
          <w:p>
            <w:pPr>
              <w:spacing w:line="360" w:lineRule="auto"/>
              <w:jc w:val="center"/>
            </w:pPr>
            <w:r>
              <w:rPr>
                <w:rFonts w:hint="eastAsia"/>
                <w:lang w:val="en-US" w:eastAsia="zh-CN"/>
              </w:rPr>
              <w:t>平台能力</w:t>
            </w:r>
          </w:p>
        </w:tc>
        <w:tc>
          <w:tcPr>
            <w:tcW w:w="1579" w:type="dxa"/>
            <w:vAlign w:val="center"/>
          </w:tcPr>
          <w:p>
            <w:pPr>
              <w:pStyle w:val="4"/>
              <w:spacing w:line="360" w:lineRule="auto"/>
              <w:jc w:val="center"/>
              <w:rPr>
                <w:rFonts w:hint="eastAsia" w:ascii="Dialog" w:hAnsi="Dialog"/>
                <w:sz w:val="21"/>
                <w:szCs w:val="21"/>
                <w:highlight w:val="none"/>
              </w:rPr>
            </w:pPr>
            <w:r>
              <w:rPr>
                <w:rFonts w:hint="eastAsia" w:ascii="Dialog" w:hAnsi="Dialog"/>
                <w:sz w:val="21"/>
                <w:szCs w:val="21"/>
                <w:highlight w:val="none"/>
                <w:lang w:val="en-US" w:eastAsia="zh-CN"/>
              </w:rPr>
              <w:t>具体功能点（数据治理能力）</w:t>
            </w:r>
          </w:p>
        </w:tc>
        <w:tc>
          <w:tcPr>
            <w:tcW w:w="4209" w:type="dxa"/>
            <w:vAlign w:val="center"/>
          </w:tcPr>
          <w:p>
            <w:pPr>
              <w:numPr>
                <w:ilvl w:val="0"/>
                <w:numId w:val="0"/>
              </w:numPr>
              <w:spacing w:line="360" w:lineRule="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★1）分布式计算，支持多租户隔离，支持Spark数据安全，支持Impala进行OLAP计算；</w:t>
            </w:r>
          </w:p>
          <w:p>
            <w:pPr>
              <w:numPr>
                <w:ilvl w:val="0"/>
                <w:numId w:val="0"/>
              </w:numPr>
              <w:spacing w:line="360" w:lineRule="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★2）分布式存储，支持数据逻辑删除，支持HDFS存储数据统计；</w:t>
            </w:r>
          </w:p>
          <w:p>
            <w:pPr>
              <w:numPr>
                <w:ilvl w:val="0"/>
                <w:numId w:val="0"/>
              </w:numPr>
              <w:spacing w:line="360" w:lineRule="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★3）多集群部署，满足跨物理集群的部署和管理；</w:t>
            </w:r>
          </w:p>
          <w:p>
            <w:pPr>
              <w:numPr>
                <w:ilvl w:val="0"/>
                <w:numId w:val="0"/>
              </w:numPr>
              <w:spacing w:line="360" w:lineRule="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4）监控管理，提供产品及集群多种性能指标的监控看板，及自定义规则设置；</w:t>
            </w:r>
          </w:p>
          <w:p>
            <w:pPr>
              <w:numPr>
                <w:ilvl w:val="0"/>
                <w:numId w:val="0"/>
              </w:numPr>
              <w:spacing w:line="360" w:lineRule="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★5）权限管理，具备“用户-角色-权限”的权限管理体系，可进行细颗粒度的数据权限、功能权限配置；</w:t>
            </w:r>
          </w:p>
          <w:p>
            <w:pPr>
              <w:numPr>
                <w:ilvl w:val="0"/>
                <w:numId w:val="0"/>
              </w:numPr>
              <w:spacing w:line="360" w:lineRule="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★6）数据源管理，平台支持多种数据源，形式不限于批或流的方式；</w:t>
            </w:r>
          </w:p>
          <w:p>
            <w:pPr>
              <w:numPr>
                <w:ilvl w:val="0"/>
                <w:numId w:val="0"/>
              </w:numPr>
              <w:spacing w:line="360" w:lineRule="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★7）数据集成，支持批量数据同步、实时同步，支持通过向导方式快速进行数据传输任务开发，并可配置过滤条件、重试次数、切分键；</w:t>
            </w:r>
          </w:p>
          <w:p>
            <w:pPr>
              <w:numPr>
                <w:ilvl w:val="0"/>
                <w:numId w:val="0"/>
              </w:numPr>
              <w:spacing w:line="360" w:lineRule="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★8）数据入湖，支持逻辑入湖和物理入湖的两种入湖方式，支持冷、热存储，支持结构化/半结构化/非结构化数据存储；</w:t>
            </w:r>
          </w:p>
          <w:p>
            <w:pPr>
              <w:numPr>
                <w:ilvl w:val="0"/>
                <w:numId w:val="0"/>
              </w:numPr>
              <w:spacing w:line="360" w:lineRule="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9）数仓规范设计，支持数仓规划、主题域的配置和管理，支持表分层管理，支持数据建模引用数据标准，进行模型设计；</w:t>
            </w:r>
          </w:p>
          <w:p>
            <w:pPr>
              <w:numPr>
                <w:ilvl w:val="0"/>
                <w:numId w:val="0"/>
              </w:numPr>
              <w:spacing w:line="360" w:lineRule="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10）任务开发与调度，支持通过可视化的方式进行数据开发，支持开发模式和生产模式的物理集群隔离，保证数据安全，支持告警组设置；</w:t>
            </w:r>
          </w:p>
          <w:p>
            <w:pPr>
              <w:numPr>
                <w:ilvl w:val="0"/>
                <w:numId w:val="0"/>
              </w:numPr>
              <w:spacing w:line="360" w:lineRule="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11）即席查询，支持可视化交互查询，支持查询日志的可视化显示；</w:t>
            </w:r>
          </w:p>
          <w:p>
            <w:pPr>
              <w:numPr>
                <w:ilvl w:val="0"/>
                <w:numId w:val="0"/>
              </w:numPr>
              <w:spacing w:line="360" w:lineRule="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12）指标管理，支持指标基础信息管理，支持指标生命周期管理；</w:t>
            </w:r>
          </w:p>
          <w:p>
            <w:pPr>
              <w:numPr>
                <w:ilvl w:val="0"/>
                <w:numId w:val="0"/>
              </w:numPr>
              <w:spacing w:line="360" w:lineRule="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13）标签管理，支持多种标签开发方式，具备构建业务标签模型方式方法，支持查询标签资产；</w:t>
            </w:r>
          </w:p>
          <w:p>
            <w:pPr>
              <w:numPr>
                <w:ilvl w:val="0"/>
                <w:numId w:val="0"/>
              </w:numPr>
              <w:spacing w:line="360" w:lineRule="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★14）数据服务，支持通过向导模式和脚本模式生成API，支持API管理，数据服务引擎支持MPP数据集市；</w:t>
            </w:r>
          </w:p>
          <w:p>
            <w:pPr>
              <w:numPr>
                <w:ilvl w:val="0"/>
                <w:numId w:val="0"/>
              </w:numPr>
              <w:spacing w:line="360" w:lineRule="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★15）元数据管理，支持从物理视图（数据库角度）展示项目内和项目外的表的基础信息，支持跳转到数据地图产品查看更多表的详细信息；</w:t>
            </w:r>
          </w:p>
          <w:p>
            <w:pPr>
              <w:numPr>
                <w:ilvl w:val="0"/>
                <w:numId w:val="0"/>
              </w:numPr>
              <w:spacing w:line="360" w:lineRule="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16）任务运维，支持通过运维概览页面查看整个项目运维情况，支持周期实例和补数据实例，支持对失败任务的重跑；</w:t>
            </w:r>
          </w:p>
          <w:p>
            <w:pPr>
              <w:numPr>
                <w:ilvl w:val="0"/>
                <w:numId w:val="0"/>
              </w:numPr>
              <w:spacing w:line="360" w:lineRule="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17）数据质量，质量监控规则支持字段级和表级的模板规则，支持配置数据质量的强弱规则，依托离线开发任务，支持任务监控报警，支持质量异常和检测失败报警，支持邮件、短信等多种通知方式；</w:t>
            </w:r>
          </w:p>
          <w:p>
            <w:pPr>
              <w:numPr>
                <w:ilvl w:val="0"/>
                <w:numId w:val="0"/>
              </w:numPr>
              <w:spacing w:line="360" w:lineRule="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18）数据安全，支持数据保护，可进行数据安全等级分类、数据敏感类型管理，支持数据敏感识别，支持HDFS透明存储加密、加密函数管理&amp;应用；</w:t>
            </w:r>
          </w:p>
          <w:p>
            <w:pPr>
              <w:numPr>
                <w:ilvl w:val="0"/>
                <w:numId w:val="0"/>
              </w:numPr>
              <w:spacing w:line="360" w:lineRule="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★19）工单系统响应，具备规范的工单响应机制；</w:t>
            </w:r>
          </w:p>
          <w:p>
            <w:pPr>
              <w:numPr>
                <w:ilvl w:val="0"/>
                <w:numId w:val="0"/>
              </w:numPr>
              <w:spacing w:line="360" w:lineRule="auto"/>
              <w:rPr>
                <w:rFonts w:hint="eastAsia" w:asciiTheme="minorEastAsia" w:hAnsiTheme="minorEastAsia" w:eastAsiaTheme="minorEastAsia" w:cstheme="minorEastAsia"/>
                <w:b w:val="0"/>
                <w:bCs w:val="0"/>
                <w:sz w:val="21"/>
                <w:szCs w:val="21"/>
                <w:highlight w:val="none"/>
                <w:lang w:val="en-US" w:eastAsia="zh-CN"/>
              </w:rPr>
            </w:pPr>
            <w:r>
              <w:rPr>
                <w:rFonts w:hint="eastAsia" w:asciiTheme="minorEastAsia" w:hAnsiTheme="minorEastAsia" w:eastAsiaTheme="minorEastAsia" w:cstheme="minorEastAsia"/>
                <w:b w:val="0"/>
                <w:bCs w:val="0"/>
                <w:sz w:val="21"/>
                <w:szCs w:val="21"/>
                <w:highlight w:val="none"/>
                <w:lang w:val="en-US" w:eastAsia="zh-CN"/>
              </w:rPr>
              <w:t>每个功能点</w:t>
            </w:r>
            <w:r>
              <w:rPr>
                <w:rFonts w:hint="eastAsia" w:asciiTheme="minorEastAsia" w:hAnsiTheme="minorEastAsia" w:cstheme="minorEastAsia"/>
                <w:b w:val="0"/>
                <w:bCs w:val="0"/>
                <w:sz w:val="21"/>
                <w:szCs w:val="21"/>
                <w:highlight w:val="none"/>
                <w:lang w:val="en-US" w:eastAsia="zh-CN"/>
              </w:rPr>
              <w:t>2</w:t>
            </w:r>
            <w:r>
              <w:rPr>
                <w:rFonts w:hint="eastAsia" w:asciiTheme="minorEastAsia" w:hAnsiTheme="minorEastAsia" w:eastAsiaTheme="minorEastAsia" w:cstheme="minorEastAsia"/>
                <w:b w:val="0"/>
                <w:bCs w:val="0"/>
                <w:sz w:val="21"/>
                <w:szCs w:val="21"/>
                <w:highlight w:val="none"/>
                <w:lang w:val="en-US" w:eastAsia="zh-CN"/>
              </w:rPr>
              <w:t>分，</w:t>
            </w:r>
            <w:r>
              <w:rPr>
                <w:rFonts w:hint="eastAsia" w:asciiTheme="minorEastAsia" w:hAnsiTheme="minorEastAsia" w:cstheme="minorEastAsia"/>
                <w:b w:val="0"/>
                <w:bCs w:val="0"/>
                <w:sz w:val="21"/>
                <w:szCs w:val="21"/>
                <w:highlight w:val="none"/>
                <w:lang w:val="en-US" w:eastAsia="zh-CN"/>
              </w:rPr>
              <w:t>全部细项都满足得2分，存在基本满足的细项得1分，存在不满足的细项得0分</w:t>
            </w:r>
            <w:r>
              <w:rPr>
                <w:rFonts w:hint="eastAsia" w:asciiTheme="minorEastAsia" w:hAnsiTheme="minorEastAsia" w:eastAsiaTheme="minorEastAsia" w:cstheme="minorEastAsia"/>
                <w:b w:val="0"/>
                <w:bCs w:val="0"/>
                <w:sz w:val="21"/>
                <w:szCs w:val="21"/>
                <w:highlight w:val="none"/>
                <w:lang w:val="en-US" w:eastAsia="zh-CN"/>
              </w:rPr>
              <w:t>。</w:t>
            </w:r>
          </w:p>
          <w:p>
            <w:pPr>
              <w:numPr>
                <w:ilvl w:val="0"/>
                <w:numId w:val="0"/>
              </w:numPr>
              <w:spacing w:line="360" w:lineRule="auto"/>
              <w:ind w:left="0" w:leftChars="0" w:firstLine="0" w:firstLineChars="0"/>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注：（详见技术规范书3.1.2.应用功能）上述基础能力点需应答满足或基本满足且有详细的说明方可得分，若不满足、或应答满足但功能模块说明不详细、无提供功能对应系统页面截图或证明材料则不得分，同时“★”要求的关键模块为必须响应功能，必须满足或基本满足，否则此详细评审项不得分。</w:t>
            </w:r>
          </w:p>
        </w:tc>
        <w:tc>
          <w:tcPr>
            <w:tcW w:w="1052" w:type="dxa"/>
            <w:vAlign w:val="center"/>
          </w:tcPr>
          <w:p>
            <w:pPr>
              <w:pStyle w:val="4"/>
              <w:spacing w:line="360" w:lineRule="auto"/>
              <w:ind w:right="0" w:rightChars="0"/>
              <w:jc w:val="center"/>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38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0" w:type="dxa"/>
            <w:vAlign w:val="center"/>
          </w:tcPr>
          <w:p>
            <w:pPr>
              <w:spacing w:line="400" w:lineRule="exact"/>
              <w:jc w:val="center"/>
              <w:rPr>
                <w:rFonts w:hint="eastAsia" w:eastAsiaTheme="minorEastAsia"/>
                <w:lang w:val="en-US" w:eastAsia="zh-CN"/>
              </w:rPr>
            </w:pPr>
            <w:r>
              <w:rPr>
                <w:rFonts w:hint="eastAsia"/>
                <w:lang w:val="en-US" w:eastAsia="zh-CN"/>
              </w:rPr>
              <w:t>4</w:t>
            </w:r>
          </w:p>
        </w:tc>
        <w:tc>
          <w:tcPr>
            <w:tcW w:w="1052" w:type="dxa"/>
            <w:vAlign w:val="center"/>
          </w:tcPr>
          <w:p>
            <w:pPr>
              <w:spacing w:line="360" w:lineRule="auto"/>
              <w:jc w:val="center"/>
              <w:rPr>
                <w:rFonts w:asciiTheme="minorHAnsi" w:hAnsiTheme="minorHAnsi" w:eastAsiaTheme="minorEastAsia" w:cstheme="minorBidi"/>
                <w:kern w:val="2"/>
                <w:sz w:val="21"/>
                <w:szCs w:val="24"/>
                <w:lang w:val="en-US" w:eastAsia="zh-CN" w:bidi="ar-SA"/>
              </w:rPr>
            </w:pPr>
            <w:r>
              <w:rPr>
                <w:rFonts w:hint="eastAsia"/>
                <w:lang w:val="en-US" w:eastAsia="zh-CN"/>
              </w:rPr>
              <w:t>平台能力</w:t>
            </w:r>
          </w:p>
        </w:tc>
        <w:tc>
          <w:tcPr>
            <w:tcW w:w="1579" w:type="dxa"/>
            <w:vAlign w:val="center"/>
          </w:tcPr>
          <w:p>
            <w:pPr>
              <w:pStyle w:val="4"/>
              <w:spacing w:line="360" w:lineRule="auto"/>
              <w:jc w:val="center"/>
              <w:rPr>
                <w:rFonts w:hint="eastAsia" w:asciiTheme="minorHAnsi" w:hAnsiTheme="minorHAnsi" w:eastAsiaTheme="minorEastAsia" w:cstheme="minorBidi"/>
                <w:kern w:val="2"/>
                <w:sz w:val="21"/>
                <w:szCs w:val="21"/>
                <w:highlight w:val="none"/>
                <w:lang w:val="en-US" w:eastAsia="zh-CN" w:bidi="ar-SA"/>
              </w:rPr>
            </w:pPr>
            <w:r>
              <w:rPr>
                <w:rFonts w:hint="eastAsia" w:ascii="Dialog" w:hAnsi="Dialog"/>
                <w:sz w:val="21"/>
                <w:szCs w:val="21"/>
                <w:highlight w:val="none"/>
                <w:lang w:val="en-US" w:eastAsia="zh-CN"/>
              </w:rPr>
              <w:t>具体功能点（埋点采集能力）</w:t>
            </w:r>
          </w:p>
        </w:tc>
        <w:tc>
          <w:tcPr>
            <w:tcW w:w="4209" w:type="dxa"/>
            <w:vAlign w:val="center"/>
          </w:tcPr>
          <w:p>
            <w:pPr>
              <w:numPr>
                <w:ilvl w:val="0"/>
                <w:numId w:val="0"/>
              </w:numPr>
              <w:spacing w:line="360" w:lineRule="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（1）埋点能力，支持客户端埋点SDK、服务端埋点SDK，SDK采集符合个人信息保护法安全规范，支持事件实时查询，支持移动端数据采集的实时校验，提供数据质量诊断工具，提升实施环节数据校验效率；</w:t>
            </w:r>
          </w:p>
          <w:p>
            <w:pPr>
              <w:numPr>
                <w:ilvl w:val="0"/>
                <w:numId w:val="0"/>
              </w:numPr>
              <w:spacing w:line="360" w:lineRule="auto"/>
              <w:rPr>
                <w:rFonts w:hint="eastAsia"/>
                <w:b w:val="0"/>
                <w:bCs w:val="0"/>
                <w:sz w:val="21"/>
                <w:szCs w:val="21"/>
                <w:highlight w:val="none"/>
                <w:lang w:val="en-US" w:eastAsia="zh-CN"/>
              </w:rPr>
            </w:pPr>
            <w:r>
              <w:rPr>
                <w:rFonts w:hint="eastAsia"/>
                <w:b w:val="0"/>
                <w:bCs w:val="0"/>
                <w:sz w:val="21"/>
                <w:szCs w:val="21"/>
                <w:highlight w:val="none"/>
                <w:lang w:val="en-US" w:eastAsia="zh-CN"/>
              </w:rPr>
              <w:t>2）看板能力，支持数据报表和数据看板管理能力，支持看板和报表的隐私权限管理；</w:t>
            </w:r>
          </w:p>
          <w:p>
            <w:pPr>
              <w:numPr>
                <w:ilvl w:val="0"/>
                <w:numId w:val="0"/>
              </w:numPr>
              <w:spacing w:line="360" w:lineRule="auto"/>
              <w:rPr>
                <w:rFonts w:hint="eastAsia"/>
                <w:b w:val="0"/>
                <w:bCs w:val="0"/>
                <w:sz w:val="21"/>
                <w:szCs w:val="21"/>
                <w:highlight w:val="none"/>
                <w:lang w:val="en-US" w:eastAsia="zh-CN"/>
              </w:rPr>
            </w:pPr>
            <w:r>
              <w:rPr>
                <w:rFonts w:hint="eastAsia"/>
                <w:b w:val="0"/>
                <w:bCs w:val="0"/>
                <w:sz w:val="21"/>
                <w:szCs w:val="21"/>
                <w:highlight w:val="none"/>
                <w:lang w:val="en-US" w:eastAsia="zh-CN"/>
              </w:rPr>
              <w:t>3）数据分析模型，支持11种分析模型中的7种及以上（事件分析、漏斗分析、用户路径分析、留存分析、分布分析、归因分析、间隔分析、热力图分析、session分析、LTV分析、KPI分析）；</w:t>
            </w:r>
          </w:p>
          <w:p>
            <w:pPr>
              <w:numPr>
                <w:ilvl w:val="0"/>
                <w:numId w:val="0"/>
              </w:numPr>
              <w:spacing w:line="360" w:lineRule="auto"/>
              <w:rPr>
                <w:rFonts w:hint="eastAsia"/>
                <w:b w:val="0"/>
                <w:bCs w:val="0"/>
                <w:sz w:val="21"/>
                <w:szCs w:val="21"/>
                <w:highlight w:val="none"/>
                <w:lang w:val="en-US" w:eastAsia="zh-CN"/>
              </w:rPr>
            </w:pPr>
            <w:r>
              <w:rPr>
                <w:rFonts w:hint="eastAsia" w:ascii="宋体" w:hAnsi="宋体" w:cs="宋体"/>
                <w:b w:val="0"/>
                <w:bCs w:val="0"/>
                <w:sz w:val="21"/>
                <w:szCs w:val="21"/>
                <w:highlight w:val="none"/>
                <w:lang w:val="en-US" w:eastAsia="zh-CN"/>
              </w:rPr>
              <w:t>★</w:t>
            </w:r>
            <w:r>
              <w:rPr>
                <w:rFonts w:hint="eastAsia"/>
                <w:b w:val="0"/>
                <w:bCs w:val="0"/>
                <w:sz w:val="21"/>
                <w:szCs w:val="21"/>
                <w:highlight w:val="none"/>
                <w:lang w:val="en-US" w:eastAsia="zh-CN"/>
              </w:rPr>
              <w:t>4）数据管理，支持基于四则运算新建自定义指标，支持元数据管理功能；</w:t>
            </w:r>
          </w:p>
          <w:p>
            <w:pPr>
              <w:numPr>
                <w:ilvl w:val="0"/>
                <w:numId w:val="0"/>
              </w:numPr>
              <w:spacing w:line="360" w:lineRule="auto"/>
              <w:rPr>
                <w:rFonts w:hint="eastAsia" w:asciiTheme="minorEastAsia" w:hAnsiTheme="minorEastAsia" w:eastAsiaTheme="minorEastAsia" w:cstheme="minorEastAsia"/>
                <w:b w:val="0"/>
                <w:bCs w:val="0"/>
                <w:sz w:val="21"/>
                <w:szCs w:val="21"/>
                <w:highlight w:val="none"/>
                <w:lang w:val="en-US" w:eastAsia="zh-CN"/>
              </w:rPr>
            </w:pPr>
            <w:r>
              <w:rPr>
                <w:rFonts w:hint="eastAsia" w:asciiTheme="minorEastAsia" w:hAnsiTheme="minorEastAsia" w:eastAsiaTheme="minorEastAsia" w:cstheme="minorEastAsia"/>
                <w:b w:val="0"/>
                <w:bCs w:val="0"/>
                <w:sz w:val="21"/>
                <w:szCs w:val="21"/>
                <w:highlight w:val="none"/>
                <w:lang w:val="en-US" w:eastAsia="zh-CN"/>
              </w:rPr>
              <w:t>每个功能点</w:t>
            </w:r>
            <w:r>
              <w:rPr>
                <w:rFonts w:hint="eastAsia" w:asciiTheme="minorEastAsia" w:hAnsiTheme="minorEastAsia" w:cstheme="minorEastAsia"/>
                <w:b w:val="0"/>
                <w:bCs w:val="0"/>
                <w:sz w:val="21"/>
                <w:szCs w:val="21"/>
                <w:highlight w:val="none"/>
                <w:lang w:val="en-US" w:eastAsia="zh-CN"/>
              </w:rPr>
              <w:t>1</w:t>
            </w:r>
            <w:r>
              <w:rPr>
                <w:rFonts w:hint="eastAsia" w:asciiTheme="minorEastAsia" w:hAnsiTheme="minorEastAsia" w:eastAsiaTheme="minorEastAsia" w:cstheme="minorEastAsia"/>
                <w:b w:val="0"/>
                <w:bCs w:val="0"/>
                <w:sz w:val="21"/>
                <w:szCs w:val="21"/>
                <w:highlight w:val="none"/>
                <w:lang w:val="en-US" w:eastAsia="zh-CN"/>
              </w:rPr>
              <w:t>分，</w:t>
            </w:r>
            <w:r>
              <w:rPr>
                <w:rFonts w:hint="eastAsia" w:asciiTheme="minorEastAsia" w:hAnsiTheme="minorEastAsia" w:cstheme="minorEastAsia"/>
                <w:b w:val="0"/>
                <w:bCs w:val="0"/>
                <w:sz w:val="21"/>
                <w:szCs w:val="21"/>
                <w:highlight w:val="none"/>
                <w:lang w:val="en-US" w:eastAsia="zh-CN"/>
              </w:rPr>
              <w:t>全部细项都满足得1分，存在基本满足的细项得0.5分，存在不满足的细项得0分</w:t>
            </w:r>
            <w:r>
              <w:rPr>
                <w:rFonts w:hint="eastAsia" w:asciiTheme="minorEastAsia" w:hAnsiTheme="minorEastAsia" w:eastAsiaTheme="minorEastAsia" w:cstheme="minorEastAsia"/>
                <w:b w:val="0"/>
                <w:bCs w:val="0"/>
                <w:sz w:val="21"/>
                <w:szCs w:val="21"/>
                <w:highlight w:val="none"/>
                <w:lang w:val="en-US" w:eastAsia="zh-CN"/>
              </w:rPr>
              <w:t>。</w:t>
            </w:r>
          </w:p>
          <w:p>
            <w:pPr>
              <w:numPr>
                <w:ilvl w:val="0"/>
                <w:numId w:val="0"/>
              </w:numPr>
              <w:spacing w:line="360" w:lineRule="auto"/>
              <w:ind w:left="0" w:leftChars="0" w:firstLine="0" w:firstLineChars="0"/>
              <w:rPr>
                <w:rFonts w:hint="eastAsia" w:asciiTheme="minorHAnsi" w:hAnsiTheme="minorHAnsi" w:eastAsiaTheme="minorEastAsia" w:cstheme="minorBidi"/>
                <w:kern w:val="2"/>
                <w:sz w:val="21"/>
                <w:szCs w:val="21"/>
                <w:highlight w:val="none"/>
                <w:lang w:val="en-US" w:eastAsia="zh-CN" w:bidi="ar-SA"/>
              </w:rPr>
            </w:pPr>
            <w:r>
              <w:rPr>
                <w:rFonts w:hint="eastAsia" w:ascii="宋体" w:hAnsi="宋体" w:cs="宋体"/>
                <w:sz w:val="21"/>
                <w:szCs w:val="21"/>
                <w:highlight w:val="none"/>
                <w:lang w:val="en-US" w:eastAsia="zh-CN"/>
              </w:rPr>
              <w:t>注：（详见技术规范书3.1.2.应用功能）上述功能点需应答满足或基本满足且有详细的说明方可得分，若不满足、或应答满足但功能模块说明不详细、无提供功能对应系统页面截图或证明材料则不得分，同时“★”要求的关键模块为必须响应功能，必须满足或基本满足，否则此详细评审项不得分。</w:t>
            </w:r>
          </w:p>
        </w:tc>
        <w:tc>
          <w:tcPr>
            <w:tcW w:w="1052" w:type="dxa"/>
            <w:vAlign w:val="center"/>
          </w:tcPr>
          <w:p>
            <w:pPr>
              <w:pStyle w:val="4"/>
              <w:spacing w:line="360" w:lineRule="auto"/>
              <w:ind w:right="0" w:rightChars="0"/>
              <w:jc w:val="center"/>
              <w:rPr>
                <w:rFonts w:hint="eastAsia" w:asciiTheme="minorHAnsi" w:hAnsiTheme="minorHAnsi" w:eastAsiaTheme="minorEastAsia" w:cstheme="minorBidi"/>
                <w:kern w:val="2"/>
                <w:sz w:val="21"/>
                <w:szCs w:val="21"/>
                <w:highlight w:val="none"/>
                <w:lang w:val="en-US" w:eastAsia="zh-CN" w:bidi="ar-SA"/>
              </w:rPr>
            </w:pPr>
            <w:r>
              <w:rPr>
                <w:rFonts w:hint="eastAsia" w:ascii="宋体" w:hAnsi="宋体" w:cs="宋体"/>
                <w:color w:val="000000" w:themeColor="text1"/>
                <w:sz w:val="21"/>
                <w:szCs w:val="21"/>
                <w:highlight w:val="none"/>
                <w:lang w:val="en-US" w:eastAsia="zh-CN"/>
                <w14:textFill>
                  <w14:solidFill>
                    <w14:schemeClr w14:val="tx1"/>
                  </w14:solidFill>
                </w14:textFill>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0" w:type="dxa"/>
            <w:vAlign w:val="center"/>
          </w:tcPr>
          <w:p>
            <w:pPr>
              <w:spacing w:line="400" w:lineRule="exact"/>
              <w:jc w:val="center"/>
              <w:rPr>
                <w:rFonts w:hint="eastAsia" w:eastAsiaTheme="minorEastAsia"/>
                <w:lang w:val="en-US" w:eastAsia="zh-CN"/>
              </w:rPr>
            </w:pPr>
            <w:r>
              <w:rPr>
                <w:rFonts w:hint="eastAsia"/>
                <w:lang w:val="en-US" w:eastAsia="zh-CN"/>
              </w:rPr>
              <w:t>5</w:t>
            </w:r>
          </w:p>
        </w:tc>
        <w:tc>
          <w:tcPr>
            <w:tcW w:w="1052" w:type="dxa"/>
            <w:vAlign w:val="center"/>
          </w:tcPr>
          <w:p>
            <w:pPr>
              <w:spacing w:line="360" w:lineRule="auto"/>
              <w:jc w:val="center"/>
            </w:pPr>
            <w:r>
              <w:rPr>
                <w:rFonts w:hint="eastAsia"/>
                <w:lang w:val="en-US" w:eastAsia="zh-CN"/>
              </w:rPr>
              <w:t>平台能力</w:t>
            </w:r>
          </w:p>
        </w:tc>
        <w:tc>
          <w:tcPr>
            <w:tcW w:w="1579" w:type="dxa"/>
            <w:vAlign w:val="center"/>
          </w:tcPr>
          <w:p>
            <w:pPr>
              <w:pStyle w:val="4"/>
              <w:spacing w:line="360" w:lineRule="auto"/>
              <w:jc w:val="center"/>
              <w:rPr>
                <w:rFonts w:hint="eastAsia" w:ascii="Dialog" w:hAnsi="Dialog"/>
                <w:sz w:val="21"/>
                <w:szCs w:val="21"/>
                <w:highlight w:val="none"/>
              </w:rPr>
            </w:pPr>
            <w:r>
              <w:rPr>
                <w:rFonts w:hint="eastAsia" w:ascii="Dialog" w:hAnsi="Dialog"/>
                <w:sz w:val="21"/>
                <w:szCs w:val="21"/>
                <w:highlight w:val="none"/>
                <w:lang w:val="en-US" w:eastAsia="zh-CN"/>
              </w:rPr>
              <w:t>具体功能点（数据可视化能力）</w:t>
            </w:r>
          </w:p>
        </w:tc>
        <w:tc>
          <w:tcPr>
            <w:tcW w:w="4209" w:type="dxa"/>
            <w:vAlign w:val="center"/>
          </w:tcPr>
          <w:p>
            <w:pPr>
              <w:numPr>
                <w:ilvl w:val="0"/>
                <w:numId w:val="1"/>
              </w:numPr>
              <w:spacing w:line="360" w:lineRule="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统一服务平台要求，支持多人协作、性能监控管理、权限管理、数据脱敏、水印、资产备份、缓存设置等；</w:t>
            </w:r>
          </w:p>
          <w:p>
            <w:pPr>
              <w:numPr>
                <w:ilvl w:val="0"/>
                <w:numId w:val="0"/>
              </w:numPr>
              <w:spacing w:line="360" w:lineRule="auto"/>
              <w:rPr>
                <w:rFonts w:hint="eastAsia"/>
                <w:b w:val="0"/>
                <w:bCs w:val="0"/>
                <w:sz w:val="21"/>
                <w:szCs w:val="21"/>
                <w:highlight w:val="none"/>
                <w:lang w:val="en-US" w:eastAsia="zh-CN"/>
              </w:rPr>
            </w:pPr>
            <w:r>
              <w:rPr>
                <w:rFonts w:hint="eastAsia" w:ascii="宋体" w:hAnsi="宋体" w:cs="宋体"/>
                <w:b w:val="0"/>
                <w:bCs w:val="0"/>
                <w:sz w:val="21"/>
                <w:szCs w:val="21"/>
                <w:highlight w:val="none"/>
                <w:lang w:val="en-US" w:eastAsia="zh-CN"/>
              </w:rPr>
              <w:t>★</w:t>
            </w:r>
            <w:r>
              <w:rPr>
                <w:rFonts w:hint="eastAsia"/>
                <w:b w:val="0"/>
                <w:bCs w:val="0"/>
                <w:sz w:val="21"/>
                <w:szCs w:val="21"/>
                <w:highlight w:val="none"/>
                <w:lang w:val="en-US" w:eastAsia="zh-CN"/>
              </w:rPr>
              <w:t>2）数据准备，支持直接跨库、跨数据源关联数据，支持数据转换和数据建模，支持设置可见性、地址转经纬度、多选字段隐藏、多选字段删除等功能；</w:t>
            </w:r>
          </w:p>
          <w:p>
            <w:pPr>
              <w:numPr>
                <w:ilvl w:val="0"/>
                <w:numId w:val="0"/>
              </w:numPr>
              <w:spacing w:line="360" w:lineRule="auto"/>
              <w:rPr>
                <w:rFonts w:hint="eastAsia"/>
                <w:b w:val="0"/>
                <w:bCs w:val="0"/>
                <w:sz w:val="21"/>
                <w:szCs w:val="21"/>
                <w:highlight w:val="none"/>
                <w:lang w:val="en-US" w:eastAsia="zh-CN"/>
              </w:rPr>
            </w:pPr>
            <w:r>
              <w:rPr>
                <w:rFonts w:hint="eastAsia" w:ascii="宋体" w:hAnsi="宋体" w:cs="宋体"/>
                <w:b w:val="0"/>
                <w:bCs w:val="0"/>
                <w:sz w:val="21"/>
                <w:szCs w:val="21"/>
                <w:highlight w:val="none"/>
                <w:lang w:val="en-US" w:eastAsia="zh-CN"/>
              </w:rPr>
              <w:t>★</w:t>
            </w:r>
            <w:r>
              <w:rPr>
                <w:rFonts w:hint="eastAsia"/>
                <w:b w:val="0"/>
                <w:bCs w:val="0"/>
                <w:sz w:val="21"/>
                <w:szCs w:val="21"/>
                <w:highlight w:val="none"/>
                <w:lang w:val="en-US" w:eastAsia="zh-CN"/>
              </w:rPr>
              <w:t>3）报表报告，支持中国式复杂报表、数据填报，自带常用计算函数，用户也可自定义计算函数和计算方法；</w:t>
            </w:r>
          </w:p>
          <w:p>
            <w:pPr>
              <w:numPr>
                <w:ilvl w:val="0"/>
                <w:numId w:val="0"/>
              </w:numPr>
              <w:spacing w:line="360" w:lineRule="auto"/>
              <w:rPr>
                <w:rFonts w:hint="eastAsia"/>
                <w:b w:val="0"/>
                <w:bCs w:val="0"/>
                <w:sz w:val="21"/>
                <w:szCs w:val="21"/>
                <w:highlight w:val="none"/>
                <w:lang w:val="en-US" w:eastAsia="zh-CN"/>
              </w:rPr>
            </w:pPr>
            <w:r>
              <w:rPr>
                <w:rFonts w:hint="eastAsia" w:ascii="宋体" w:hAnsi="宋体" w:cs="宋体"/>
                <w:b w:val="0"/>
                <w:bCs w:val="0"/>
                <w:sz w:val="21"/>
                <w:szCs w:val="21"/>
                <w:highlight w:val="none"/>
                <w:lang w:val="en-US" w:eastAsia="zh-CN"/>
              </w:rPr>
              <w:t>★</w:t>
            </w:r>
            <w:r>
              <w:rPr>
                <w:rFonts w:hint="eastAsia"/>
                <w:b w:val="0"/>
                <w:bCs w:val="0"/>
                <w:sz w:val="21"/>
                <w:szCs w:val="21"/>
                <w:highlight w:val="none"/>
                <w:lang w:val="en-US" w:eastAsia="zh-CN"/>
              </w:rPr>
              <w:t>4）数据分析，支持多维度分析、自定义图表、制作报告和查看报告，具备丰富的仪表盘组件；</w:t>
            </w:r>
          </w:p>
          <w:p>
            <w:pPr>
              <w:numPr>
                <w:ilvl w:val="0"/>
                <w:numId w:val="0"/>
              </w:numPr>
              <w:spacing w:line="360" w:lineRule="auto"/>
              <w:rPr>
                <w:rFonts w:hint="eastAsia"/>
                <w:b w:val="0"/>
                <w:bCs w:val="0"/>
                <w:sz w:val="21"/>
                <w:szCs w:val="21"/>
                <w:highlight w:val="none"/>
                <w:lang w:val="en-US" w:eastAsia="zh-CN"/>
              </w:rPr>
            </w:pPr>
            <w:r>
              <w:rPr>
                <w:rFonts w:hint="eastAsia"/>
                <w:b w:val="0"/>
                <w:bCs w:val="0"/>
                <w:sz w:val="21"/>
                <w:szCs w:val="21"/>
                <w:highlight w:val="none"/>
                <w:lang w:val="en-US" w:eastAsia="zh-CN"/>
              </w:rPr>
              <w:t>5）移动端，支持移动端集成，支持移动端水印，支持图表和表格双击组件全屏，全屏状态下，支持笔刷和钻取等交互操作；</w:t>
            </w:r>
          </w:p>
          <w:p>
            <w:pPr>
              <w:numPr>
                <w:ilvl w:val="0"/>
                <w:numId w:val="0"/>
              </w:numPr>
              <w:spacing w:line="360" w:lineRule="auto"/>
              <w:rPr>
                <w:rFonts w:hint="eastAsia" w:asciiTheme="minorEastAsia" w:hAnsiTheme="minorEastAsia" w:eastAsiaTheme="minorEastAsia" w:cstheme="minorEastAsia"/>
                <w:b w:val="0"/>
                <w:bCs w:val="0"/>
                <w:sz w:val="21"/>
                <w:szCs w:val="21"/>
                <w:highlight w:val="none"/>
                <w:lang w:val="en-US" w:eastAsia="zh-CN"/>
              </w:rPr>
            </w:pPr>
            <w:r>
              <w:rPr>
                <w:rFonts w:hint="eastAsia" w:asciiTheme="minorEastAsia" w:hAnsiTheme="minorEastAsia" w:eastAsiaTheme="minorEastAsia" w:cstheme="minorEastAsia"/>
                <w:b w:val="0"/>
                <w:bCs w:val="0"/>
                <w:sz w:val="21"/>
                <w:szCs w:val="21"/>
                <w:highlight w:val="none"/>
                <w:lang w:val="en-US" w:eastAsia="zh-CN"/>
              </w:rPr>
              <w:t>每个功能点</w:t>
            </w:r>
            <w:r>
              <w:rPr>
                <w:rFonts w:hint="eastAsia" w:asciiTheme="minorEastAsia" w:hAnsiTheme="minorEastAsia" w:cstheme="minorEastAsia"/>
                <w:b w:val="0"/>
                <w:bCs w:val="0"/>
                <w:sz w:val="21"/>
                <w:szCs w:val="21"/>
                <w:highlight w:val="none"/>
                <w:lang w:val="en-US" w:eastAsia="zh-CN"/>
              </w:rPr>
              <w:t>2</w:t>
            </w:r>
            <w:r>
              <w:rPr>
                <w:rFonts w:hint="eastAsia" w:asciiTheme="minorEastAsia" w:hAnsiTheme="minorEastAsia" w:eastAsiaTheme="minorEastAsia" w:cstheme="minorEastAsia"/>
                <w:b w:val="0"/>
                <w:bCs w:val="0"/>
                <w:sz w:val="21"/>
                <w:szCs w:val="21"/>
                <w:highlight w:val="none"/>
                <w:lang w:val="en-US" w:eastAsia="zh-CN"/>
              </w:rPr>
              <w:t>分，</w:t>
            </w:r>
            <w:r>
              <w:rPr>
                <w:rFonts w:hint="eastAsia" w:asciiTheme="minorEastAsia" w:hAnsiTheme="minorEastAsia" w:cstheme="minorEastAsia"/>
                <w:b w:val="0"/>
                <w:bCs w:val="0"/>
                <w:sz w:val="21"/>
                <w:szCs w:val="21"/>
                <w:highlight w:val="none"/>
                <w:lang w:val="en-US" w:eastAsia="zh-CN"/>
              </w:rPr>
              <w:t>全部细项都满足得2分，存在基本满足的细项得1分，存在不满足的细项得0分</w:t>
            </w:r>
            <w:r>
              <w:rPr>
                <w:rFonts w:hint="eastAsia" w:asciiTheme="minorEastAsia" w:hAnsiTheme="minorEastAsia" w:eastAsiaTheme="minorEastAsia" w:cstheme="minorEastAsia"/>
                <w:b w:val="0"/>
                <w:bCs w:val="0"/>
                <w:sz w:val="21"/>
                <w:szCs w:val="21"/>
                <w:highlight w:val="none"/>
                <w:lang w:val="en-US" w:eastAsia="zh-CN"/>
              </w:rPr>
              <w:t>。</w:t>
            </w:r>
          </w:p>
          <w:p>
            <w:pPr>
              <w:numPr>
                <w:ilvl w:val="0"/>
                <w:numId w:val="0"/>
              </w:numPr>
              <w:spacing w:line="360" w:lineRule="auto"/>
              <w:ind w:left="0" w:leftChars="0" w:firstLine="0" w:firstLineChars="0"/>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注：（详见技术规范书3.1.2.应用功能）上述功能点需应答满足或基本满足且有详细的说明方可得分，若不满足、或应答满足但功能模块说明不详细、无提供功能对应系统页面截图或证明材料则不得分，同时“★”要求的关键模块为必须响应功能，必须满足或基本满足，否则此详细评审项不得分。</w:t>
            </w:r>
          </w:p>
        </w:tc>
        <w:tc>
          <w:tcPr>
            <w:tcW w:w="1052" w:type="dxa"/>
            <w:vAlign w:val="center"/>
          </w:tcPr>
          <w:p>
            <w:pPr>
              <w:pStyle w:val="4"/>
              <w:spacing w:line="360" w:lineRule="auto"/>
              <w:ind w:right="0" w:rightChars="0"/>
              <w:jc w:val="center"/>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10</w:t>
            </w:r>
          </w:p>
        </w:tc>
      </w:tr>
    </w:tbl>
    <w:p>
      <w:pPr>
        <w:rPr>
          <w:rFonts w:hint="eastAsia" w:ascii="新宋体" w:hAnsi="新宋体" w:eastAsia="新宋体" w:cs="新宋体"/>
          <w:sz w:val="28"/>
          <w:szCs w:val="28"/>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503050405090304"/>
    <w:charset w:val="7A"/>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新宋体">
    <w:panose1 w:val="02010609030101010101"/>
    <w:charset w:val="86"/>
    <w:family w:val="auto"/>
    <w:pitch w:val="default"/>
    <w:sig w:usb0="00000003" w:usb1="288F0000" w:usb2="00000006" w:usb3="00000000" w:csb0="00040001" w:csb1="00000000"/>
  </w:font>
  <w:font w:name="Dialog">
    <w:altName w:val="Times New Roman"/>
    <w:panose1 w:val="00000000000000000000"/>
    <w:charset w:val="00"/>
    <w:family w:val="roman"/>
    <w:pitch w:val="default"/>
    <w:sig w:usb0="00000000"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2ABD227"/>
    <w:multiLevelType w:val="singleLevel"/>
    <w:tmpl w:val="52ABD227"/>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58C5D1E"/>
    <w:rsid w:val="058C5D1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Table Paragraph"/>
    <w:basedOn w:val="1"/>
    <w:qFormat/>
    <w:uiPriority w:val="1"/>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2023-11-01T02:44:00Z</dcterms:created>
  <dc:creator>桂媛</dc:creator>
  <cp:lastModifiedBy>桂媛</cp:lastModifiedBy>
  <dcterms:modified xsi:type="dcterms:W3CDTF">2023-11-01T02:48:21Z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421D705F2F424E9489D77B0D82A17D0A</vt:lpwstr>
  </property>
</Properties>
</file>