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1" w:line="219" w:lineRule="auto"/>
        <w:ind w:left="593"/>
        <w:jc w:val="center"/>
        <w:outlineLvl w:val="0"/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  <w:lang w:val="en-US" w:eastAsia="zh-CN"/>
        </w:rPr>
        <w:t>广东新天河宾馆有限公司员工团体意外伤害保险项目</w:t>
      </w:r>
    </w:p>
    <w:p>
      <w:pPr>
        <w:spacing w:before="71" w:line="219" w:lineRule="auto"/>
        <w:ind w:left="593"/>
        <w:jc w:val="center"/>
        <w:outlineLvl w:val="0"/>
        <w:rPr>
          <w:rFonts w:ascii="FangSong_GB2312" w:hAnsi="FangSong_GB2312" w:eastAsia="FangSong_GB2312" w:cs="FangSong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</w:rPr>
        <w:t>采购</w:t>
      </w:r>
      <w:r>
        <w:rPr>
          <w:rFonts w:hint="eastAsia" w:ascii="仿宋_GB2312" w:hAnsi="仿宋_GB2312" w:eastAsia="仿宋_GB2312" w:cs="仿宋_GB2312"/>
          <w:b/>
          <w:bCs/>
          <w:spacing w:val="2"/>
          <w:sz w:val="32"/>
          <w:szCs w:val="32"/>
        </w:rPr>
        <w:t>文件</w:t>
      </w:r>
    </w:p>
    <w:p>
      <w:pPr>
        <w:spacing w:before="14"/>
      </w:pPr>
    </w:p>
    <w:tbl>
      <w:tblPr>
        <w:tblStyle w:val="7"/>
        <w:tblW w:w="10000" w:type="dxa"/>
        <w:tblInd w:w="-71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782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2175" w:type="dxa"/>
            <w:vAlign w:val="top"/>
          </w:tcPr>
          <w:p>
            <w:pPr>
              <w:pStyle w:val="8"/>
              <w:spacing w:before="261" w:line="219" w:lineRule="auto"/>
              <w:ind w:left="118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</w:rPr>
              <w:t>零星采购名称</w:t>
            </w:r>
          </w:p>
        </w:tc>
        <w:tc>
          <w:tcPr>
            <w:tcW w:w="7825" w:type="dxa"/>
            <w:vAlign w:val="top"/>
          </w:tcPr>
          <w:p>
            <w:pPr>
              <w:pStyle w:val="8"/>
              <w:spacing w:before="56" w:line="230" w:lineRule="auto"/>
              <w:ind w:left="2001" w:right="145" w:hanging="1828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lang w:val="en-US" w:eastAsia="zh-CN"/>
              </w:rPr>
              <w:t>广东新天河宾馆有限公司员工团体意外伤害保险项目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2175" w:type="dxa"/>
            <w:vAlign w:val="top"/>
          </w:tcPr>
          <w:p>
            <w:pPr>
              <w:pStyle w:val="8"/>
              <w:spacing w:before="247" w:line="221" w:lineRule="auto"/>
              <w:ind w:left="441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</w:rPr>
              <w:t>采购内容</w:t>
            </w:r>
          </w:p>
        </w:tc>
        <w:tc>
          <w:tcPr>
            <w:tcW w:w="7825" w:type="dxa"/>
            <w:vAlign w:val="top"/>
          </w:tcPr>
          <w:p>
            <w:pPr>
              <w:pStyle w:val="8"/>
              <w:spacing w:before="247" w:line="219" w:lineRule="auto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lang w:val="en-US" w:eastAsia="zh-CN"/>
              </w:rPr>
              <w:t>员工团体意外伤害保险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175" w:type="dxa"/>
            <w:vAlign w:val="center"/>
          </w:tcPr>
          <w:p>
            <w:pPr>
              <w:pStyle w:val="8"/>
              <w:spacing w:before="101" w:line="219" w:lineRule="auto"/>
              <w:ind w:firstLine="316" w:firstLineChars="100"/>
              <w:jc w:val="both"/>
            </w:pPr>
            <w:r>
              <w:rPr>
                <w:rFonts w:hint="eastAsia" w:ascii="仿宋_GB2312" w:hAnsi="仿宋_GB2312" w:eastAsia="仿宋_GB2312" w:cs="仿宋_GB2312"/>
                <w:spacing w:val="3"/>
              </w:rPr>
              <w:t>商务要求</w:t>
            </w:r>
          </w:p>
        </w:tc>
        <w:tc>
          <w:tcPr>
            <w:tcW w:w="7825" w:type="dxa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"/>
              </w:rPr>
              <w:t>报价人具有国家金融监督管理总局或其派出机构颁发的《经营保险业务许可证》,《经营保险业务许可证》业务范围应包含意外险及健康保险（或短期健康险）。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eastAsia="FangSong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"/>
              </w:rPr>
              <w:t>报价人上年度末综合偿付能力充足率不低于150%，核心偿付能力充足率不低于75%，以及最近4个季度风险综合评级不低于B类。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eastAsia="FangSong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"/>
              </w:rPr>
              <w:t>报价人近三年经审计的财务报告(2021-2023年报告。如2023年报告未发布，则指2020-2022年报告；成立时间不足的按实际成立时间计算)，审计意见非“否定意见”或非“无法表示意见”，没有处于被责令停业或破产状态，且资产未被重组、接管和冻结。</w:t>
            </w:r>
          </w:p>
        </w:tc>
      </w:tr>
    </w:tbl>
    <w:p>
      <w:pPr>
        <w:spacing w:line="91" w:lineRule="auto"/>
        <w:rPr>
          <w:rFonts w:ascii="Arial"/>
          <w:sz w:val="2"/>
        </w:rPr>
      </w:pPr>
    </w:p>
    <w:tbl>
      <w:tblPr>
        <w:tblStyle w:val="7"/>
        <w:tblW w:w="9988" w:type="dxa"/>
        <w:tblInd w:w="-71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88"/>
        <w:gridCol w:w="780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9" w:hRule="atLeast"/>
        </w:trPr>
        <w:tc>
          <w:tcPr>
            <w:tcW w:w="2188" w:type="dxa"/>
            <w:vAlign w:val="center"/>
          </w:tcPr>
          <w:p>
            <w:pPr>
              <w:pStyle w:val="8"/>
              <w:spacing w:before="101" w:line="221" w:lineRule="auto"/>
              <w:ind w:left="445"/>
              <w:jc w:val="both"/>
            </w:pPr>
            <w:r>
              <w:rPr>
                <w:spacing w:val="5"/>
              </w:rPr>
              <w:t>技术要求</w:t>
            </w:r>
          </w:p>
        </w:tc>
        <w:tc>
          <w:tcPr>
            <w:tcW w:w="7800" w:type="dxa"/>
            <w:vAlign w:val="top"/>
          </w:tcPr>
          <w:p>
            <w:pPr>
              <w:pStyle w:val="2"/>
              <w:numPr>
                <w:ilvl w:val="0"/>
                <w:numId w:val="2"/>
              </w:num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保险期间：2024年5月7日0时至2024年10月10日24时</w:t>
            </w:r>
          </w:p>
          <w:p>
            <w:pPr>
              <w:pStyle w:val="8"/>
              <w:numPr>
                <w:ilvl w:val="0"/>
                <w:numId w:val="2"/>
              </w:numPr>
              <w:spacing w:before="256" w:line="295" w:lineRule="auto"/>
              <w:ind w:left="0" w:leftChars="0" w:right="107" w:firstLine="0" w:firstLineChars="0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  <w:t>保障人员：广东新天河宾馆有限公司员工，一般人员74人，安保人员10人。</w:t>
            </w:r>
          </w:p>
          <w:p>
            <w:pPr>
              <w:pStyle w:val="8"/>
              <w:numPr>
                <w:ilvl w:val="0"/>
                <w:numId w:val="2"/>
              </w:numPr>
              <w:spacing w:before="256" w:line="295" w:lineRule="auto"/>
              <w:ind w:left="0" w:leftChars="0" w:right="107" w:firstLine="0" w:firstLineChars="0"/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  <w:t>保险方案：</w:t>
            </w:r>
          </w:p>
          <w:tbl>
            <w:tblPr>
              <w:tblStyle w:val="5"/>
              <w:tblW w:w="7432" w:type="dxa"/>
              <w:tblInd w:w="98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53"/>
              <w:gridCol w:w="4154"/>
              <w:gridCol w:w="172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3" w:hRule="atLeast"/>
              </w:trPr>
              <w:tc>
                <w:tcPr>
                  <w:tcW w:w="15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保障项目</w:t>
                  </w:r>
                </w:p>
              </w:tc>
              <w:tc>
                <w:tcPr>
                  <w:tcW w:w="41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4"/>
                      <w:szCs w:val="24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保障内容</w:t>
                  </w:r>
                </w:p>
              </w:tc>
              <w:tc>
                <w:tcPr>
                  <w:tcW w:w="17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保险金额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73" w:hRule="atLeast"/>
              </w:trPr>
              <w:tc>
                <w:tcPr>
                  <w:tcW w:w="15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意外伤害保险</w:t>
                  </w:r>
                </w:p>
              </w:tc>
              <w:tc>
                <w:tcPr>
                  <w:tcW w:w="41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both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在保险期间内，被保险人因遭受意外伤害事故导致身故、伤残的，保险人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按照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约定给付保险金。</w:t>
                  </w:r>
                </w:p>
              </w:tc>
              <w:tc>
                <w:tcPr>
                  <w:tcW w:w="17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100,000元/人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2" w:hRule="atLeast"/>
              </w:trPr>
              <w:tc>
                <w:tcPr>
                  <w:tcW w:w="15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意外伤害医疗保险</w:t>
                  </w:r>
                </w:p>
              </w:tc>
              <w:tc>
                <w:tcPr>
                  <w:tcW w:w="41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both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在保险期间内，被保险人因遭受意外伤害事故，就其事故发生之日起180日内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在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中国境内（不包括香港、澳门、台湾地区）二级以上（含二级）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医院就诊治疗，保险人对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符合社会医疗保险报销范围的医疗费用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进行赔付，每次意外事故免赔100元,赔付比例100%。</w:t>
                  </w:r>
                </w:p>
              </w:tc>
              <w:tc>
                <w:tcPr>
                  <w:tcW w:w="17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50,000元/人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12" w:hRule="atLeast"/>
              </w:trPr>
              <w:tc>
                <w:tcPr>
                  <w:tcW w:w="15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意外伤害住院津贴保险</w:t>
                  </w:r>
                </w:p>
              </w:tc>
              <w:tc>
                <w:tcPr>
                  <w:tcW w:w="41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both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在保险期间内，被保险人因遭受意外伤害事故，就其事故发生之日起180日内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在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中国境内（不包括香港、澳门、台湾地区）二级以上（含二级）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保险人按照实际住院天数赔付住院津贴：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spacing w:after="156" w:afterLines="50" w:line="240" w:lineRule="auto"/>
                    <w:jc w:val="left"/>
                    <w:outlineLvl w:val="9"/>
                    <w:rPr>
                      <w:rFonts w:hint="default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住院津贴保险金=每次实际住院天数×每人每天住院津贴金额</w:t>
                  </w:r>
                </w:p>
              </w:tc>
              <w:tc>
                <w:tcPr>
                  <w:tcW w:w="17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每人保额：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100元/天，累计给付以180天为限。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2" w:hRule="atLeast"/>
              </w:trPr>
              <w:tc>
                <w:tcPr>
                  <w:tcW w:w="155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重大疾病保险</w:t>
                  </w:r>
                </w:p>
              </w:tc>
              <w:tc>
                <w:tcPr>
                  <w:tcW w:w="415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both"/>
                    <w:textAlignment w:val="center"/>
                    <w:rPr>
                      <w:rFonts w:hint="eastAsia" w:eastAsia="宋体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在保险期间内，被保险人因意外伤害，或于等待期30天后因意外伤害以外的原因，首次确诊患有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约定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的重大疾病的一种或多种，保险人按约定重大疾病保险金额一次性给付重大疾病保险金，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原在保人员取消等待期，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首次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参保人员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zh-CN" w:eastAsia="zh-CN" w:bidi="ar"/>
                    </w:rPr>
                    <w:t>等待期30天。</w:t>
                  </w:r>
                </w:p>
              </w:tc>
              <w:tc>
                <w:tcPr>
                  <w:tcW w:w="172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ind w:left="0" w:leftChars="0" w:firstLine="0" w:firstLineChars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70,000元/人</w:t>
                  </w:r>
                </w:p>
              </w:tc>
            </w:tr>
          </w:tbl>
          <w:p>
            <w:pPr>
              <w:pStyle w:val="8"/>
              <w:numPr>
                <w:ilvl w:val="0"/>
                <w:numId w:val="2"/>
              </w:numPr>
              <w:spacing w:before="256" w:line="295" w:lineRule="auto"/>
              <w:ind w:left="0" w:leftChars="0" w:right="107" w:rightChars="0" w:firstLine="0" w:firstLineChars="0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  <w:t>总保费=每人保险费*投保人数，投保人数暂以84人进行计算，如投保时人数发生变更，总保费将随之变更。保期内人员增减，批单生效日追溯期最长 60 天，增减保费按短期费率计算，批单费用年终结算。短期保费=每人保险费×[1-(保险合同已生效的天数/保险合同保险期限的天数)]</w:t>
            </w:r>
          </w:p>
          <w:p>
            <w:pPr>
              <w:pStyle w:val="8"/>
              <w:numPr>
                <w:ilvl w:val="0"/>
                <w:numId w:val="2"/>
              </w:numPr>
              <w:spacing w:before="256" w:line="295" w:lineRule="auto"/>
              <w:ind w:left="0" w:leftChars="0" w:right="107" w:rightChars="0" w:firstLine="0" w:firstLineChars="0"/>
              <w:rPr>
                <w:rFonts w:hint="default"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/>
                <w:kern w:val="0"/>
                <w:sz w:val="28"/>
                <w:szCs w:val="28"/>
                <w:lang w:val="en-US" w:eastAsia="zh-CN" w:bidi="ar-SA"/>
              </w:rPr>
              <w:t>本项目保险经纪人为瑞恒保险经纪有限责任公司，经纪费收取标准：不含税保费10%，经纪费用由中标人向经纪人支付。</w:t>
            </w:r>
          </w:p>
        </w:tc>
      </w:tr>
    </w:tbl>
    <w:p>
      <w:pPr>
        <w:spacing w:line="91" w:lineRule="auto"/>
        <w:rPr>
          <w:rFonts w:ascii="Arial"/>
          <w:sz w:val="2"/>
        </w:rPr>
      </w:pPr>
    </w:p>
    <w:tbl>
      <w:tblPr>
        <w:tblStyle w:val="7"/>
        <w:tblW w:w="9975" w:type="dxa"/>
        <w:tblInd w:w="-70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7"/>
        <w:gridCol w:w="783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2137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101" w:line="220" w:lineRule="auto"/>
              <w:ind w:left="451"/>
            </w:pPr>
            <w:r>
              <w:rPr>
                <w:spacing w:val="4"/>
              </w:rPr>
              <w:t>报价须知</w:t>
            </w:r>
          </w:p>
        </w:tc>
        <w:tc>
          <w:tcPr>
            <w:tcW w:w="7838" w:type="dxa"/>
            <w:vAlign w:val="top"/>
          </w:tcPr>
          <w:p>
            <w:pPr>
              <w:pStyle w:val="8"/>
              <w:spacing w:before="50" w:line="364" w:lineRule="auto"/>
              <w:ind w:left="120" w:right="107" w:firstLine="14"/>
              <w:jc w:val="both"/>
            </w:pPr>
            <w:r>
              <w:rPr>
                <w:rFonts w:hint="eastAsia" w:ascii="仿宋_GB2312" w:hAnsi="仿宋_GB2312" w:eastAsia="仿宋_GB2312" w:cs="仿宋_GB2312"/>
                <w:spacing w:val="4"/>
                <w:sz w:val="28"/>
                <w:szCs w:val="28"/>
              </w:rPr>
              <w:t>①在经营活动中无重大违法记录，在中国南方</w:t>
            </w:r>
            <w:r>
              <w:rPr>
                <w:rFonts w:hint="eastAsia" w:ascii="仿宋_GB2312" w:hAnsi="仿宋_GB2312" w:eastAsia="仿宋_GB2312" w:cs="仿宋_GB2312"/>
                <w:spacing w:val="21"/>
                <w:sz w:val="28"/>
                <w:szCs w:val="28"/>
              </w:rPr>
              <w:t>电网有限责</w:t>
            </w:r>
            <w:r>
              <w:rPr>
                <w:rFonts w:hint="eastAsia" w:ascii="仿宋_GB2312" w:hAnsi="仿宋_GB2312" w:eastAsia="仿宋_GB2312" w:cs="仿宋_GB2312"/>
                <w:spacing w:val="21"/>
                <w:sz w:val="28"/>
                <w:szCs w:val="28"/>
                <w:highlight w:val="none"/>
              </w:rPr>
              <w:t>任公司没有</w:t>
            </w:r>
            <w:r>
              <w:rPr>
                <w:rFonts w:hint="eastAsia" w:ascii="仿宋_GB2312" w:hAnsi="仿宋_GB2312" w:eastAsia="仿宋_GB2312" w:cs="仿宋_GB2312"/>
                <w:spacing w:val="21"/>
                <w:sz w:val="28"/>
                <w:szCs w:val="28"/>
              </w:rPr>
              <w:t>处</w:t>
            </w:r>
            <w:r>
              <w:rPr>
                <w:rFonts w:hint="eastAsia" w:ascii="仿宋_GB2312" w:hAnsi="仿宋_GB2312" w:eastAsia="仿宋_GB2312" w:cs="仿宋_GB2312"/>
                <w:spacing w:val="4"/>
                <w:sz w:val="28"/>
                <w:szCs w:val="28"/>
              </w:rPr>
              <w:t>于限制投标资格的处罚。②单位负责人为同一人或者存在控股、管理关系的不同单位，不得</w:t>
            </w:r>
            <w:r>
              <w:rPr>
                <w:rFonts w:hint="eastAsia" w:ascii="仿宋_GB2312" w:hAnsi="仿宋_GB2312" w:eastAsia="仿宋_GB2312" w:cs="仿宋_GB2312"/>
                <w:spacing w:val="7"/>
                <w:sz w:val="28"/>
                <w:szCs w:val="28"/>
              </w:rPr>
              <w:t>参加同一项目报价</w:t>
            </w:r>
            <w:r>
              <w:rPr>
                <w:spacing w:val="7"/>
              </w:rPr>
              <w:t>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2137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101" w:line="220" w:lineRule="auto"/>
              <w:ind w:left="441"/>
            </w:pPr>
            <w:r>
              <w:rPr>
                <w:spacing w:val="6"/>
              </w:rPr>
              <w:t>评定标准</w:t>
            </w:r>
          </w:p>
        </w:tc>
        <w:tc>
          <w:tcPr>
            <w:tcW w:w="7838" w:type="dxa"/>
            <w:vAlign w:val="top"/>
          </w:tcPr>
          <w:p>
            <w:pPr>
              <w:pStyle w:val="8"/>
              <w:spacing w:before="154" w:line="360" w:lineRule="auto"/>
              <w:ind w:left="127" w:right="102" w:firstLine="3"/>
              <w:jc w:val="both"/>
            </w:pPr>
            <w:r>
              <w:rPr>
                <w:rFonts w:hint="eastAsia" w:ascii="仿宋_GB2312" w:hAnsi="仿宋_GB2312" w:eastAsia="仿宋_GB2312" w:cs="仿宋_GB2312"/>
                <w:spacing w:val="4"/>
                <w:sz w:val="28"/>
                <w:szCs w:val="28"/>
              </w:rPr>
              <w:t>满足技术、商务条件下，项目总价费用最低为 拟推荐中标单位，项目总价费用相同情况下，直线距离广州市天河区天河路178-188号近者为拟推荐中标单位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4" w:hRule="atLeast"/>
        </w:trPr>
        <w:tc>
          <w:tcPr>
            <w:tcW w:w="2137" w:type="dxa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8"/>
              <w:spacing w:before="101" w:line="221" w:lineRule="auto"/>
              <w:ind w:left="764"/>
            </w:pPr>
            <w:r>
              <w:t>备注</w:t>
            </w:r>
          </w:p>
        </w:tc>
        <w:tc>
          <w:tcPr>
            <w:tcW w:w="7838" w:type="dxa"/>
            <w:vAlign w:val="top"/>
          </w:tcPr>
          <w:p>
            <w:pPr>
              <w:pStyle w:val="8"/>
              <w:spacing w:before="52" w:line="354" w:lineRule="auto"/>
              <w:ind w:left="130" w:right="109" w:hanging="13"/>
            </w:pPr>
            <w:r>
              <w:rPr>
                <w:rFonts w:hint="eastAsia" w:ascii="仿宋_GB2312" w:hAnsi="仿宋_GB2312" w:eastAsia="仿宋_GB2312" w:cs="仿宋_GB2312"/>
                <w:spacing w:val="4"/>
                <w:sz w:val="28"/>
                <w:szCs w:val="28"/>
              </w:rPr>
              <w:t>请对采购文件盖公章并扫描成 PDF 作为报价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pacing w:val="4"/>
                <w:sz w:val="28"/>
                <w:szCs w:val="28"/>
              </w:rPr>
              <w:t>文件</w:t>
            </w:r>
            <w:r>
              <w:rPr>
                <w:spacing w:val="-3"/>
              </w:rPr>
              <w:t>。</w:t>
            </w:r>
          </w:p>
        </w:tc>
      </w:tr>
    </w:tbl>
    <w:p>
      <w:pPr>
        <w:rPr>
          <w:rFonts w:ascii="Arial"/>
          <w:sz w:val="21"/>
        </w:rPr>
      </w:pPr>
    </w:p>
    <w:sectPr>
      <w:pgSz w:w="11906" w:h="16839"/>
      <w:pgMar w:top="1431" w:right="1538" w:bottom="680" w:left="168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06BB25"/>
    <w:multiLevelType w:val="singleLevel"/>
    <w:tmpl w:val="E306BB2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EE8CDC4"/>
    <w:multiLevelType w:val="singleLevel"/>
    <w:tmpl w:val="4EE8CDC4"/>
    <w:lvl w:ilvl="0" w:tentative="0">
      <w:start w:val="1"/>
      <w:numFmt w:val="decimal"/>
      <w:suff w:val="nothing"/>
      <w:lvlText w:val="%1、"/>
      <w:lvlJc w:val="left"/>
      <w:rPr>
        <w:rFonts w:hint="default" w:ascii="仿宋_GB2312" w:hAnsi="仿宋_GB2312" w:eastAsia="仿宋_GB2312" w:cs="仿宋_GB2312"/>
        <w:sz w:val="28"/>
        <w:szCs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mQwZDMxMTQ1MzFlMTFmNzg3OTgxY2U5MTY2Y2ZlZTgifQ=="/>
  </w:docVars>
  <w:rsids>
    <w:rsidRoot w:val="00000000"/>
    <w:rsid w:val="13AA7707"/>
    <w:rsid w:val="14AE4079"/>
    <w:rsid w:val="22ED19A4"/>
    <w:rsid w:val="3CAA4150"/>
    <w:rsid w:val="4A6718D3"/>
    <w:rsid w:val="4B223A4B"/>
    <w:rsid w:val="51A946EA"/>
    <w:rsid w:val="60D62EB6"/>
    <w:rsid w:val="798B6AC2"/>
    <w:rsid w:val="79D009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annotation text"/>
    <w:basedOn w:val="1"/>
    <w:uiPriority w:val="0"/>
    <w:pPr>
      <w:jc w:val="left"/>
    </w:p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ScaleCrop>false</ScaleCrop>
  <LinksUpToDate>false</LinksUpToDate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2024-04-16T09:11:00Z</dcterms:created>
  <dc:creator>肖玢</dc:creator>
  <cp:lastModifiedBy>何志琳</cp:lastModifiedBy>
  <dcterms:modified xsi:type="dcterms:W3CDTF">2024-04-23T07:10:23Z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2024-04-22T19:11:18Z</vt:filetime>
  </property>
  <property fmtid="{D5CDD505-2E9C-101B-9397-08002B2CF9AE}" pid="4" name="KSOProductBuildVer">
    <vt:lpwstr>2052-12.1.0.16417</vt:lpwstr>
  </property>
  <property fmtid="{D5CDD505-2E9C-101B-9397-08002B2CF9AE}" pid="5" name="ICV">
    <vt:lpwstr>F592ECB4D2194268A18888E28E029069_13</vt:lpwstr>
  </property>
</Properties>
</file>