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jc w:val="center"/>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highlight w:val="none"/>
          <w:lang w:val="en-US" w:eastAsia="zh-CN"/>
        </w:rPr>
        <w:t>2024年云南电力试验研究院（集团）有限公司检验检测事业部安全工器具检测装置成套系统及其附属设备</w:t>
      </w:r>
      <w:r>
        <w:rPr>
          <w:rFonts w:hint="eastAsia" w:cs="Times New Roman"/>
          <w:color w:val="auto"/>
          <w:highlight w:val="none"/>
          <w:lang w:val="en-US" w:eastAsia="zh-CN"/>
        </w:rPr>
        <w:t>零星采购技术规范书</w:t>
      </w:r>
    </w:p>
    <w:p>
      <w:pPr>
        <w:numPr>
          <w:ilvl w:val="0"/>
          <w:numId w:val="0"/>
        </w:numPr>
        <w:spacing w:line="360" w:lineRule="auto"/>
        <w:rPr>
          <w:rFonts w:hint="eastAsia" w:ascii="仿宋" w:hAnsi="仿宋" w:eastAsia="仿宋" w:cs="仿宋"/>
          <w:b/>
          <w:bCs/>
          <w:color w:val="auto"/>
          <w:sz w:val="24"/>
          <w:szCs w:val="24"/>
          <w:lang w:val="en-US" w:eastAsia="zh-CN"/>
        </w:rPr>
      </w:pPr>
      <w:bookmarkStart w:id="0" w:name="_Toc441159752"/>
      <w:bookmarkEnd w:id="0"/>
      <w:r>
        <w:rPr>
          <w:rFonts w:hint="eastAsia" w:ascii="仿宋" w:hAnsi="仿宋" w:eastAsia="仿宋" w:cs="仿宋"/>
          <w:b/>
          <w:bCs/>
          <w:color w:val="auto"/>
          <w:sz w:val="24"/>
          <w:szCs w:val="24"/>
          <w:lang w:val="en-US" w:eastAsia="zh-CN"/>
        </w:rPr>
        <w:t xml:space="preserve">一、项目概要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为满足云南电力试验研究院（集团）有限公司检验检测事业部开展安全工器具检测所需，特申请此采购项目。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color w:val="auto"/>
          <w:sz w:val="24"/>
          <w:szCs w:val="24"/>
          <w:highlight w:val="none"/>
          <w:lang w:val="en-US" w:eastAsia="zh-CN"/>
        </w:rPr>
        <w:t>二、</w:t>
      </w:r>
      <w:r>
        <w:rPr>
          <w:rFonts w:hint="eastAsia" w:ascii="仿宋" w:hAnsi="仿宋" w:eastAsia="仿宋" w:cs="仿宋"/>
          <w:b/>
          <w:bCs/>
          <w:color w:val="auto"/>
          <w:sz w:val="24"/>
          <w:szCs w:val="24"/>
          <w:lang w:val="en-US" w:eastAsia="zh-CN"/>
        </w:rPr>
        <w:t>项目范围</w:t>
      </w:r>
    </w:p>
    <w:p>
      <w:pPr>
        <w:numPr>
          <w:ilvl w:val="0"/>
          <w:numId w:val="0"/>
        </w:numPr>
        <w:spacing w:line="360" w:lineRule="auto"/>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安全工器具检测装置成套系统及其附属设备；</w:t>
      </w:r>
    </w:p>
    <w:p>
      <w:pPr>
        <w:numPr>
          <w:ilvl w:val="0"/>
          <w:numId w:val="0"/>
        </w:numPr>
        <w:spacing w:line="360" w:lineRule="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三、项目技术要求</w:t>
      </w:r>
    </w:p>
    <w:p>
      <w:pPr>
        <w:pStyle w:val="8"/>
        <w:ind w:left="0" w:leftChars="0" w:firstLine="0" w:firstLineChars="0"/>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3.1项目技术要求（技术参数）</w:t>
      </w:r>
    </w:p>
    <w:p>
      <w:pPr>
        <w:pStyle w:val="8"/>
        <w:numPr>
          <w:ilvl w:val="0"/>
          <w:numId w:val="0"/>
        </w:numPr>
        <w:ind w:left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绝缘支架</w:t>
      </w:r>
    </w:p>
    <w:p>
      <w:pPr>
        <w:pStyle w:val="8"/>
        <w:numPr>
          <w:ilvl w:val="0"/>
          <w:numId w:val="0"/>
        </w:numPr>
        <w:ind w:left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试验电压：120kV</w:t>
      </w:r>
    </w:p>
    <w:p>
      <w:pPr>
        <w:pStyle w:val="8"/>
        <w:numPr>
          <w:ilvl w:val="0"/>
          <w:numId w:val="0"/>
        </w:numPr>
        <w:ind w:left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测试工位： 10</w:t>
      </w:r>
    </w:p>
    <w:p>
      <w:pPr>
        <w:pStyle w:val="8"/>
        <w:numPr>
          <w:ilvl w:val="0"/>
          <w:numId w:val="0"/>
        </w:numPr>
        <w:ind w:left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支架高度：1.2米</w:t>
      </w:r>
    </w:p>
    <w:p>
      <w:pPr>
        <w:pStyle w:val="8"/>
        <w:numPr>
          <w:ilvl w:val="0"/>
          <w:numId w:val="0"/>
        </w:numPr>
        <w:ind w:left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调节范围：300 ~ 1300 （mm）</w:t>
      </w:r>
    </w:p>
    <w:p>
      <w:pPr>
        <w:pStyle w:val="8"/>
        <w:numPr>
          <w:ilvl w:val="0"/>
          <w:numId w:val="0"/>
        </w:numPr>
        <w:ind w:leftChars="0"/>
        <w:rPr>
          <w:rFonts w:hint="eastAsia" w:ascii="仿宋" w:hAnsi="仿宋" w:eastAsia="仿宋" w:cs="仿宋"/>
          <w:color w:val="auto"/>
          <w:sz w:val="24"/>
          <w:szCs w:val="24"/>
          <w:lang w:val="en-US" w:eastAsia="zh-CN"/>
        </w:rPr>
      </w:pPr>
    </w:p>
    <w:p>
      <w:pPr>
        <w:pStyle w:val="8"/>
        <w:numPr>
          <w:ilvl w:val="0"/>
          <w:numId w:val="0"/>
        </w:numPr>
        <w:ind w:left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导电鞋电阻测试仪</w:t>
      </w:r>
    </w:p>
    <w:p>
      <w:pPr>
        <w:widowControl w:val="0"/>
        <w:numPr>
          <w:ilvl w:val="0"/>
          <w:numId w:val="0"/>
        </w:numPr>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测量表面阻抗103-1012Ω/m2，测量电阻103-1012Ω</w:t>
      </w:r>
    </w:p>
    <w:p>
      <w:pPr>
        <w:widowControl w:val="0"/>
        <w:numPr>
          <w:ilvl w:val="0"/>
          <w:numId w:val="0"/>
        </w:numPr>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·相对湿度：10％-90％RH</w:t>
      </w:r>
    </w:p>
    <w:p>
      <w:pPr>
        <w:widowControl w:val="0"/>
        <w:numPr>
          <w:ilvl w:val="0"/>
          <w:numId w:val="0"/>
        </w:numPr>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·温度：0℃-37.8℃</w:t>
      </w:r>
    </w:p>
    <w:p>
      <w:pPr>
        <w:widowControl w:val="0"/>
        <w:numPr>
          <w:ilvl w:val="0"/>
          <w:numId w:val="0"/>
        </w:numPr>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·高精度－全量程范围内</w:t>
      </w:r>
    </w:p>
    <w:p>
      <w:pPr>
        <w:pStyle w:val="8"/>
        <w:numPr>
          <w:ilvl w:val="0"/>
          <w:numId w:val="0"/>
        </w:numPr>
        <w:ind w:leftChars="0"/>
        <w:jc w:val="left"/>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3.2项目技术要求（特点）</w:t>
      </w:r>
    </w:p>
    <w:p>
      <w:pPr>
        <w:keepNext w:val="0"/>
        <w:keepLines w:val="0"/>
        <w:widowControl w:val="0"/>
        <w:suppressLineNumbers w:val="0"/>
        <w:spacing w:before="0" w:beforeAutospacing="0" w:after="0" w:afterAutospacing="0" w:line="360" w:lineRule="auto"/>
        <w:ind w:right="0"/>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绝缘支架</w:t>
      </w:r>
    </w:p>
    <w:p>
      <w:pPr>
        <w:keepNext w:val="0"/>
        <w:keepLines w:val="0"/>
        <w:widowControl w:val="0"/>
        <w:suppressLineNumbers w:val="0"/>
        <w:spacing w:before="0" w:beforeAutospacing="0" w:after="0" w:afterAutospacing="0" w:line="360" w:lineRule="auto"/>
        <w:ind w:right="0"/>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调节方式：水平平移，任意调节</w:t>
      </w:r>
    </w:p>
    <w:p>
      <w:pPr>
        <w:keepNext w:val="0"/>
        <w:keepLines w:val="0"/>
        <w:widowControl w:val="0"/>
        <w:suppressLineNumbers w:val="0"/>
        <w:spacing w:before="0" w:beforeAutospacing="0" w:after="0" w:afterAutospacing="0" w:line="360" w:lineRule="auto"/>
        <w:ind w:right="0"/>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电极结构：304不锈钢组合槽型导电泡绵，自锁开合结构</w:t>
      </w:r>
    </w:p>
    <w:p>
      <w:pPr>
        <w:pStyle w:val="8"/>
        <w:numPr>
          <w:ilvl w:val="0"/>
          <w:numId w:val="0"/>
        </w:numPr>
        <w:ind w:leftChars="0"/>
        <w:rPr>
          <w:rFonts w:hint="eastAsia" w:ascii="仿宋" w:hAnsi="仿宋" w:eastAsia="仿宋" w:cs="仿宋"/>
          <w:color w:val="auto"/>
          <w:sz w:val="24"/>
          <w:szCs w:val="24"/>
          <w:lang w:val="en-US" w:eastAsia="zh-CN"/>
        </w:rPr>
      </w:pPr>
    </w:p>
    <w:p>
      <w:pPr>
        <w:pStyle w:val="8"/>
        <w:numPr>
          <w:ilvl w:val="0"/>
          <w:numId w:val="0"/>
        </w:numPr>
        <w:ind w:left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导电鞋电阻测试仪</w:t>
      </w:r>
    </w:p>
    <w:p>
      <w:pPr>
        <w:widowControl w:val="0"/>
        <w:numPr>
          <w:ilvl w:val="0"/>
          <w:numId w:val="0"/>
        </w:numPr>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包含电极：--2个5磅重，2.5英寸RTT、RTG盘形电极，2个3英寸平行表面阻抗测试电极</w:t>
      </w:r>
    </w:p>
    <w:p>
      <w:pPr>
        <w:widowControl w:val="0"/>
        <w:numPr>
          <w:ilvl w:val="0"/>
          <w:numId w:val="0"/>
        </w:numPr>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液晶数码显示</w:t>
      </w:r>
    </w:p>
    <w:p>
      <w:pPr>
        <w:widowControl w:val="0"/>
        <w:numPr>
          <w:ilvl w:val="0"/>
          <w:numId w:val="0"/>
        </w:numPr>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可充电电池</w:t>
      </w:r>
    </w:p>
    <w:p>
      <w:pPr>
        <w:widowControl w:val="0"/>
        <w:numPr>
          <w:ilvl w:val="0"/>
          <w:numId w:val="0"/>
        </w:numPr>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可测量桌垫、地板涂料层、漆面、腕带、工作服、鞋(鞋套)、袋子和容器</w:t>
      </w:r>
    </w:p>
    <w:p>
      <w:pPr>
        <w:pStyle w:val="11"/>
        <w:rPr>
          <w:rFonts w:hint="eastAsia" w:ascii="仿宋" w:hAnsi="仿宋" w:eastAsia="仿宋" w:cs="仿宋"/>
          <w:lang w:val="en-US"/>
        </w:rPr>
      </w:pPr>
    </w:p>
    <w:p>
      <w:pPr>
        <w:pStyle w:val="8"/>
        <w:ind w:left="0" w:leftChars="0" w:firstLine="0" w:firstLineChars="0"/>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3.3项目进度要求</w:t>
      </w:r>
    </w:p>
    <w:tbl>
      <w:tblPr>
        <w:tblStyle w:val="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1"/>
        <w:gridCol w:w="4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301" w:type="dxa"/>
            <w:shd w:val="clear" w:color="auto" w:fill="D9D9D9"/>
            <w:vAlign w:val="center"/>
          </w:tcPr>
          <w:p>
            <w:pPr>
              <w:pStyle w:val="13"/>
              <w:adjustRightInd/>
              <w:snapToGrid/>
              <w:spacing w:line="360" w:lineRule="auto"/>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时间</w:t>
            </w:r>
          </w:p>
        </w:tc>
        <w:tc>
          <w:tcPr>
            <w:tcW w:w="4221" w:type="dxa"/>
            <w:shd w:val="clear" w:color="auto" w:fill="D9D9D9"/>
            <w:vAlign w:val="center"/>
          </w:tcPr>
          <w:p>
            <w:pPr>
              <w:pStyle w:val="13"/>
              <w:adjustRightInd/>
              <w:snapToGrid/>
              <w:spacing w:line="360" w:lineRule="auto"/>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1" w:type="dxa"/>
            <w:vAlign w:val="center"/>
          </w:tcPr>
          <w:p>
            <w:pPr>
              <w:pStyle w:val="13"/>
              <w:adjustRightInd/>
              <w:snapToGrid/>
              <w:spacing w:line="360" w:lineRule="auto"/>
              <w:ind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收到中标通知书</w:t>
            </w:r>
            <w:r>
              <w:rPr>
                <w:rFonts w:hint="eastAsia" w:ascii="仿宋" w:hAnsi="仿宋" w:eastAsia="仿宋" w:cs="仿宋"/>
                <w:color w:val="auto"/>
                <w:sz w:val="24"/>
                <w:szCs w:val="24"/>
                <w:highlight w:val="none"/>
                <w:lang w:eastAsia="zh-CN"/>
              </w:rPr>
              <w:t>之日起</w:t>
            </w:r>
            <w:r>
              <w:rPr>
                <w:rFonts w:hint="eastAsia" w:ascii="仿宋" w:hAnsi="仿宋" w:eastAsia="仿宋" w:cs="仿宋"/>
                <w:color w:val="auto"/>
                <w:sz w:val="24"/>
                <w:szCs w:val="24"/>
                <w:highlight w:val="none"/>
                <w:lang w:val="en-US" w:eastAsia="zh-CN"/>
              </w:rPr>
              <w:t>2个月内</w:t>
            </w:r>
          </w:p>
        </w:tc>
        <w:tc>
          <w:tcPr>
            <w:tcW w:w="4221" w:type="dxa"/>
            <w:vAlign w:val="center"/>
          </w:tcPr>
          <w:p>
            <w:pPr>
              <w:pStyle w:val="13"/>
              <w:adjustRightInd/>
              <w:snapToGrid/>
              <w:spacing w:line="36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完成设备供货、调试、验收</w:t>
            </w:r>
          </w:p>
        </w:tc>
      </w:tr>
    </w:tbl>
    <w:p>
      <w:pPr>
        <w:spacing w:line="360" w:lineRule="auto"/>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四.设备要求</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4.1 包装方式和要求：</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4.1.1 设备制造完成并通过试验后应及时包装,否则应得到切实的保护,确保其不受污损。</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4.1.2所有部件经妥善包装或装箱后, 在运输过程中尚应采取其它防护措施,以免散失损坏或被盗。</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4.1.3在包装箱外应标明需方的订货号、发货号。</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4.1.4各种包装应能确保各零部件在运输过程中不致遭到损坏、丢失、变形、受潮和腐蚀。</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4.1.5包装箱上应有明显的包装储运图示标志(按GB/T 191-2008)。</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4.1.6整体产品或分别运输的部件都要适合运输和装载的要求。</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4.1.7随产品提供的技术资料应完整无缺。</w:t>
      </w:r>
    </w:p>
    <w:p>
      <w:pPr>
        <w:widowControl/>
        <w:adjustRightInd w:val="0"/>
        <w:snapToGrid w:val="0"/>
        <w:spacing w:line="360" w:lineRule="auto"/>
        <w:jc w:val="left"/>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4.2 运输：</w:t>
      </w:r>
    </w:p>
    <w:p>
      <w:pPr>
        <w:widowControl/>
        <w:adjustRightInd w:val="0"/>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必须采取符合设备要求的合理形式对设备运输和贮存，并且由委托方专人全程跟踪。</w:t>
      </w:r>
    </w:p>
    <w:p>
      <w:pPr>
        <w:widowControl/>
        <w:adjustRightInd w:val="0"/>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设备从乙方地到目的地的运输由乙方负责。</w:t>
      </w:r>
    </w:p>
    <w:p>
      <w:pPr>
        <w:widowControl/>
        <w:adjustRightInd w:val="0"/>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在设备抵达目的地后，乙方组织、甲方参加，开箱验收。如果发现任一设备有偏差、损坏、损失、遗漏或数量、质量、技术规范因乙方的责任与合同不符，甲方有权向乙方提出索赔。</w:t>
      </w:r>
    </w:p>
    <w:p>
      <w:pPr>
        <w:widowControl/>
        <w:adjustRightInd w:val="0"/>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现场交接的最终验收完成之后，乙方代表将设备移交甲方进行贮存。</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4.</w:t>
      </w:r>
      <w:r>
        <w:rPr>
          <w:rFonts w:hint="eastAsia" w:ascii="仿宋" w:hAnsi="仿宋" w:eastAsia="仿宋" w:cs="仿宋"/>
          <w:b/>
          <w:bCs/>
          <w:color w:val="auto"/>
          <w:kern w:val="0"/>
          <w:szCs w:val="21"/>
          <w:highlight w:val="none"/>
          <w:lang w:val="en-US" w:eastAsia="zh-CN"/>
        </w:rPr>
        <w:t>3</w:t>
      </w:r>
      <w:r>
        <w:rPr>
          <w:rFonts w:hint="eastAsia" w:ascii="仿宋" w:hAnsi="仿宋" w:eastAsia="仿宋" w:cs="仿宋"/>
          <w:b/>
          <w:bCs/>
          <w:color w:val="auto"/>
          <w:kern w:val="0"/>
          <w:szCs w:val="21"/>
          <w:highlight w:val="none"/>
        </w:rPr>
        <w:t xml:space="preserve"> 标的物交付时间：</w:t>
      </w:r>
      <w:r>
        <w:rPr>
          <w:rFonts w:hint="eastAsia" w:ascii="仿宋" w:hAnsi="仿宋" w:eastAsia="仿宋" w:cs="仿宋"/>
          <w:color w:val="auto"/>
          <w:kern w:val="0"/>
          <w:szCs w:val="21"/>
          <w:highlight w:val="none"/>
        </w:rPr>
        <w:t xml:space="preserve"> </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rPr>
        <w:t>.1交货期限为：自</w:t>
      </w:r>
      <w:r>
        <w:rPr>
          <w:rFonts w:hint="eastAsia" w:ascii="仿宋" w:hAnsi="仿宋" w:eastAsia="仿宋" w:cs="仿宋"/>
          <w:color w:val="auto"/>
          <w:kern w:val="0"/>
          <w:szCs w:val="21"/>
          <w:highlight w:val="none"/>
          <w:lang w:val="en-US" w:eastAsia="zh-CN"/>
        </w:rPr>
        <w:t>中标通知书发布</w:t>
      </w:r>
      <w:r>
        <w:rPr>
          <w:rFonts w:hint="eastAsia" w:ascii="仿宋" w:hAnsi="仿宋" w:eastAsia="仿宋" w:cs="仿宋"/>
          <w:color w:val="auto"/>
          <w:kern w:val="0"/>
          <w:szCs w:val="21"/>
          <w:highlight w:val="none"/>
        </w:rPr>
        <w:t>之日起</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30</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天内完成。</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rPr>
        <w:t>.2交货方式：接到买方通知之日起</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30</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日内交货到买方指定地点（具体交货期以买方联系函为准）。</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rPr>
        <w:t>.3如中标人逾期交货，取消中标人中标资格，并依法追究其法律责任。</w:t>
      </w:r>
    </w:p>
    <w:p>
      <w:pPr>
        <w:spacing w:line="360" w:lineRule="auto"/>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4.4 验收地点：</w:t>
      </w:r>
    </w:p>
    <w:p>
      <w:pPr>
        <w:widowControl/>
        <w:adjustRightInd w:val="0"/>
        <w:snapToGrid w:val="0"/>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云南省昆明市经开区云大西路105号云电科技园</w:t>
      </w:r>
    </w:p>
    <w:p>
      <w:pPr>
        <w:widowControl/>
        <w:adjustRightInd w:val="0"/>
        <w:snapToGrid w:val="0"/>
        <w:spacing w:line="360" w:lineRule="auto"/>
        <w:jc w:val="left"/>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4.5 安装和调试：</w:t>
      </w:r>
    </w:p>
    <w:p>
      <w:pPr>
        <w:widowControl/>
        <w:spacing w:line="360" w:lineRule="auto"/>
        <w:jc w:val="left"/>
        <w:rPr>
          <w:rFonts w:ascii="仿宋" w:hAnsi="仿宋" w:eastAsia="仿宋" w:cs="仿宋"/>
          <w:color w:val="auto"/>
          <w:szCs w:val="21"/>
          <w:highlight w:val="none"/>
        </w:rPr>
      </w:pPr>
      <w:r>
        <w:rPr>
          <w:rFonts w:hint="eastAsia" w:ascii="仿宋" w:hAnsi="仿宋" w:eastAsia="仿宋" w:cs="仿宋"/>
          <w:color w:val="auto"/>
          <w:kern w:val="0"/>
          <w:szCs w:val="21"/>
          <w:highlight w:val="none"/>
        </w:rPr>
        <w:t>4.5.</w:t>
      </w:r>
      <w:r>
        <w:rPr>
          <w:rFonts w:hint="eastAsia" w:ascii="仿宋" w:hAnsi="仿宋" w:eastAsia="仿宋" w:cs="仿宋"/>
          <w:color w:val="auto"/>
          <w:kern w:val="0"/>
          <w:szCs w:val="21"/>
          <w:highlight w:val="none"/>
          <w:lang w:bidi="ar"/>
        </w:rPr>
        <w:t>1乙方负责按国家相关标准或要求及本合同的约定进行安装和调试的工作，以使设备具备正常安全预定的使用功能及性能，并满足合同附件要求。并负责对甲方人员进行技术指导及培训，直到甲方人员能正常、正确、安全操作该设备为止，以保证货物达到预定的性能。乙方承担安装期间所有的安装调试费用，接受并服从甲方的管理与监督。</w:t>
      </w:r>
      <w:r>
        <w:rPr>
          <w:rFonts w:hint="eastAsia" w:ascii="仿宋" w:hAnsi="仿宋" w:eastAsia="仿宋" w:cs="仿宋"/>
          <w:color w:val="auto"/>
          <w:kern w:val="0"/>
          <w:szCs w:val="21"/>
          <w:highlight w:val="none"/>
          <w:lang w:bidi="ar"/>
        </w:rPr>
        <w:br w:type="textWrapping"/>
      </w:r>
      <w:r>
        <w:rPr>
          <w:rFonts w:hint="eastAsia" w:ascii="仿宋" w:hAnsi="仿宋" w:eastAsia="仿宋" w:cs="仿宋"/>
          <w:color w:val="auto"/>
          <w:kern w:val="0"/>
          <w:szCs w:val="21"/>
          <w:highlight w:val="none"/>
        </w:rPr>
        <w:t>4.5.</w:t>
      </w:r>
      <w:r>
        <w:rPr>
          <w:rFonts w:hint="eastAsia" w:ascii="仿宋" w:hAnsi="仿宋" w:eastAsia="仿宋" w:cs="仿宋"/>
          <w:color w:val="auto"/>
          <w:kern w:val="0"/>
          <w:szCs w:val="21"/>
          <w:highlight w:val="none"/>
          <w:lang w:bidi="ar"/>
        </w:rPr>
        <w:t>2乙方应在货物初步验收合格后</w:t>
      </w:r>
      <w:r>
        <w:rPr>
          <w:rFonts w:hint="eastAsia" w:ascii="仿宋" w:hAnsi="仿宋" w:eastAsia="仿宋" w:cs="仿宋"/>
          <w:color w:val="auto"/>
          <w:kern w:val="0"/>
          <w:szCs w:val="21"/>
          <w:highlight w:val="none"/>
          <w:u w:val="single"/>
          <w:lang w:bidi="ar"/>
        </w:rPr>
        <w:t xml:space="preserve">  </w:t>
      </w:r>
      <w:r>
        <w:rPr>
          <w:rFonts w:ascii="仿宋" w:hAnsi="仿宋" w:eastAsia="仿宋" w:cs="仿宋"/>
          <w:color w:val="auto"/>
          <w:kern w:val="0"/>
          <w:szCs w:val="21"/>
          <w:highlight w:val="none"/>
          <w:u w:val="single"/>
          <w:lang w:bidi="ar"/>
        </w:rPr>
        <w:t>10</w:t>
      </w:r>
      <w:r>
        <w:rPr>
          <w:rFonts w:hint="eastAsia" w:ascii="仿宋" w:hAnsi="仿宋" w:eastAsia="仿宋" w:cs="仿宋"/>
          <w:color w:val="auto"/>
          <w:kern w:val="0"/>
          <w:szCs w:val="21"/>
          <w:highlight w:val="none"/>
          <w:u w:val="single"/>
          <w:lang w:bidi="ar"/>
        </w:rPr>
        <w:t xml:space="preserve"> </w:t>
      </w:r>
      <w:r>
        <w:rPr>
          <w:rFonts w:hint="eastAsia" w:ascii="仿宋" w:hAnsi="仿宋" w:eastAsia="仿宋" w:cs="仿宋"/>
          <w:color w:val="auto"/>
          <w:kern w:val="0"/>
          <w:szCs w:val="21"/>
          <w:highlight w:val="none"/>
          <w:lang w:bidi="ar"/>
        </w:rPr>
        <w:t>日内安装调试培训完毕，在乙方安装调试过程中，乙方应严格按照操作规程进行操作，并承担安装调试过程中发生的一切责任及费用。安装调试期间本项目的半成品、材料、设备及工具等，由乙方自行保管，如有遗失或损坏，由乙方自行承担责任。</w:t>
      </w:r>
      <w:r>
        <w:rPr>
          <w:rFonts w:hint="eastAsia" w:ascii="仿宋" w:hAnsi="仿宋" w:eastAsia="仿宋" w:cs="仿宋"/>
          <w:color w:val="auto"/>
          <w:kern w:val="0"/>
          <w:szCs w:val="21"/>
          <w:highlight w:val="none"/>
          <w:lang w:bidi="ar"/>
        </w:rPr>
        <w:br w:type="textWrapping"/>
      </w:r>
      <w:r>
        <w:rPr>
          <w:rFonts w:hint="eastAsia" w:ascii="仿宋" w:hAnsi="仿宋" w:eastAsia="仿宋" w:cs="仿宋"/>
          <w:color w:val="auto"/>
          <w:kern w:val="0"/>
          <w:szCs w:val="21"/>
          <w:highlight w:val="none"/>
        </w:rPr>
        <w:t>4.5.</w:t>
      </w:r>
      <w:r>
        <w:rPr>
          <w:rFonts w:hint="eastAsia" w:ascii="仿宋" w:hAnsi="仿宋" w:eastAsia="仿宋" w:cs="仿宋"/>
          <w:color w:val="auto"/>
          <w:kern w:val="0"/>
          <w:szCs w:val="21"/>
          <w:highlight w:val="none"/>
          <w:lang w:bidi="ar"/>
        </w:rPr>
        <w:t>3货物安装调试完毕正常运行</w:t>
      </w:r>
      <w:r>
        <w:rPr>
          <w:rFonts w:hint="eastAsia" w:ascii="仿宋" w:hAnsi="仿宋" w:eastAsia="仿宋" w:cs="仿宋"/>
          <w:color w:val="auto"/>
          <w:kern w:val="0"/>
          <w:szCs w:val="21"/>
          <w:highlight w:val="none"/>
          <w:u w:val="single"/>
          <w:lang w:bidi="ar"/>
        </w:rPr>
        <w:t xml:space="preserve">  </w:t>
      </w:r>
      <w:r>
        <w:rPr>
          <w:rFonts w:ascii="仿宋" w:hAnsi="仿宋" w:eastAsia="仿宋" w:cs="仿宋"/>
          <w:color w:val="auto"/>
          <w:kern w:val="0"/>
          <w:szCs w:val="21"/>
          <w:highlight w:val="none"/>
          <w:u w:val="single"/>
          <w:lang w:bidi="ar"/>
        </w:rPr>
        <w:t>10</w:t>
      </w:r>
      <w:r>
        <w:rPr>
          <w:rFonts w:hint="eastAsia" w:ascii="仿宋" w:hAnsi="仿宋" w:eastAsia="仿宋" w:cs="仿宋"/>
          <w:color w:val="auto"/>
          <w:kern w:val="0"/>
          <w:szCs w:val="21"/>
          <w:highlight w:val="none"/>
          <w:u w:val="single"/>
          <w:lang w:bidi="ar"/>
        </w:rPr>
        <w:t xml:space="preserve">  </w:t>
      </w:r>
      <w:r>
        <w:rPr>
          <w:rFonts w:hint="eastAsia" w:ascii="仿宋" w:hAnsi="仿宋" w:eastAsia="仿宋" w:cs="仿宋"/>
          <w:color w:val="auto"/>
          <w:kern w:val="0"/>
          <w:szCs w:val="21"/>
          <w:highlight w:val="none"/>
          <w:lang w:bidi="ar"/>
        </w:rPr>
        <w:t>日内，甲方应及时组织人员对货物进行测试或试运行。若货物存在缺陷，乙方应在</w:t>
      </w:r>
      <w:r>
        <w:rPr>
          <w:rFonts w:hint="eastAsia" w:ascii="仿宋" w:hAnsi="仿宋" w:eastAsia="仿宋" w:cs="仿宋"/>
          <w:color w:val="auto"/>
          <w:kern w:val="0"/>
          <w:szCs w:val="21"/>
          <w:highlight w:val="none"/>
          <w:u w:val="single"/>
          <w:lang w:bidi="ar"/>
        </w:rPr>
        <w:t xml:space="preserve"> </w:t>
      </w:r>
      <w:r>
        <w:rPr>
          <w:rFonts w:ascii="仿宋" w:hAnsi="仿宋" w:eastAsia="仿宋" w:cs="仿宋"/>
          <w:color w:val="auto"/>
          <w:kern w:val="0"/>
          <w:szCs w:val="21"/>
          <w:highlight w:val="none"/>
          <w:u w:val="single"/>
          <w:lang w:bidi="ar"/>
        </w:rPr>
        <w:t>5</w:t>
      </w:r>
      <w:r>
        <w:rPr>
          <w:rFonts w:hint="eastAsia" w:ascii="仿宋" w:hAnsi="仿宋" w:eastAsia="仿宋" w:cs="仿宋"/>
          <w:color w:val="auto"/>
          <w:kern w:val="0"/>
          <w:szCs w:val="21"/>
          <w:highlight w:val="none"/>
          <w:u w:val="single"/>
          <w:lang w:bidi="ar"/>
        </w:rPr>
        <w:t xml:space="preserve"> </w:t>
      </w:r>
      <w:r>
        <w:rPr>
          <w:rFonts w:hint="eastAsia" w:ascii="仿宋" w:hAnsi="仿宋" w:eastAsia="仿宋" w:cs="仿宋"/>
          <w:color w:val="auto"/>
          <w:kern w:val="0"/>
          <w:szCs w:val="21"/>
          <w:highlight w:val="none"/>
          <w:lang w:bidi="ar"/>
        </w:rPr>
        <w:t>日内及时整改，使货物达到合同约定的性能，否则甲方有权解除合同。整改发生的费用应由乙方承担。</w:t>
      </w:r>
      <w:r>
        <w:rPr>
          <w:rFonts w:hint="eastAsia" w:ascii="仿宋" w:hAnsi="仿宋" w:eastAsia="仿宋" w:cs="仿宋"/>
          <w:color w:val="auto"/>
          <w:kern w:val="0"/>
          <w:szCs w:val="21"/>
          <w:highlight w:val="none"/>
          <w:lang w:bidi="ar"/>
        </w:rPr>
        <w:br w:type="textWrapping"/>
      </w:r>
      <w:r>
        <w:rPr>
          <w:rFonts w:hint="eastAsia" w:ascii="仿宋" w:hAnsi="仿宋" w:eastAsia="仿宋" w:cs="仿宋"/>
          <w:color w:val="auto"/>
          <w:kern w:val="0"/>
          <w:szCs w:val="21"/>
          <w:highlight w:val="none"/>
        </w:rPr>
        <w:t>4.5.</w:t>
      </w:r>
      <w:r>
        <w:rPr>
          <w:rFonts w:hint="eastAsia" w:ascii="仿宋" w:hAnsi="仿宋" w:eastAsia="仿宋" w:cs="仿宋"/>
          <w:color w:val="auto"/>
          <w:kern w:val="0"/>
          <w:szCs w:val="21"/>
          <w:highlight w:val="none"/>
          <w:lang w:bidi="ar"/>
        </w:rPr>
        <w:t>4当本合同所列货物安装调试培训完毕，并通过甲方的正式验收后，双方签字确认，货物正式交付给甲方，视为正式验收合格，在此之前货物的毁损、灭失等风险由乙方承担。</w:t>
      </w:r>
    </w:p>
    <w:p>
      <w:pPr>
        <w:widowControl/>
        <w:adjustRightInd w:val="0"/>
        <w:snapToGrid w:val="0"/>
        <w:spacing w:line="360" w:lineRule="auto"/>
        <w:jc w:val="left"/>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 xml:space="preserve">4.6. 培训： </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4.6.1卖方应负责与合同设备有关的培训工作。</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4.6.2培训至</w:t>
      </w:r>
      <w:r>
        <w:rPr>
          <w:rFonts w:hint="eastAsia" w:ascii="仿宋" w:hAnsi="仿宋" w:eastAsia="仿宋" w:cs="仿宋"/>
          <w:color w:val="auto"/>
          <w:kern w:val="0"/>
          <w:szCs w:val="21"/>
          <w:highlight w:val="none"/>
          <w:lang w:bidi="ar"/>
        </w:rPr>
        <w:t>人员能正常、正确、安全操作该设备为止</w:t>
      </w:r>
      <w:r>
        <w:rPr>
          <w:rFonts w:hint="eastAsia" w:ascii="仿宋" w:hAnsi="仿宋" w:eastAsia="仿宋" w:cs="仿宋"/>
          <w:color w:val="auto"/>
          <w:kern w:val="0"/>
          <w:szCs w:val="21"/>
          <w:highlight w:val="none"/>
        </w:rPr>
        <w:t>。</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4.6.3培训的费用(包括食宿费、会议费、资料费等)由卖方承担。</w:t>
      </w:r>
    </w:p>
    <w:p>
      <w:pPr>
        <w:widowControl/>
        <w:adjustRightInd w:val="0"/>
        <w:snapToGrid w:val="0"/>
        <w:spacing w:line="360" w:lineRule="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4.6.4现场培训，培训地点，招标方现场，培训人数、时间由招标方和投标人协商决定。</w:t>
      </w:r>
    </w:p>
    <w:p>
      <w:pPr>
        <w:widowControl/>
        <w:adjustRightInd w:val="0"/>
        <w:snapToGrid w:val="0"/>
        <w:spacing w:line="360" w:lineRule="auto"/>
        <w:rPr>
          <w:rFonts w:hint="eastAsia" w:ascii="仿宋" w:hAnsi="仿宋" w:eastAsia="仿宋" w:cs="仿宋"/>
          <w:b/>
          <w:bCs/>
          <w:color w:val="auto"/>
          <w:kern w:val="0"/>
          <w:szCs w:val="21"/>
          <w:highlight w:val="none"/>
          <w:lang w:val="en-US" w:eastAsia="zh-CN"/>
        </w:rPr>
      </w:pPr>
      <w:r>
        <w:rPr>
          <w:rFonts w:hint="eastAsia" w:ascii="仿宋" w:hAnsi="仿宋" w:eastAsia="仿宋" w:cs="仿宋"/>
          <w:b/>
          <w:bCs/>
          <w:color w:val="auto"/>
          <w:kern w:val="0"/>
          <w:szCs w:val="21"/>
          <w:highlight w:val="none"/>
          <w:lang w:val="en-US" w:eastAsia="zh-CN"/>
        </w:rPr>
        <w:t>4.7 质保期</w:t>
      </w:r>
    </w:p>
    <w:p>
      <w:pPr>
        <w:widowControl/>
        <w:adjustRightInd w:val="0"/>
        <w:snapToGrid w:val="0"/>
        <w:spacing w:line="360" w:lineRule="auto"/>
        <w:ind w:firstLine="420" w:firstLineChars="200"/>
        <w:rPr>
          <w:rFonts w:hint="default" w:ascii="仿宋" w:hAnsi="仿宋" w:eastAsia="仿宋" w:cs="仿宋"/>
          <w:color w:val="auto"/>
          <w:kern w:val="0"/>
          <w:szCs w:val="21"/>
          <w:highlight w:val="none"/>
          <w:lang w:val="en-US" w:eastAsia="zh-CN"/>
        </w:rPr>
      </w:pPr>
      <w:r>
        <w:rPr>
          <w:rFonts w:hint="default" w:ascii="仿宋" w:hAnsi="仿宋" w:eastAsia="仿宋" w:cs="仿宋"/>
          <w:color w:val="auto"/>
          <w:kern w:val="0"/>
          <w:szCs w:val="21"/>
          <w:highlight w:val="none"/>
        </w:rPr>
        <w:t>项目（设备）验收合格后</w:t>
      </w:r>
      <w:r>
        <w:rPr>
          <w:rFonts w:hint="default"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36</w:t>
      </w:r>
      <w:r>
        <w:rPr>
          <w:rFonts w:hint="default" w:ascii="仿宋" w:hAnsi="仿宋" w:eastAsia="仿宋" w:cs="仿宋"/>
          <w:color w:val="auto"/>
          <w:kern w:val="0"/>
          <w:szCs w:val="21"/>
          <w:highlight w:val="none"/>
          <w:u w:val="single"/>
        </w:rPr>
        <w:t xml:space="preserve">  </w:t>
      </w:r>
      <w:r>
        <w:rPr>
          <w:rFonts w:hint="default" w:ascii="仿宋" w:hAnsi="仿宋" w:eastAsia="仿宋" w:cs="仿宋"/>
          <w:color w:val="auto"/>
          <w:kern w:val="0"/>
          <w:szCs w:val="21"/>
          <w:highlight w:val="none"/>
        </w:rPr>
        <w:t xml:space="preserve">个月 </w:t>
      </w:r>
    </w:p>
    <w:p>
      <w:pPr>
        <w:widowControl/>
        <w:adjustRightInd w:val="0"/>
        <w:snapToGrid w:val="0"/>
        <w:spacing w:line="360" w:lineRule="auto"/>
        <w:jc w:val="left"/>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4.</w:t>
      </w:r>
      <w:r>
        <w:rPr>
          <w:rFonts w:hint="eastAsia" w:ascii="仿宋" w:hAnsi="仿宋" w:eastAsia="仿宋" w:cs="仿宋"/>
          <w:b/>
          <w:bCs/>
          <w:color w:val="auto"/>
          <w:kern w:val="0"/>
          <w:szCs w:val="21"/>
          <w:highlight w:val="none"/>
          <w:lang w:val="en-US" w:eastAsia="zh-CN"/>
        </w:rPr>
        <w:t>8</w:t>
      </w:r>
      <w:r>
        <w:rPr>
          <w:rFonts w:hint="eastAsia" w:ascii="仿宋" w:hAnsi="仿宋" w:eastAsia="仿宋" w:cs="仿宋"/>
          <w:b/>
          <w:bCs/>
          <w:color w:val="auto"/>
          <w:kern w:val="0"/>
          <w:szCs w:val="21"/>
          <w:highlight w:val="none"/>
        </w:rPr>
        <w:t xml:space="preserve"> 售后服务承诺：</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8</w:t>
      </w:r>
      <w:r>
        <w:rPr>
          <w:rFonts w:hint="eastAsia" w:ascii="仿宋" w:hAnsi="仿宋" w:eastAsia="仿宋" w:cs="仿宋"/>
          <w:color w:val="auto"/>
          <w:kern w:val="0"/>
          <w:szCs w:val="21"/>
          <w:highlight w:val="none"/>
        </w:rPr>
        <w:t>.1供方对所供设备实行质量“三包”（包修、包换、包退），在使用中、运行中出现质量问题，在接到通知后的</w:t>
      </w:r>
      <w:r>
        <w:rPr>
          <w:rFonts w:hint="eastAsia" w:ascii="仿宋" w:hAnsi="仿宋" w:eastAsia="仿宋" w:cs="仿宋"/>
          <w:color w:val="auto"/>
          <w:kern w:val="0"/>
          <w:szCs w:val="21"/>
          <w:highlight w:val="none"/>
          <w:u w:val="single"/>
        </w:rPr>
        <w:t xml:space="preserve"> 24 </w:t>
      </w:r>
      <w:r>
        <w:rPr>
          <w:rFonts w:hint="eastAsia" w:ascii="仿宋" w:hAnsi="仿宋" w:eastAsia="仿宋" w:cs="仿宋"/>
          <w:color w:val="auto"/>
          <w:kern w:val="0"/>
          <w:szCs w:val="21"/>
          <w:highlight w:val="none"/>
        </w:rPr>
        <w:t>小时内答复，在</w:t>
      </w:r>
      <w:r>
        <w:rPr>
          <w:rFonts w:hint="eastAsia" w:ascii="仿宋" w:hAnsi="仿宋" w:eastAsia="仿宋" w:cs="仿宋"/>
          <w:color w:val="auto"/>
          <w:kern w:val="0"/>
          <w:szCs w:val="21"/>
          <w:highlight w:val="none"/>
          <w:u w:val="single"/>
        </w:rPr>
        <w:t>48</w:t>
      </w:r>
      <w:r>
        <w:rPr>
          <w:rFonts w:hint="eastAsia" w:ascii="仿宋" w:hAnsi="仿宋" w:eastAsia="仿宋" w:cs="仿宋"/>
          <w:color w:val="auto"/>
          <w:kern w:val="0"/>
          <w:szCs w:val="21"/>
          <w:highlight w:val="none"/>
        </w:rPr>
        <w:t>小时内派员到达现场,处理问题。</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8</w:t>
      </w:r>
      <w:r>
        <w:rPr>
          <w:rFonts w:hint="eastAsia" w:ascii="仿宋" w:hAnsi="仿宋" w:eastAsia="仿宋" w:cs="仿宋"/>
          <w:color w:val="auto"/>
          <w:kern w:val="0"/>
          <w:szCs w:val="21"/>
          <w:highlight w:val="none"/>
        </w:rPr>
        <w:t>.2需方认为有必要提前交货，可同供方协商，确定提前交货日，供方应大力支持。</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8</w:t>
      </w:r>
      <w:r>
        <w:rPr>
          <w:rFonts w:hint="eastAsia" w:ascii="仿宋" w:hAnsi="仿宋" w:eastAsia="仿宋" w:cs="仿宋"/>
          <w:color w:val="auto"/>
          <w:kern w:val="0"/>
          <w:szCs w:val="21"/>
          <w:highlight w:val="none"/>
        </w:rPr>
        <w:t>.3供方应及时提供与本合同设备有关的工程设计、设备监造、检验、土建、安装、调试、验收、性能验收试验、运行、检修等相应的技术指导、技术配合、技术培训等全过程的服务。</w:t>
      </w:r>
    </w:p>
    <w:p>
      <w:pPr>
        <w:widowControl/>
        <w:adjustRightInd w:val="0"/>
        <w:snapToGrid w:val="0"/>
        <w:spacing w:line="360"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r>
        <w:rPr>
          <w:rFonts w:hint="eastAsia" w:ascii="仿宋" w:hAnsi="仿宋" w:eastAsia="仿宋" w:cs="仿宋"/>
          <w:color w:val="auto"/>
          <w:kern w:val="0"/>
          <w:szCs w:val="21"/>
          <w:highlight w:val="none"/>
          <w:lang w:val="en-US" w:eastAsia="zh-CN"/>
        </w:rPr>
        <w:t>8</w:t>
      </w:r>
      <w:r>
        <w:rPr>
          <w:rFonts w:hint="eastAsia" w:ascii="仿宋" w:hAnsi="仿宋" w:eastAsia="仿宋" w:cs="仿宋"/>
          <w:color w:val="auto"/>
          <w:kern w:val="0"/>
          <w:szCs w:val="21"/>
          <w:highlight w:val="none"/>
        </w:rPr>
        <w:t>.4供方须按需方实际安装要求派遣足够的且有工程经验的技术人员到现场进行技术服务，指导需方按供方的技术资料、图纸进行安装、分部试运、调试和试运行，并负责解决合同设备在安装调试、试运行中发现的制造质量及性能等有关问题。</w:t>
      </w:r>
    </w:p>
    <w:p>
      <w:pPr>
        <w:spacing w:line="360" w:lineRule="auto"/>
        <w:rPr>
          <w:rFonts w:ascii="仿宋" w:hAnsi="仿宋" w:eastAsia="仿宋" w:cs="仿宋"/>
          <w:b/>
          <w:bCs/>
          <w:color w:val="auto"/>
          <w:szCs w:val="21"/>
          <w:highlight w:val="none"/>
        </w:rPr>
      </w:pPr>
      <w:r>
        <w:rPr>
          <w:rFonts w:hint="eastAsia" w:ascii="仿宋" w:hAnsi="仿宋" w:eastAsia="仿宋" w:cs="仿宋"/>
          <w:b/>
          <w:bCs/>
          <w:color w:val="auto"/>
          <w:szCs w:val="21"/>
          <w:highlight w:val="none"/>
        </w:rPr>
        <w:t>4.</w:t>
      </w:r>
      <w:r>
        <w:rPr>
          <w:rFonts w:hint="eastAsia" w:ascii="仿宋" w:hAnsi="仿宋" w:eastAsia="仿宋" w:cs="仿宋"/>
          <w:b/>
          <w:bCs/>
          <w:color w:val="auto"/>
          <w:szCs w:val="21"/>
          <w:highlight w:val="none"/>
          <w:lang w:val="en-US" w:eastAsia="zh-CN"/>
        </w:rPr>
        <w:t>9</w:t>
      </w:r>
      <w:r>
        <w:rPr>
          <w:rFonts w:hint="eastAsia" w:ascii="仿宋" w:hAnsi="仿宋" w:eastAsia="仿宋" w:cs="仿宋"/>
          <w:b/>
          <w:bCs/>
          <w:color w:val="auto"/>
          <w:szCs w:val="21"/>
          <w:highlight w:val="none"/>
        </w:rPr>
        <w:t>交付成果、验收</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ascii="仿宋" w:hAnsi="仿宋" w:eastAsia="仿宋" w:cs="仿宋"/>
          <w:b w:val="0"/>
          <w:bCs w:val="0"/>
          <w:color w:val="auto"/>
          <w:szCs w:val="21"/>
          <w:highlight w:val="none"/>
        </w:rPr>
      </w:pPr>
      <w:r>
        <w:rPr>
          <w:rFonts w:hint="eastAsia" w:ascii="仿宋" w:hAnsi="仿宋" w:eastAsia="仿宋" w:cs="仿宋"/>
          <w:b w:val="0"/>
          <w:bCs w:val="0"/>
          <w:lang w:val="en-US" w:eastAsia="zh-CN"/>
        </w:rPr>
        <w:t>设备由乙方交付给甲方后可正常运转，检测数据正常</w:t>
      </w:r>
      <w:r>
        <w:rPr>
          <w:rFonts w:hint="eastAsia" w:ascii="仿宋" w:hAnsi="仿宋" w:eastAsia="仿宋" w:cs="仿宋"/>
          <w:b w:val="0"/>
          <w:bCs w:val="0"/>
          <w:color w:val="auto"/>
          <w:szCs w:val="21"/>
          <w:highlight w:val="none"/>
        </w:rPr>
        <w:t>即达到验收条件。</w:t>
      </w:r>
    </w:p>
    <w:p>
      <w:pPr>
        <w:keepNext w:val="0"/>
        <w:keepLines w:val="0"/>
        <w:pageBreakBefore w:val="0"/>
        <w:widowControl/>
        <w:numPr>
          <w:ilvl w:val="0"/>
          <w:numId w:val="0"/>
        </w:numPr>
        <w:kinsoku/>
        <w:wordWrap/>
        <w:overflowPunct/>
        <w:topLinePunct w:val="0"/>
        <w:autoSpaceDE/>
        <w:autoSpaceDN/>
        <w:bidi w:val="0"/>
        <w:adjustRightInd w:val="0"/>
        <w:snapToGrid w:val="0"/>
        <w:spacing w:line="336" w:lineRule="auto"/>
        <w:ind w:leftChars="0" w:right="0" w:rightChars="0"/>
        <w:jc w:val="left"/>
        <w:textAlignment w:val="auto"/>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4.10 供货一览表（写明每个标段要的清单）</w:t>
      </w:r>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6" w:type="dxa"/>
          <w:bottom w:w="0" w:type="dxa"/>
          <w:right w:w="36" w:type="dxa"/>
        </w:tblCellMar>
      </w:tblPr>
      <w:tblGrid>
        <w:gridCol w:w="970"/>
        <w:gridCol w:w="2254"/>
        <w:gridCol w:w="1123"/>
        <w:gridCol w:w="1305"/>
        <w:gridCol w:w="2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1407" w:hRule="exact"/>
          <w:jc w:val="center"/>
        </w:trPr>
        <w:tc>
          <w:tcPr>
            <w:tcW w:w="579"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序号</w:t>
            </w:r>
          </w:p>
        </w:tc>
        <w:tc>
          <w:tcPr>
            <w:tcW w:w="1345"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名称</w:t>
            </w:r>
          </w:p>
        </w:tc>
        <w:tc>
          <w:tcPr>
            <w:tcW w:w="670"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数量</w:t>
            </w:r>
          </w:p>
        </w:tc>
        <w:tc>
          <w:tcPr>
            <w:tcW w:w="779"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单位</w:t>
            </w:r>
          </w:p>
        </w:tc>
        <w:tc>
          <w:tcPr>
            <w:tcW w:w="1625"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579"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345" w:type="pct"/>
            <w:noWrap w:val="0"/>
            <w:vAlign w:val="center"/>
          </w:tcPr>
          <w:p>
            <w:pPr>
              <w:widowControl/>
              <w:jc w:val="center"/>
              <w:textAlignment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绝缘支架</w:t>
            </w:r>
          </w:p>
        </w:tc>
        <w:tc>
          <w:tcPr>
            <w:tcW w:w="670" w:type="pct"/>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w:t>
            </w:r>
          </w:p>
        </w:tc>
        <w:tc>
          <w:tcPr>
            <w:tcW w:w="779" w:type="pct"/>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个</w:t>
            </w:r>
          </w:p>
        </w:tc>
        <w:tc>
          <w:tcPr>
            <w:tcW w:w="1625" w:type="pct"/>
            <w:noWrap w:val="0"/>
            <w:vAlign w:val="center"/>
          </w:tcPr>
          <w:p>
            <w:pPr>
              <w:widowControl/>
              <w:jc w:val="center"/>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 w:val="21"/>
                <w:szCs w:val="21"/>
                <w:lang w:val="en-US" w:eastAsia="zh-CN" w:bidi="ar"/>
              </w:rPr>
              <w:t>提供耐压报告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579"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w:t>
            </w:r>
          </w:p>
        </w:tc>
        <w:tc>
          <w:tcPr>
            <w:tcW w:w="1345" w:type="pct"/>
            <w:noWrap w:val="0"/>
            <w:vAlign w:val="center"/>
          </w:tcPr>
          <w:p>
            <w:pPr>
              <w:widowControl/>
              <w:jc w:val="center"/>
              <w:textAlignment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导电鞋电阻测试仪</w:t>
            </w:r>
          </w:p>
        </w:tc>
        <w:tc>
          <w:tcPr>
            <w:tcW w:w="670" w:type="pct"/>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1</w:t>
            </w:r>
          </w:p>
        </w:tc>
        <w:tc>
          <w:tcPr>
            <w:tcW w:w="779" w:type="pct"/>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套</w:t>
            </w:r>
          </w:p>
        </w:tc>
        <w:tc>
          <w:tcPr>
            <w:tcW w:w="1625" w:type="pct"/>
            <w:noWrap w:val="0"/>
            <w:vAlign w:val="center"/>
          </w:tcPr>
          <w:p>
            <w:pPr>
              <w:widowControl/>
              <w:jc w:val="center"/>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 w:val="21"/>
                <w:szCs w:val="21"/>
                <w:lang w:val="en-US" w:eastAsia="zh-CN" w:bidi="ar"/>
              </w:rPr>
              <w:t>技术参数详见3项目技术要求，需提供检定证书、校准证书或检测报告。</w:t>
            </w:r>
          </w:p>
        </w:tc>
      </w:tr>
    </w:tbl>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4"/>
          <w:szCs w:val="24"/>
          <w:lang w:val="en-US" w:eastAsia="zh-CN"/>
        </w:rPr>
      </w:pPr>
      <w:bookmarkStart w:id="1" w:name="_GoBack"/>
      <w:bookmarkEnd w:id="1"/>
      <w:r>
        <w:rPr>
          <w:rFonts w:hint="eastAsia" w:ascii="仿宋" w:hAnsi="仿宋" w:eastAsia="仿宋" w:cs="仿宋"/>
          <w:b/>
          <w:bCs/>
          <w:color w:val="auto"/>
          <w:kern w:val="0"/>
          <w:sz w:val="24"/>
          <w:szCs w:val="24"/>
          <w:lang w:val="en-US" w:eastAsia="zh-CN"/>
        </w:rPr>
        <w:t>五、管理人员为本项目的负责人。</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4"/>
          <w:szCs w:val="24"/>
          <w:lang w:val="en-US" w:eastAsia="zh-CN"/>
        </w:rPr>
      </w:pPr>
      <w:r>
        <w:rPr>
          <w:rFonts w:hint="eastAsia" w:ascii="仿宋" w:hAnsi="仿宋" w:eastAsia="仿宋" w:cs="仿宋"/>
          <w:b/>
          <w:bCs/>
          <w:color w:val="auto"/>
          <w:kern w:val="0"/>
          <w:sz w:val="24"/>
          <w:szCs w:val="24"/>
          <w:lang w:val="en-US" w:eastAsia="zh-CN"/>
        </w:rPr>
        <w:t>六、报价方面</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报价方式：固定总价报价（包含税）；</w:t>
      </w:r>
    </w:p>
    <w:p>
      <w:pPr>
        <w:pStyle w:val="8"/>
        <w:keepNext w:val="0"/>
        <w:keepLines w:val="0"/>
        <w:pageBreakBefore w:val="0"/>
        <w:widowControl w:val="0"/>
        <w:numPr>
          <w:ilvl w:val="0"/>
          <w:numId w:val="0"/>
        </w:numPr>
        <w:kinsoku/>
        <w:wordWrap/>
        <w:overflowPunct/>
        <w:topLinePunct w:val="0"/>
        <w:autoSpaceDE/>
        <w:autoSpaceDN/>
        <w:bidi w:val="0"/>
        <w:adjustRightInd/>
        <w:snapToGrid w:val="0"/>
        <w:spacing w:after="0"/>
        <w:ind w:leftChars="0"/>
        <w:textAlignment w:val="auto"/>
        <w:outlineLvl w:val="9"/>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报价明细：</w:t>
      </w:r>
    </w:p>
    <w:tbl>
      <w:tblPr>
        <w:tblStyle w:val="9"/>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6" w:type="dxa"/>
          <w:bottom w:w="0" w:type="dxa"/>
          <w:right w:w="36" w:type="dxa"/>
        </w:tblCellMar>
      </w:tblPr>
      <w:tblGrid>
        <w:gridCol w:w="660"/>
        <w:gridCol w:w="1532"/>
        <w:gridCol w:w="763"/>
        <w:gridCol w:w="887"/>
        <w:gridCol w:w="1339"/>
        <w:gridCol w:w="1339"/>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1407" w:hRule="exact"/>
          <w:jc w:val="center"/>
        </w:trPr>
        <w:tc>
          <w:tcPr>
            <w:tcW w:w="394"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序号</w:t>
            </w:r>
          </w:p>
        </w:tc>
        <w:tc>
          <w:tcPr>
            <w:tcW w:w="915"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名称</w:t>
            </w:r>
          </w:p>
        </w:tc>
        <w:tc>
          <w:tcPr>
            <w:tcW w:w="456"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数量</w:t>
            </w:r>
          </w:p>
        </w:tc>
        <w:tc>
          <w:tcPr>
            <w:tcW w:w="530"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单位</w:t>
            </w:r>
          </w:p>
        </w:tc>
        <w:tc>
          <w:tcPr>
            <w:tcW w:w="800"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单价最高限价（万元）</w:t>
            </w:r>
          </w:p>
        </w:tc>
        <w:tc>
          <w:tcPr>
            <w:tcW w:w="800"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总价最高限价（万元）</w:t>
            </w:r>
          </w:p>
        </w:tc>
        <w:tc>
          <w:tcPr>
            <w:tcW w:w="1100"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394"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915" w:type="pct"/>
            <w:noWrap w:val="0"/>
            <w:vAlign w:val="center"/>
          </w:tcPr>
          <w:p>
            <w:pPr>
              <w:widowControl/>
              <w:jc w:val="center"/>
              <w:textAlignment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绝缘支架</w:t>
            </w:r>
          </w:p>
        </w:tc>
        <w:tc>
          <w:tcPr>
            <w:tcW w:w="456" w:type="pct"/>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w:t>
            </w:r>
          </w:p>
        </w:tc>
        <w:tc>
          <w:tcPr>
            <w:tcW w:w="530" w:type="pct"/>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个</w:t>
            </w:r>
          </w:p>
        </w:tc>
        <w:tc>
          <w:tcPr>
            <w:tcW w:w="800" w:type="pct"/>
            <w:noWrap w:val="0"/>
            <w:vAlign w:val="center"/>
          </w:tcPr>
          <w:p>
            <w:pPr>
              <w:widowControl/>
              <w:jc w:val="center"/>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 w:val="21"/>
                <w:szCs w:val="21"/>
                <w:lang w:val="en-US" w:eastAsia="zh-CN" w:bidi="ar"/>
              </w:rPr>
              <w:t>0.85</w:t>
            </w:r>
          </w:p>
        </w:tc>
        <w:tc>
          <w:tcPr>
            <w:tcW w:w="800" w:type="pct"/>
            <w:noWrap w:val="0"/>
            <w:vAlign w:val="center"/>
          </w:tcPr>
          <w:p>
            <w:pPr>
              <w:spacing w:beforeLines="0" w:afterLines="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1.70</w:t>
            </w:r>
          </w:p>
        </w:tc>
        <w:tc>
          <w:tcPr>
            <w:tcW w:w="1100" w:type="pct"/>
            <w:noWrap w:val="0"/>
            <w:vAlign w:val="center"/>
          </w:tcPr>
          <w:p>
            <w:pPr>
              <w:widowControl/>
              <w:jc w:val="center"/>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 w:val="21"/>
                <w:szCs w:val="21"/>
                <w:lang w:val="en-US" w:eastAsia="zh-CN" w:bidi="ar"/>
              </w:rPr>
              <w:t>提供耐压报告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394" w:type="pct"/>
            <w:noWrap w:val="0"/>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w:t>
            </w:r>
          </w:p>
        </w:tc>
        <w:tc>
          <w:tcPr>
            <w:tcW w:w="915" w:type="pct"/>
            <w:noWrap w:val="0"/>
            <w:vAlign w:val="center"/>
          </w:tcPr>
          <w:p>
            <w:pPr>
              <w:widowControl/>
              <w:jc w:val="center"/>
              <w:textAlignment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导电鞋电阻测试仪</w:t>
            </w:r>
          </w:p>
        </w:tc>
        <w:tc>
          <w:tcPr>
            <w:tcW w:w="456" w:type="pct"/>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1</w:t>
            </w:r>
          </w:p>
        </w:tc>
        <w:tc>
          <w:tcPr>
            <w:tcW w:w="530" w:type="pct"/>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套</w:t>
            </w:r>
          </w:p>
        </w:tc>
        <w:tc>
          <w:tcPr>
            <w:tcW w:w="800" w:type="pct"/>
            <w:noWrap w:val="0"/>
            <w:vAlign w:val="center"/>
          </w:tcPr>
          <w:p>
            <w:pPr>
              <w:widowControl/>
              <w:jc w:val="center"/>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 w:val="21"/>
                <w:szCs w:val="21"/>
                <w:lang w:val="en-US" w:eastAsia="zh-CN" w:bidi="ar"/>
              </w:rPr>
              <w:t>3.01</w:t>
            </w:r>
          </w:p>
        </w:tc>
        <w:tc>
          <w:tcPr>
            <w:tcW w:w="800" w:type="pct"/>
            <w:noWrap w:val="0"/>
            <w:vAlign w:val="center"/>
          </w:tcPr>
          <w:p>
            <w:pPr>
              <w:spacing w:beforeLines="0" w:afterLines="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3.01</w:t>
            </w:r>
          </w:p>
        </w:tc>
        <w:tc>
          <w:tcPr>
            <w:tcW w:w="1100" w:type="pct"/>
            <w:noWrap w:val="0"/>
            <w:vAlign w:val="center"/>
          </w:tcPr>
          <w:p>
            <w:pPr>
              <w:widowControl/>
              <w:jc w:val="center"/>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 w:val="21"/>
                <w:szCs w:val="21"/>
                <w:lang w:val="en-US" w:eastAsia="zh-CN" w:bidi="ar"/>
              </w:rPr>
              <w:t>技术参数详见3项目技术要求，需提供检定证书、校准证书或检测报告。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5000" w:type="pct"/>
            <w:gridSpan w:val="7"/>
            <w:vAlign w:val="center"/>
          </w:tcPr>
          <w:p>
            <w:pPr>
              <w:widowControl/>
              <w:jc w:val="center"/>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 w:val="21"/>
                <w:szCs w:val="21"/>
                <w:lang w:val="en-US" w:eastAsia="zh-CN" w:bidi="ar"/>
              </w:rPr>
              <w:t>总价最高限价：4.71万元（合计人民币：肆万柒仟壹佰元整）</w:t>
            </w:r>
          </w:p>
        </w:tc>
      </w:tr>
    </w:tbl>
    <w:p>
      <w:pPr>
        <w:rPr>
          <w:rFonts w:hint="default" w:ascii="仿宋" w:hAnsi="仿宋" w:eastAsia="仿宋" w:cs="仿宋"/>
          <w:b/>
          <w:bCs/>
          <w:lang w:val="en-US"/>
        </w:rPr>
      </w:pPr>
      <w:r>
        <w:rPr>
          <w:rFonts w:hint="eastAsia" w:ascii="仿宋" w:hAnsi="仿宋" w:eastAsia="仿宋" w:cs="仿宋"/>
          <w:b/>
          <w:bCs/>
          <w:color w:val="auto"/>
          <w:kern w:val="0"/>
          <w:sz w:val="24"/>
          <w:szCs w:val="24"/>
          <w:lang w:val="en-US" w:eastAsia="zh-CN"/>
        </w:rPr>
        <w:t>注：税率：13%。项目验收完成后，需方在次月10日前通知供方开具增值税专用发票，供方应在次月15日前将发票开具完成并送达需方，需方在收到发票后30日内付款完成。</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b/>
          <w:bCs/>
          <w:color w:val="auto"/>
          <w:highlight w:val="red"/>
          <w:lang w:val="en-US" w:eastAsia="zh-CN"/>
        </w:rPr>
      </w:pPr>
      <w:r>
        <w:rPr>
          <w:rFonts w:hint="eastAsia" w:ascii="仿宋" w:hAnsi="仿宋" w:eastAsia="仿宋" w:cs="仿宋"/>
          <w:b/>
          <w:bCs/>
          <w:color w:val="auto"/>
          <w:highlight w:val="red"/>
          <w:lang w:val="en-US" w:eastAsia="zh-CN"/>
        </w:rPr>
        <w:t>注：本项目需提供营业执照及技术参数响应对照表</w:t>
      </w:r>
    </w:p>
    <w:p>
      <w:pPr>
        <w:pStyle w:val="8"/>
        <w:rPr>
          <w:rFonts w:hint="default"/>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简体">
    <w:altName w:val="微软雅黑"/>
    <w:panose1 w:val="03000509000000000000"/>
    <w:charset w:val="86"/>
    <w:family w:val="script"/>
    <w:pitch w:val="default"/>
    <w:sig w:usb0="00000000" w:usb1="00000000" w:usb2="00000010" w:usb3="00000000" w:csb0="00040000" w:csb1="00000000"/>
  </w:font>
  <w:font w:name="方正大黑简体">
    <w:altName w:val="黑体"/>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1"/>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4YTA3NTg2YjE0NmQ2Yjk1YmYyMTU4YjI3NmJlYzUifQ=="/>
  </w:docVars>
  <w:rsids>
    <w:rsidRoot w:val="0B496AB8"/>
    <w:rsid w:val="044B5C73"/>
    <w:rsid w:val="059A2B4E"/>
    <w:rsid w:val="05FE547A"/>
    <w:rsid w:val="07D37999"/>
    <w:rsid w:val="0843731D"/>
    <w:rsid w:val="088C20C8"/>
    <w:rsid w:val="095A0136"/>
    <w:rsid w:val="0AE54B07"/>
    <w:rsid w:val="0B496AB8"/>
    <w:rsid w:val="0D6671EC"/>
    <w:rsid w:val="0D6F38B2"/>
    <w:rsid w:val="0DA572E9"/>
    <w:rsid w:val="0ECF360B"/>
    <w:rsid w:val="0F4D15C5"/>
    <w:rsid w:val="0F8662FD"/>
    <w:rsid w:val="100C045D"/>
    <w:rsid w:val="10BD26F3"/>
    <w:rsid w:val="112C487A"/>
    <w:rsid w:val="12326D28"/>
    <w:rsid w:val="12B50EBF"/>
    <w:rsid w:val="176F0C91"/>
    <w:rsid w:val="1A5E26BE"/>
    <w:rsid w:val="1E216F5A"/>
    <w:rsid w:val="20A9658F"/>
    <w:rsid w:val="23225886"/>
    <w:rsid w:val="249055C0"/>
    <w:rsid w:val="249B600B"/>
    <w:rsid w:val="24D348AC"/>
    <w:rsid w:val="24F42ED2"/>
    <w:rsid w:val="27612F92"/>
    <w:rsid w:val="27A47ADE"/>
    <w:rsid w:val="27FA5528"/>
    <w:rsid w:val="2AC72827"/>
    <w:rsid w:val="2B21261B"/>
    <w:rsid w:val="2EF8259B"/>
    <w:rsid w:val="302B55BD"/>
    <w:rsid w:val="365C707F"/>
    <w:rsid w:val="387E0E24"/>
    <w:rsid w:val="39213DAF"/>
    <w:rsid w:val="3A894DB0"/>
    <w:rsid w:val="3DCE4B30"/>
    <w:rsid w:val="3EA36FB8"/>
    <w:rsid w:val="3ECD47FA"/>
    <w:rsid w:val="43D85469"/>
    <w:rsid w:val="463E17D5"/>
    <w:rsid w:val="47804667"/>
    <w:rsid w:val="47D46A8D"/>
    <w:rsid w:val="485720B4"/>
    <w:rsid w:val="4A3E453A"/>
    <w:rsid w:val="4C034A63"/>
    <w:rsid w:val="4C687B84"/>
    <w:rsid w:val="4C9535F6"/>
    <w:rsid w:val="4D502AF2"/>
    <w:rsid w:val="58D17242"/>
    <w:rsid w:val="598B139E"/>
    <w:rsid w:val="5A5C6842"/>
    <w:rsid w:val="5A6A2481"/>
    <w:rsid w:val="5CC27887"/>
    <w:rsid w:val="5EF37FE8"/>
    <w:rsid w:val="60231E43"/>
    <w:rsid w:val="606B6CDA"/>
    <w:rsid w:val="61C832F9"/>
    <w:rsid w:val="62600C89"/>
    <w:rsid w:val="627E5D2C"/>
    <w:rsid w:val="6352658E"/>
    <w:rsid w:val="637378D7"/>
    <w:rsid w:val="65331F9D"/>
    <w:rsid w:val="69986E34"/>
    <w:rsid w:val="6A3774AE"/>
    <w:rsid w:val="6CBC478C"/>
    <w:rsid w:val="70253B88"/>
    <w:rsid w:val="71153587"/>
    <w:rsid w:val="747E7D0D"/>
    <w:rsid w:val="74CD2319"/>
    <w:rsid w:val="78F162D2"/>
    <w:rsid w:val="7A69004B"/>
    <w:rsid w:val="7AD15891"/>
    <w:rsid w:val="7B092E7D"/>
    <w:rsid w:val="7CE923E9"/>
    <w:rsid w:val="7D460FF4"/>
    <w:rsid w:val="7D9639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val="0"/>
      <w:keepLines w:val="0"/>
      <w:pageBreakBefore/>
      <w:spacing w:before="340" w:beforeLines="0" w:beforeAutospacing="0" w:after="330" w:afterLines="0" w:afterAutospacing="0" w:line="576" w:lineRule="auto"/>
      <w:jc w:val="center"/>
      <w:outlineLvl w:val="0"/>
    </w:pPr>
    <w:rPr>
      <w:rFonts w:ascii="Times New Roman" w:hAnsi="Times New Roman"/>
      <w:b/>
      <w:kern w:val="44"/>
      <w:sz w:val="28"/>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Body Text"/>
    <w:basedOn w:val="1"/>
    <w:next w:val="4"/>
    <w:autoRedefine/>
    <w:qFormat/>
    <w:uiPriority w:val="1"/>
    <w:rPr>
      <w:rFonts w:ascii="宋体" w:hAnsi="宋体" w:eastAsia="宋体" w:cs="宋体"/>
      <w:sz w:val="24"/>
      <w:szCs w:val="24"/>
      <w:lang w:val="en-US" w:eastAsia="zh-CN" w:bidi="ar-SA"/>
    </w:rPr>
  </w:style>
  <w:style w:type="paragraph" w:customStyle="1" w:styleId="4">
    <w:name w:val="Default"/>
    <w:autoRedefine/>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5">
    <w:name w:val="Body Text Indent"/>
    <w:basedOn w:val="1"/>
    <w:qFormat/>
    <w:uiPriority w:val="0"/>
    <w:pPr>
      <w:spacing w:after="120"/>
      <w:ind w:left="420"/>
    </w:pPr>
  </w:style>
  <w:style w:type="paragraph" w:styleId="6">
    <w:name w:val="List 2"/>
    <w:basedOn w:val="1"/>
    <w:autoRedefine/>
    <w:qFormat/>
    <w:uiPriority w:val="0"/>
    <w:pPr>
      <w:ind w:left="100" w:leftChars="200" w:hanging="200" w:hangingChars="200"/>
    </w:pPr>
  </w:style>
  <w:style w:type="paragraph" w:styleId="7">
    <w:name w:val="footer"/>
    <w:basedOn w:val="1"/>
    <w:autoRedefine/>
    <w:qFormat/>
    <w:uiPriority w:val="0"/>
    <w:pPr>
      <w:tabs>
        <w:tab w:val="center" w:pos="4153"/>
        <w:tab w:val="right" w:pos="8306"/>
      </w:tabs>
      <w:snapToGrid w:val="0"/>
      <w:jc w:val="left"/>
    </w:pPr>
    <w:rPr>
      <w:kern w:val="0"/>
      <w:sz w:val="18"/>
      <w:szCs w:val="18"/>
    </w:rPr>
  </w:style>
  <w:style w:type="paragraph" w:styleId="8">
    <w:name w:val="Body Text First Indent 2"/>
    <w:basedOn w:val="5"/>
    <w:autoRedefine/>
    <w:qFormat/>
    <w:uiPriority w:val="0"/>
    <w:pPr>
      <w:ind w:leftChars="200" w:firstLine="420" w:firstLineChars="200"/>
    </w:pPr>
  </w:style>
  <w:style w:type="paragraph" w:customStyle="1" w:styleId="11">
    <w:name w:val="标题 5（有编号）（绿盟科技）"/>
    <w:basedOn w:val="1"/>
    <w:next w:val="12"/>
    <w:autoRedefine/>
    <w:qFormat/>
    <w:uiPriority w:val="0"/>
    <w:pPr>
      <w:keepNext/>
      <w:keepLines/>
      <w:numPr>
        <w:ilvl w:val="4"/>
        <w:numId w:val="1"/>
      </w:numPr>
      <w:spacing w:before="280" w:after="156" w:line="377" w:lineRule="auto"/>
      <w:jc w:val="left"/>
      <w:outlineLvl w:val="4"/>
    </w:pPr>
    <w:rPr>
      <w:rFonts w:ascii="Arial" w:hAnsi="Arial" w:eastAsia="黑体" w:cs="Times New Roman"/>
      <w:b/>
      <w:kern w:val="2"/>
      <w:sz w:val="24"/>
      <w:szCs w:val="28"/>
    </w:rPr>
  </w:style>
  <w:style w:type="paragraph" w:customStyle="1" w:styleId="12">
    <w:name w:val="正文（绿盟科技）"/>
    <w:autoRedefine/>
    <w:qFormat/>
    <w:uiPriority w:val="0"/>
    <w:pPr>
      <w:spacing w:line="300" w:lineRule="auto"/>
    </w:pPr>
    <w:rPr>
      <w:rFonts w:ascii="Arial" w:hAnsi="Arial" w:eastAsia="宋体" w:cs="黑体"/>
      <w:sz w:val="21"/>
      <w:szCs w:val="21"/>
      <w:lang w:val="en-US" w:eastAsia="zh-CN" w:bidi="ar-SA"/>
    </w:rPr>
  </w:style>
  <w:style w:type="paragraph" w:customStyle="1" w:styleId="13">
    <w:name w:val="GEDI正文样式"/>
    <w:basedOn w:val="1"/>
    <w:qFormat/>
    <w:uiPriority w:val="0"/>
    <w:pPr>
      <w:adjustRightInd w:val="0"/>
      <w:snapToGrid w:val="0"/>
      <w:spacing w:line="480" w:lineRule="atLeast"/>
      <w:ind w:firstLine="480" w:firstLineChars="200"/>
    </w:pPr>
    <w:rPr>
      <w:szCs w:val="24"/>
    </w:rPr>
  </w:style>
  <w:style w:type="paragraph" w:customStyle="1" w:styleId="14">
    <w:name w:val="正文文本缩进1"/>
    <w:basedOn w:val="1"/>
    <w:autoRedefine/>
    <w:qFormat/>
    <w:uiPriority w:val="0"/>
    <w:pPr>
      <w:spacing w:line="300" w:lineRule="auto"/>
      <w:ind w:firstLine="480"/>
    </w:pPr>
    <w:rPr>
      <w:rFonts w:ascii="宋体" w:hAnsi="宋体"/>
      <w:kern w:val="0"/>
      <w:sz w:val="24"/>
      <w:szCs w:val="24"/>
    </w:rPr>
  </w:style>
  <w:style w:type="paragraph" w:customStyle="1" w:styleId="15">
    <w:name w:val="[基本段落]"/>
    <w:basedOn w:val="1"/>
    <w:autoRedefine/>
    <w:qFormat/>
    <w:uiPriority w:val="99"/>
    <w:pPr>
      <w:autoSpaceDE w:val="0"/>
      <w:autoSpaceDN w:val="0"/>
      <w:adjustRightInd w:val="0"/>
      <w:spacing w:line="288" w:lineRule="auto"/>
      <w:textAlignment w:val="center"/>
    </w:pPr>
    <w:rPr>
      <w:rFonts w:ascii="宋体" w:eastAsia="宋体" w:cs="宋体"/>
      <w:color w:val="000000"/>
      <w:kern w:val="0"/>
      <w:sz w:val="24"/>
      <w:szCs w:val="24"/>
      <w:lang w:val="zh-CN"/>
    </w:rPr>
  </w:style>
  <w:style w:type="character" w:customStyle="1" w:styleId="16">
    <w:name w:val="黑简9px"/>
    <w:basedOn w:val="17"/>
    <w:qFormat/>
    <w:uiPriority w:val="99"/>
    <w:rPr>
      <w:rFonts w:ascii="方正黑体简体" w:eastAsia="方正黑体简体" w:cs="方正黑体简体"/>
      <w:sz w:val="16"/>
      <w:szCs w:val="16"/>
    </w:rPr>
  </w:style>
  <w:style w:type="character" w:customStyle="1" w:styleId="17">
    <w:name w:val="黑简10.5px"/>
    <w:autoRedefine/>
    <w:qFormat/>
    <w:uiPriority w:val="99"/>
    <w:rPr>
      <w:rFonts w:ascii="方正黑体简体" w:eastAsia="方正黑体简体" w:cs="方正黑体简体"/>
      <w:sz w:val="21"/>
      <w:szCs w:val="21"/>
    </w:rPr>
  </w:style>
  <w:style w:type="paragraph" w:customStyle="1" w:styleId="18">
    <w:name w:val="缩进4"/>
    <w:basedOn w:val="1"/>
    <w:qFormat/>
    <w:uiPriority w:val="99"/>
    <w:pPr>
      <w:autoSpaceDE w:val="0"/>
      <w:autoSpaceDN w:val="0"/>
      <w:adjustRightInd w:val="0"/>
      <w:spacing w:line="288" w:lineRule="auto"/>
      <w:ind w:left="227"/>
      <w:textAlignment w:val="center"/>
    </w:pPr>
    <w:rPr>
      <w:rFonts w:ascii="方正黑体简体" w:eastAsia="方正黑体简体" w:cs="方正黑体简体"/>
      <w:color w:val="000000"/>
      <w:kern w:val="0"/>
      <w:sz w:val="18"/>
      <w:szCs w:val="18"/>
      <w:lang w:val="zh-CN"/>
    </w:rPr>
  </w:style>
  <w:style w:type="character" w:customStyle="1" w:styleId="19">
    <w:name w:val="大黑10.5px"/>
    <w:autoRedefine/>
    <w:qFormat/>
    <w:uiPriority w:val="99"/>
    <w:rPr>
      <w:rFonts w:ascii="方正大黑简体" w:eastAsia="方正大黑简体" w:cs="方正大黑简体"/>
      <w:sz w:val="21"/>
      <w:szCs w:val="21"/>
    </w:rPr>
  </w:style>
  <w:style w:type="character" w:customStyle="1" w:styleId="20">
    <w:name w:val="7.5px"/>
    <w:qFormat/>
    <w:uiPriority w:val="99"/>
    <w:rPr>
      <w:sz w:val="15"/>
      <w:szCs w:val="15"/>
    </w:rPr>
  </w:style>
  <w:style w:type="paragraph" w:styleId="21">
    <w:name w:val="List Paragraph"/>
    <w:basedOn w:val="1"/>
    <w:autoRedefine/>
    <w:qFormat/>
    <w:uiPriority w:val="1"/>
    <w:pPr>
      <w:spacing w:before="160"/>
      <w:ind w:left="538" w:hanging="421"/>
    </w:pPr>
    <w:rPr>
      <w:rFonts w:ascii="宋体" w:hAnsi="宋体" w:eastAsia="宋体" w:cs="宋体"/>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dw</Company>
  <Pages>4</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2019-03-11T01:45:00Z</dcterms:created>
  <dc:creator>杨雯雁</dc:creator>
  <cp:lastModifiedBy>showing</cp:lastModifiedBy>
  <dcterms:modified xsi:type="dcterms:W3CDTF">2024-04-22T06:15:03Z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95235AC8EDF84FFC9878868E51D1BF81_13</vt:lpwstr>
  </property>
</Properties>
</file>