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ind w:firstLine="480"/>
        <w:jc w:val="left"/>
        <w:rPr>
          <w:rFonts w:ascii="SimHei,Bold" w:eastAsia="SimHei,Bold" w:cs="SimHei,Bold"/>
          <w:b/>
          <w:bCs/>
          <w:kern w:val="0"/>
          <w:sz w:val="56"/>
          <w:szCs w:val="56"/>
          <w:highlight w:val="none"/>
        </w:rPr>
      </w:pPr>
      <w:r>
        <w:rPr>
          <w:highlight w:val="none"/>
        </w:rPr>
        <w:drawing>
          <wp:anchor distT="0" distB="0" distL="114300" distR="114300" simplePos="0" relativeHeight="251660288" behindDoc="0" locked="0" layoutInCell="1" allowOverlap="1">
            <wp:simplePos x="0" y="0"/>
            <wp:positionH relativeFrom="column">
              <wp:posOffset>-1150620</wp:posOffset>
            </wp:positionH>
            <wp:positionV relativeFrom="paragraph">
              <wp:posOffset>-998220</wp:posOffset>
            </wp:positionV>
            <wp:extent cx="7572375" cy="2590800"/>
            <wp:effectExtent l="0" t="0" r="9525" b="0"/>
            <wp:wrapNone/>
            <wp:docPr id="7" name="图片 7"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说明: 模板-3"/>
                    <pic:cNvPicPr>
                      <a:picLocks noChangeAspect="1" noChangeArrowheads="1"/>
                    </pic:cNvPicPr>
                  </pic:nvPicPr>
                  <pic:blipFill>
                    <a:blip r:embed="rId16">
                      <a:extLst>
                        <a:ext uri="{28A0092B-C50C-407E-A947-70E740481C1C}">
                          <a14:useLocalDpi xmlns:a14="http://schemas.microsoft.com/office/drawing/2010/main" val="0"/>
                        </a:ext>
                      </a:extLst>
                    </a:blip>
                    <a:srcRect b="75984"/>
                    <a:stretch>
                      <a:fillRect/>
                    </a:stretch>
                  </pic:blipFill>
                  <pic:spPr>
                    <a:xfrm>
                      <a:off x="0" y="0"/>
                      <a:ext cx="7572375" cy="2590800"/>
                    </a:xfrm>
                    <a:prstGeom prst="rect">
                      <a:avLst/>
                    </a:prstGeom>
                    <a:noFill/>
                    <a:ln>
                      <a:noFill/>
                    </a:ln>
                  </pic:spPr>
                </pic:pic>
              </a:graphicData>
            </a:graphic>
          </wp:anchor>
        </w:drawing>
      </w:r>
    </w:p>
    <w:p>
      <w:pPr>
        <w:autoSpaceDE w:val="0"/>
        <w:autoSpaceDN w:val="0"/>
        <w:adjustRightInd w:val="0"/>
        <w:ind w:firstLine="0" w:firstLineChars="0"/>
        <w:rPr>
          <w:rFonts w:ascii="SimHei,Bold" w:eastAsia="SimHei,Bold" w:cs="SimHei,Bold"/>
          <w:b/>
          <w:bCs/>
          <w:kern w:val="0"/>
          <w:sz w:val="56"/>
          <w:szCs w:val="56"/>
          <w:highlight w:val="none"/>
        </w:rPr>
      </w:pPr>
    </w:p>
    <w:p>
      <w:pPr>
        <w:spacing w:before="624" w:beforeLines="200" w:line="0" w:lineRule="atLeast"/>
        <w:ind w:firstLine="0" w:firstLineChars="0"/>
        <w:jc w:val="center"/>
        <w:rPr>
          <w:rFonts w:hint="eastAsia" w:ascii="黑体" w:hAnsi="黑体" w:eastAsia="黑体"/>
          <w:b/>
          <w:sz w:val="44"/>
          <w:szCs w:val="44"/>
          <w:highlight w:val="none"/>
          <w:lang w:val="en-US" w:eastAsia="zh-CN"/>
        </w:rPr>
      </w:pPr>
      <w:r>
        <w:rPr>
          <w:rFonts w:hint="eastAsia" w:ascii="黑体" w:hAnsi="黑体" w:eastAsia="黑体"/>
          <w:b/>
          <w:sz w:val="44"/>
          <w:szCs w:val="44"/>
          <w:highlight w:val="none"/>
          <w:lang w:val="en-US" w:eastAsia="zh-CN"/>
        </w:rPr>
        <w:t>2024年南方电网数字平台科技（广东）有限公司变电综合在线监测系统等保测评采购</w:t>
      </w:r>
    </w:p>
    <w:p>
      <w:pPr>
        <w:spacing w:before="624" w:beforeLines="200" w:line="0" w:lineRule="atLeast"/>
        <w:ind w:firstLine="0" w:firstLineChars="0"/>
        <w:jc w:val="center"/>
        <w:rPr>
          <w:rFonts w:ascii="黑体" w:hAnsi="黑体" w:eastAsia="黑体"/>
          <w:b/>
          <w:sz w:val="44"/>
          <w:szCs w:val="44"/>
          <w:highlight w:val="none"/>
        </w:rPr>
      </w:pPr>
      <w:r>
        <w:rPr>
          <w:rFonts w:hint="eastAsia" w:ascii="黑体" w:hAnsi="黑体" w:eastAsia="黑体"/>
          <w:b/>
          <w:sz w:val="44"/>
          <w:szCs w:val="44"/>
          <w:highlight w:val="none"/>
        </w:rPr>
        <w:t>技术规范书</w:t>
      </w:r>
    </w:p>
    <w:p>
      <w:pPr>
        <w:spacing w:before="624" w:beforeLines="200" w:line="0" w:lineRule="atLeast"/>
        <w:ind w:firstLine="2168" w:firstLineChars="600"/>
        <w:rPr>
          <w:rFonts w:ascii="黑体" w:hAnsi="黑体" w:eastAsia="黑体"/>
          <w:b/>
          <w:sz w:val="36"/>
          <w:highlight w:val="none"/>
        </w:rPr>
      </w:pPr>
    </w:p>
    <w:p>
      <w:pPr>
        <w:spacing w:before="624" w:beforeLines="200" w:line="0" w:lineRule="atLeast"/>
        <w:ind w:firstLine="0" w:firstLineChars="0"/>
        <w:jc w:val="left"/>
        <w:rPr>
          <w:rFonts w:ascii="黑体" w:hAnsi="黑体" w:eastAsia="黑体"/>
          <w:b/>
          <w:sz w:val="36"/>
          <w:highlight w:val="none"/>
        </w:rPr>
      </w:pPr>
    </w:p>
    <w:p>
      <w:pPr>
        <w:pStyle w:val="9"/>
      </w:pPr>
    </w:p>
    <w:p>
      <w:pPr>
        <w:pStyle w:val="20"/>
        <w:widowControl/>
        <w:spacing w:after="225"/>
        <w:ind w:firstLine="723"/>
        <w:rPr>
          <w:rFonts w:hint="eastAsia" w:ascii="黑体" w:hAnsi="黑体" w:eastAsia="黑体" w:cstheme="minorBidi"/>
          <w:b/>
          <w:kern w:val="2"/>
          <w:sz w:val="36"/>
          <w:highlight w:val="none"/>
        </w:rPr>
      </w:pPr>
    </w:p>
    <w:p>
      <w:pPr>
        <w:pStyle w:val="20"/>
        <w:widowControl/>
        <w:spacing w:after="225"/>
        <w:ind w:firstLine="723"/>
        <w:rPr>
          <w:rFonts w:hint="eastAsia" w:ascii="黑体" w:hAnsi="黑体" w:eastAsia="黑体" w:cstheme="minorBidi"/>
          <w:b/>
          <w:kern w:val="2"/>
          <w:sz w:val="36"/>
          <w:highlight w:val="none"/>
        </w:rPr>
      </w:pPr>
    </w:p>
    <w:p>
      <w:pPr>
        <w:pStyle w:val="20"/>
        <w:widowControl/>
        <w:spacing w:after="225"/>
        <w:ind w:firstLine="723"/>
        <w:rPr>
          <w:rFonts w:hint="eastAsia" w:ascii="黑体" w:hAnsi="黑体" w:eastAsia="黑体" w:cstheme="minorBidi"/>
          <w:b/>
          <w:kern w:val="2"/>
          <w:sz w:val="36"/>
          <w:highlight w:val="none"/>
        </w:rPr>
      </w:pPr>
    </w:p>
    <w:p>
      <w:pPr>
        <w:pStyle w:val="20"/>
        <w:widowControl/>
        <w:spacing w:after="225"/>
        <w:ind w:firstLine="723"/>
        <w:rPr>
          <w:rFonts w:hint="eastAsia" w:ascii="黑体" w:hAnsi="黑体" w:eastAsia="黑体" w:cstheme="minorBidi"/>
          <w:b/>
          <w:kern w:val="2"/>
          <w:sz w:val="36"/>
          <w:highlight w:val="none"/>
        </w:rPr>
      </w:pPr>
    </w:p>
    <w:p>
      <w:pPr>
        <w:pStyle w:val="20"/>
        <w:widowControl/>
        <w:spacing w:after="225"/>
        <w:ind w:firstLine="723"/>
        <w:rPr>
          <w:rFonts w:ascii="黑体" w:hAnsi="黑体" w:eastAsia="黑体" w:cstheme="minorBidi"/>
          <w:b/>
          <w:kern w:val="2"/>
          <w:sz w:val="36"/>
          <w:highlight w:val="none"/>
        </w:rPr>
      </w:pPr>
      <w:r>
        <w:rPr>
          <w:rFonts w:hint="eastAsia" w:ascii="黑体" w:hAnsi="黑体" w:eastAsia="黑体" w:cstheme="minorBidi"/>
          <w:b/>
          <w:kern w:val="2"/>
          <w:sz w:val="36"/>
          <w:highlight w:val="none"/>
        </w:rPr>
        <w:t>南方电网数字</w:t>
      </w:r>
      <w:r>
        <w:rPr>
          <w:rFonts w:hint="eastAsia" w:ascii="黑体" w:hAnsi="黑体" w:eastAsia="黑体" w:cstheme="minorBidi"/>
          <w:b/>
          <w:kern w:val="2"/>
          <w:sz w:val="36"/>
          <w:highlight w:val="none"/>
          <w:lang w:val="en-US" w:eastAsia="zh-CN"/>
        </w:rPr>
        <w:t>平台</w:t>
      </w:r>
      <w:r>
        <w:rPr>
          <w:rFonts w:hint="eastAsia" w:ascii="黑体" w:hAnsi="黑体" w:eastAsia="黑体" w:cstheme="minorBidi"/>
          <w:b/>
          <w:kern w:val="2"/>
          <w:sz w:val="36"/>
          <w:highlight w:val="none"/>
        </w:rPr>
        <w:t>科技（广东）有限公司</w:t>
      </w:r>
    </w:p>
    <w:p>
      <w:pPr>
        <w:spacing w:line="240" w:lineRule="auto"/>
        <w:ind w:firstLine="0" w:firstLineChars="0"/>
        <w:jc w:val="center"/>
        <w:rPr>
          <w:rFonts w:ascii="黑体" w:hAnsi="黑体" w:eastAsia="黑体"/>
          <w:b/>
          <w:sz w:val="36"/>
          <w:highlight w:val="none"/>
        </w:rPr>
      </w:pPr>
      <w:r>
        <w:rPr>
          <w:rFonts w:hint="eastAsia" w:ascii="黑体" w:hAnsi="黑体" w:eastAsia="黑体"/>
          <w:b/>
          <w:sz w:val="36"/>
          <w:highlight w:val="none"/>
        </w:rPr>
        <w:t>2023年</w:t>
      </w:r>
      <w:r>
        <w:rPr>
          <w:rFonts w:hint="eastAsia" w:ascii="黑体" w:hAnsi="黑体" w:eastAsia="黑体"/>
          <w:b/>
          <w:sz w:val="36"/>
          <w:highlight w:val="none"/>
          <w:lang w:val="en-US" w:eastAsia="zh-CN"/>
        </w:rPr>
        <w:t>4</w:t>
      </w:r>
      <w:r>
        <w:rPr>
          <w:rFonts w:hint="eastAsia" w:ascii="黑体" w:hAnsi="黑体" w:eastAsia="黑体"/>
          <w:b/>
          <w:sz w:val="36"/>
          <w:highlight w:val="none"/>
        </w:rPr>
        <w:t xml:space="preserve">月  </w:t>
      </w:r>
    </w:p>
    <w:p>
      <w:pPr>
        <w:pStyle w:val="9"/>
        <w:ind w:firstLine="480"/>
        <w:rPr>
          <w:highlight w:val="none"/>
        </w:rPr>
      </w:pPr>
    </w:p>
    <w:p/>
    <w:p>
      <w:pPr>
        <w:spacing w:line="240" w:lineRule="auto"/>
        <w:ind w:firstLine="0" w:firstLineChars="0"/>
        <w:jc w:val="center"/>
        <w:rPr>
          <w:sz w:val="44"/>
          <w:szCs w:val="44"/>
          <w:highlight w:val="none"/>
        </w:rPr>
      </w:pPr>
      <w:r>
        <w:rPr>
          <w:rFonts w:ascii="宋体" w:hAnsi="宋体" w:eastAsia="宋体"/>
          <w:sz w:val="44"/>
          <w:szCs w:val="44"/>
          <w:highlight w:val="none"/>
        </w:rPr>
        <w:t>目录</w:t>
      </w:r>
    </w:p>
    <w:p>
      <w:pPr>
        <w:pStyle w:val="12"/>
        <w:tabs>
          <w:tab w:val="right" w:leader="dot" w:pos="8306"/>
        </w:tabs>
      </w:pPr>
      <w:r>
        <w:rPr>
          <w:rFonts w:ascii="宋体" w:hAnsi="宋体" w:eastAsia="宋体"/>
          <w:highlight w:val="none"/>
        </w:rPr>
        <w:fldChar w:fldCharType="begin"/>
      </w:r>
      <w:r>
        <w:rPr>
          <w:rFonts w:ascii="宋体" w:hAnsi="宋体" w:eastAsia="宋体"/>
          <w:highlight w:val="none"/>
        </w:rPr>
        <w:instrText xml:space="preserve">TOC \o "1-2" \h \u </w:instrText>
      </w:r>
      <w:r>
        <w:rPr>
          <w:rFonts w:ascii="宋体" w:hAnsi="宋体" w:eastAsia="宋体"/>
          <w:highlight w:val="none"/>
        </w:rPr>
        <w:fldChar w:fldCharType="separate"/>
      </w:r>
      <w:r>
        <w:rPr>
          <w:rFonts w:ascii="宋体" w:hAnsi="宋体" w:eastAsia="宋体"/>
          <w:highlight w:val="none"/>
        </w:rPr>
        <w:fldChar w:fldCharType="begin"/>
      </w:r>
      <w:r>
        <w:rPr>
          <w:rFonts w:ascii="宋体" w:hAnsi="宋体" w:eastAsia="宋体"/>
          <w:highlight w:val="none"/>
        </w:rPr>
        <w:instrText xml:space="preserve"> HYPERLINK \l _Toc20321 </w:instrText>
      </w:r>
      <w:r>
        <w:rPr>
          <w:rFonts w:ascii="宋体" w:hAnsi="宋体" w:eastAsia="宋体"/>
          <w:highlight w:val="none"/>
        </w:rPr>
        <w:fldChar w:fldCharType="separate"/>
      </w:r>
      <w:r>
        <w:rPr>
          <w:rFonts w:hint="default"/>
        </w:rPr>
        <w:t xml:space="preserve">1. </w:t>
      </w:r>
      <w:r>
        <w:rPr>
          <w:rFonts w:hint="eastAsia"/>
          <w:highlight w:val="none"/>
        </w:rPr>
        <w:t>项目概述</w:t>
      </w:r>
      <w:r>
        <w:tab/>
      </w:r>
      <w:r>
        <w:fldChar w:fldCharType="begin"/>
      </w:r>
      <w:r>
        <w:instrText xml:space="preserve"> PAGEREF _Toc20321 \h </w:instrText>
      </w:r>
      <w:r>
        <w:fldChar w:fldCharType="separate"/>
      </w:r>
      <w:r>
        <w:t>3</w:t>
      </w:r>
      <w:r>
        <w:fldChar w:fldCharType="end"/>
      </w:r>
      <w:r>
        <w:rPr>
          <w:rFonts w:ascii="宋体" w:hAnsi="宋体" w:eastAsia="宋体"/>
          <w:highlight w:val="none"/>
        </w:rPr>
        <w:fldChar w:fldCharType="end"/>
      </w:r>
    </w:p>
    <w:p>
      <w:pPr>
        <w:pStyle w:val="13"/>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_Toc12234 </w:instrText>
      </w:r>
      <w:r>
        <w:rPr>
          <w:rFonts w:ascii="宋体" w:hAnsi="宋体" w:eastAsia="宋体"/>
          <w:highlight w:val="none"/>
        </w:rPr>
        <w:fldChar w:fldCharType="separate"/>
      </w:r>
      <w:r>
        <w:rPr>
          <w:rFonts w:hint="default"/>
        </w:rPr>
        <w:t xml:space="preserve">1.1. </w:t>
      </w:r>
      <w:r>
        <w:rPr>
          <w:rFonts w:hint="eastAsia"/>
          <w:highlight w:val="none"/>
          <w:lang w:val="en-US" w:eastAsia="zh-CN"/>
        </w:rPr>
        <w:t>项目背景</w:t>
      </w:r>
      <w:r>
        <w:tab/>
      </w:r>
      <w:r>
        <w:fldChar w:fldCharType="begin"/>
      </w:r>
      <w:r>
        <w:instrText xml:space="preserve"> PAGEREF _Toc12234 \h </w:instrText>
      </w:r>
      <w:r>
        <w:fldChar w:fldCharType="separate"/>
      </w:r>
      <w:r>
        <w:t>3</w:t>
      </w:r>
      <w:r>
        <w:fldChar w:fldCharType="end"/>
      </w:r>
      <w:r>
        <w:rPr>
          <w:rFonts w:ascii="宋体" w:hAnsi="宋体" w:eastAsia="宋体"/>
          <w:highlight w:val="none"/>
        </w:rPr>
        <w:fldChar w:fldCharType="end"/>
      </w:r>
    </w:p>
    <w:p>
      <w:pPr>
        <w:pStyle w:val="13"/>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_Toc14642 </w:instrText>
      </w:r>
      <w:r>
        <w:rPr>
          <w:rFonts w:ascii="宋体" w:hAnsi="宋体" w:eastAsia="宋体"/>
          <w:highlight w:val="none"/>
        </w:rPr>
        <w:fldChar w:fldCharType="separate"/>
      </w:r>
      <w:r>
        <w:rPr>
          <w:rFonts w:hint="default"/>
        </w:rPr>
        <w:t xml:space="preserve">1.2. </w:t>
      </w:r>
      <w:r>
        <w:rPr>
          <w:rFonts w:hint="eastAsia"/>
          <w:highlight w:val="none"/>
        </w:rPr>
        <w:t>项目范围</w:t>
      </w:r>
      <w:r>
        <w:tab/>
      </w:r>
      <w:r>
        <w:fldChar w:fldCharType="begin"/>
      </w:r>
      <w:r>
        <w:instrText xml:space="preserve"> PAGEREF _Toc14642 \h </w:instrText>
      </w:r>
      <w:r>
        <w:fldChar w:fldCharType="separate"/>
      </w:r>
      <w:r>
        <w:t>3</w:t>
      </w:r>
      <w:r>
        <w:fldChar w:fldCharType="end"/>
      </w:r>
      <w:r>
        <w:rPr>
          <w:rFonts w:ascii="宋体" w:hAnsi="宋体" w:eastAsia="宋体"/>
          <w:highlight w:val="none"/>
        </w:rPr>
        <w:fldChar w:fldCharType="end"/>
      </w:r>
    </w:p>
    <w:p>
      <w:pPr>
        <w:pStyle w:val="12"/>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_Toc14851 </w:instrText>
      </w:r>
      <w:r>
        <w:rPr>
          <w:rFonts w:ascii="宋体" w:hAnsi="宋体" w:eastAsia="宋体"/>
          <w:highlight w:val="none"/>
        </w:rPr>
        <w:fldChar w:fldCharType="separate"/>
      </w:r>
      <w:r>
        <w:rPr>
          <w:rFonts w:hint="default"/>
        </w:rPr>
        <w:t xml:space="preserve">2. </w:t>
      </w:r>
      <w:r>
        <w:rPr>
          <w:rFonts w:hint="eastAsia"/>
        </w:rPr>
        <w:t>项目</w:t>
      </w:r>
      <w:r>
        <w:rPr>
          <w:rFonts w:hint="eastAsia"/>
          <w:lang w:val="en-US" w:eastAsia="zh-CN"/>
        </w:rPr>
        <w:t>工作</w:t>
      </w:r>
      <w:r>
        <w:rPr>
          <w:rFonts w:hint="eastAsia"/>
        </w:rPr>
        <w:t>要</w:t>
      </w:r>
      <w:r>
        <w:t>求</w:t>
      </w:r>
      <w:r>
        <w:tab/>
      </w:r>
      <w:r>
        <w:fldChar w:fldCharType="begin"/>
      </w:r>
      <w:r>
        <w:instrText xml:space="preserve"> PAGEREF _Toc14851 \h </w:instrText>
      </w:r>
      <w:r>
        <w:fldChar w:fldCharType="separate"/>
      </w:r>
      <w:r>
        <w:t>3</w:t>
      </w:r>
      <w:r>
        <w:fldChar w:fldCharType="end"/>
      </w:r>
      <w:r>
        <w:rPr>
          <w:rFonts w:ascii="宋体" w:hAnsi="宋体" w:eastAsia="宋体"/>
          <w:highlight w:val="none"/>
        </w:rPr>
        <w:fldChar w:fldCharType="end"/>
      </w:r>
    </w:p>
    <w:p>
      <w:pPr>
        <w:pStyle w:val="13"/>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_Toc18853 </w:instrText>
      </w:r>
      <w:r>
        <w:rPr>
          <w:rFonts w:ascii="宋体" w:hAnsi="宋体" w:eastAsia="宋体"/>
          <w:highlight w:val="none"/>
        </w:rPr>
        <w:fldChar w:fldCharType="separate"/>
      </w:r>
      <w:r>
        <w:rPr>
          <w:rFonts w:hint="default" w:ascii="宋体" w:hAnsi="宋体" w:cs="宋体"/>
          <w:szCs w:val="24"/>
          <w:lang w:bidi="ar"/>
        </w:rPr>
        <w:t xml:space="preserve">2.1. </w:t>
      </w:r>
      <w:r>
        <w:rPr>
          <w:rFonts w:hint="eastAsia"/>
          <w:lang w:val="en-US" w:eastAsia="zh-CN"/>
        </w:rPr>
        <w:t>项目管理</w:t>
      </w:r>
      <w:r>
        <w:tab/>
      </w:r>
      <w:r>
        <w:fldChar w:fldCharType="begin"/>
      </w:r>
      <w:r>
        <w:instrText xml:space="preserve"> PAGEREF _Toc18853 \h </w:instrText>
      </w:r>
      <w:r>
        <w:fldChar w:fldCharType="separate"/>
      </w:r>
      <w:r>
        <w:t>3</w:t>
      </w:r>
      <w:r>
        <w:fldChar w:fldCharType="end"/>
      </w:r>
      <w:r>
        <w:rPr>
          <w:rFonts w:ascii="宋体" w:hAnsi="宋体" w:eastAsia="宋体"/>
          <w:highlight w:val="none"/>
        </w:rPr>
        <w:fldChar w:fldCharType="end"/>
      </w:r>
    </w:p>
    <w:p>
      <w:pPr>
        <w:pStyle w:val="13"/>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_Toc26860 </w:instrText>
      </w:r>
      <w:r>
        <w:rPr>
          <w:rFonts w:ascii="宋体" w:hAnsi="宋体" w:eastAsia="宋体"/>
          <w:highlight w:val="none"/>
        </w:rPr>
        <w:fldChar w:fldCharType="separate"/>
      </w:r>
      <w:r>
        <w:rPr>
          <w:rFonts w:hint="default"/>
          <w:lang w:val="en-US" w:eastAsia="zh-CN"/>
        </w:rPr>
        <w:t xml:space="preserve">2.2. </w:t>
      </w:r>
      <w:r>
        <w:rPr>
          <w:rFonts w:hint="eastAsia"/>
          <w:highlight w:val="none"/>
          <w:lang w:val="en-US" w:eastAsia="zh-CN"/>
        </w:rPr>
        <w:t>工作要求</w:t>
      </w:r>
      <w:r>
        <w:tab/>
      </w:r>
      <w:r>
        <w:fldChar w:fldCharType="begin"/>
      </w:r>
      <w:r>
        <w:instrText xml:space="preserve"> PAGEREF _Toc26860 \h </w:instrText>
      </w:r>
      <w:r>
        <w:fldChar w:fldCharType="separate"/>
      </w:r>
      <w:r>
        <w:t>4</w:t>
      </w:r>
      <w:r>
        <w:fldChar w:fldCharType="end"/>
      </w:r>
      <w:r>
        <w:rPr>
          <w:rFonts w:ascii="宋体" w:hAnsi="宋体" w:eastAsia="宋体"/>
          <w:highlight w:val="none"/>
        </w:rPr>
        <w:fldChar w:fldCharType="end"/>
      </w:r>
    </w:p>
    <w:p>
      <w:pPr>
        <w:pStyle w:val="13"/>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_Toc21312 </w:instrText>
      </w:r>
      <w:r>
        <w:rPr>
          <w:rFonts w:ascii="宋体" w:hAnsi="宋体" w:eastAsia="宋体"/>
          <w:highlight w:val="none"/>
        </w:rPr>
        <w:fldChar w:fldCharType="separate"/>
      </w:r>
      <w:r>
        <w:rPr>
          <w:rFonts w:hint="default"/>
        </w:rPr>
        <w:t xml:space="preserve">2.3. </w:t>
      </w:r>
      <w:r>
        <w:rPr>
          <w:rFonts w:hint="eastAsia"/>
          <w:highlight w:val="none"/>
          <w:lang w:val="en-US" w:eastAsia="zh-CN"/>
        </w:rPr>
        <w:t>技术管控要求</w:t>
      </w:r>
      <w:r>
        <w:tab/>
      </w:r>
      <w:r>
        <w:fldChar w:fldCharType="begin"/>
      </w:r>
      <w:r>
        <w:instrText xml:space="preserve"> PAGEREF _Toc21312 \h </w:instrText>
      </w:r>
      <w:r>
        <w:fldChar w:fldCharType="separate"/>
      </w:r>
      <w:r>
        <w:t>5</w:t>
      </w:r>
      <w:r>
        <w:fldChar w:fldCharType="end"/>
      </w:r>
      <w:r>
        <w:rPr>
          <w:rFonts w:ascii="宋体" w:hAnsi="宋体" w:eastAsia="宋体"/>
          <w:highlight w:val="none"/>
        </w:rPr>
        <w:fldChar w:fldCharType="end"/>
      </w:r>
    </w:p>
    <w:p>
      <w:pPr>
        <w:pStyle w:val="13"/>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_Toc25529 </w:instrText>
      </w:r>
      <w:r>
        <w:rPr>
          <w:rFonts w:ascii="宋体" w:hAnsi="宋体" w:eastAsia="宋体"/>
          <w:highlight w:val="none"/>
        </w:rPr>
        <w:fldChar w:fldCharType="separate"/>
      </w:r>
      <w:r>
        <w:rPr>
          <w:rFonts w:hint="default"/>
        </w:rPr>
        <w:t xml:space="preserve">2.4. </w:t>
      </w:r>
      <w:r>
        <w:rPr>
          <w:rFonts w:hint="eastAsia"/>
          <w:highlight w:val="none"/>
        </w:rPr>
        <w:t>保密要求</w:t>
      </w:r>
      <w:r>
        <w:tab/>
      </w:r>
      <w:r>
        <w:fldChar w:fldCharType="begin"/>
      </w:r>
      <w:r>
        <w:instrText xml:space="preserve"> PAGEREF _Toc25529 \h </w:instrText>
      </w:r>
      <w:r>
        <w:fldChar w:fldCharType="separate"/>
      </w:r>
      <w:r>
        <w:t>5</w:t>
      </w:r>
      <w:r>
        <w:fldChar w:fldCharType="end"/>
      </w:r>
      <w:r>
        <w:rPr>
          <w:rFonts w:ascii="宋体" w:hAnsi="宋体" w:eastAsia="宋体"/>
          <w:highlight w:val="none"/>
        </w:rPr>
        <w:fldChar w:fldCharType="end"/>
      </w:r>
    </w:p>
    <w:p>
      <w:pPr>
        <w:pStyle w:val="12"/>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_Toc3106 </w:instrText>
      </w:r>
      <w:r>
        <w:rPr>
          <w:rFonts w:ascii="宋体" w:hAnsi="宋体" w:eastAsia="宋体"/>
          <w:highlight w:val="none"/>
        </w:rPr>
        <w:fldChar w:fldCharType="separate"/>
      </w:r>
      <w:r>
        <w:rPr>
          <w:rFonts w:hint="default"/>
          <w:lang w:val="en-US" w:eastAsia="zh-CN"/>
        </w:rPr>
        <w:t xml:space="preserve">3. </w:t>
      </w:r>
      <w:r>
        <w:rPr>
          <w:rFonts w:hint="eastAsia"/>
          <w:highlight w:val="none"/>
          <w:lang w:val="en-US" w:eastAsia="zh-CN"/>
        </w:rPr>
        <w:t>项目实施服务要求</w:t>
      </w:r>
      <w:r>
        <w:tab/>
      </w:r>
      <w:r>
        <w:fldChar w:fldCharType="begin"/>
      </w:r>
      <w:r>
        <w:instrText xml:space="preserve"> PAGEREF _Toc3106 \h </w:instrText>
      </w:r>
      <w:r>
        <w:fldChar w:fldCharType="separate"/>
      </w:r>
      <w:r>
        <w:t>5</w:t>
      </w:r>
      <w:r>
        <w:fldChar w:fldCharType="end"/>
      </w:r>
      <w:r>
        <w:rPr>
          <w:rFonts w:ascii="宋体" w:hAnsi="宋体" w:eastAsia="宋体"/>
          <w:highlight w:val="none"/>
        </w:rPr>
        <w:fldChar w:fldCharType="end"/>
      </w:r>
    </w:p>
    <w:p>
      <w:pPr>
        <w:pStyle w:val="13"/>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_Toc27870 </w:instrText>
      </w:r>
      <w:r>
        <w:rPr>
          <w:rFonts w:ascii="宋体" w:hAnsi="宋体" w:eastAsia="宋体"/>
          <w:highlight w:val="none"/>
        </w:rPr>
        <w:fldChar w:fldCharType="separate"/>
      </w:r>
      <w:r>
        <w:rPr>
          <w:rFonts w:hint="default"/>
        </w:rPr>
        <w:t xml:space="preserve">3.1. </w:t>
      </w:r>
      <w:r>
        <w:rPr>
          <w:rFonts w:hint="eastAsia"/>
          <w:highlight w:val="none"/>
        </w:rPr>
        <w:t>服务要求</w:t>
      </w:r>
      <w:r>
        <w:tab/>
      </w:r>
      <w:r>
        <w:fldChar w:fldCharType="begin"/>
      </w:r>
      <w:r>
        <w:instrText xml:space="preserve"> PAGEREF _Toc27870 \h </w:instrText>
      </w:r>
      <w:r>
        <w:fldChar w:fldCharType="separate"/>
      </w:r>
      <w:r>
        <w:t>5</w:t>
      </w:r>
      <w:r>
        <w:fldChar w:fldCharType="end"/>
      </w:r>
      <w:r>
        <w:rPr>
          <w:rFonts w:ascii="宋体" w:hAnsi="宋体" w:eastAsia="宋体"/>
          <w:highlight w:val="none"/>
        </w:rPr>
        <w:fldChar w:fldCharType="end"/>
      </w:r>
    </w:p>
    <w:p>
      <w:pPr>
        <w:pStyle w:val="13"/>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_Toc18037 </w:instrText>
      </w:r>
      <w:r>
        <w:rPr>
          <w:rFonts w:ascii="宋体" w:hAnsi="宋体" w:eastAsia="宋体"/>
          <w:highlight w:val="none"/>
        </w:rPr>
        <w:fldChar w:fldCharType="separate"/>
      </w:r>
      <w:r>
        <w:rPr>
          <w:rFonts w:hint="default"/>
        </w:rPr>
        <w:t xml:space="preserve">3.2. </w:t>
      </w:r>
      <w:r>
        <w:rPr>
          <w:rFonts w:hint="eastAsia"/>
          <w:highlight w:val="none"/>
        </w:rPr>
        <w:t>项目启动</w:t>
      </w:r>
      <w:r>
        <w:tab/>
      </w:r>
      <w:r>
        <w:fldChar w:fldCharType="begin"/>
      </w:r>
      <w:r>
        <w:instrText xml:space="preserve"> PAGEREF _Toc18037 \h </w:instrText>
      </w:r>
      <w:r>
        <w:fldChar w:fldCharType="separate"/>
      </w:r>
      <w:r>
        <w:t>6</w:t>
      </w:r>
      <w:r>
        <w:fldChar w:fldCharType="end"/>
      </w:r>
      <w:r>
        <w:rPr>
          <w:rFonts w:ascii="宋体" w:hAnsi="宋体" w:eastAsia="宋体"/>
          <w:highlight w:val="none"/>
        </w:rPr>
        <w:fldChar w:fldCharType="end"/>
      </w:r>
    </w:p>
    <w:p>
      <w:pPr>
        <w:pStyle w:val="12"/>
        <w:tabs>
          <w:tab w:val="right" w:leader="dot" w:pos="8306"/>
        </w:tabs>
      </w:pPr>
      <w:r>
        <w:rPr>
          <w:rFonts w:ascii="宋体" w:hAnsi="宋体" w:eastAsia="宋体"/>
          <w:highlight w:val="none"/>
        </w:rPr>
        <w:fldChar w:fldCharType="begin"/>
      </w:r>
      <w:r>
        <w:rPr>
          <w:rFonts w:ascii="宋体" w:hAnsi="宋体" w:eastAsia="宋体"/>
          <w:highlight w:val="none"/>
        </w:rPr>
        <w:instrText xml:space="preserve"> HYPERLINK \l _Toc26939 </w:instrText>
      </w:r>
      <w:r>
        <w:rPr>
          <w:rFonts w:ascii="宋体" w:hAnsi="宋体" w:eastAsia="宋体"/>
          <w:highlight w:val="none"/>
        </w:rPr>
        <w:fldChar w:fldCharType="separate"/>
      </w:r>
      <w:r>
        <w:rPr>
          <w:rFonts w:hint="default"/>
        </w:rPr>
        <w:t xml:space="preserve">4. </w:t>
      </w:r>
      <w:r>
        <w:rPr>
          <w:rFonts w:hint="eastAsia"/>
          <w:highlight w:val="none"/>
          <w:lang w:val="en-US" w:eastAsia="zh-CN"/>
        </w:rPr>
        <w:t>工作成果交付</w:t>
      </w:r>
      <w:r>
        <w:tab/>
      </w:r>
      <w:r>
        <w:fldChar w:fldCharType="begin"/>
      </w:r>
      <w:r>
        <w:instrText xml:space="preserve"> PAGEREF _Toc26939 \h </w:instrText>
      </w:r>
      <w:r>
        <w:fldChar w:fldCharType="separate"/>
      </w:r>
      <w:r>
        <w:t>6</w:t>
      </w:r>
      <w:r>
        <w:fldChar w:fldCharType="end"/>
      </w:r>
      <w:r>
        <w:rPr>
          <w:rFonts w:ascii="宋体" w:hAnsi="宋体" w:eastAsia="宋体"/>
          <w:highlight w:val="none"/>
        </w:rPr>
        <w:fldChar w:fldCharType="end"/>
      </w:r>
    </w:p>
    <w:p>
      <w:pPr>
        <w:ind w:firstLine="0" w:firstLineChars="0"/>
        <w:rPr>
          <w:rFonts w:ascii="宋体" w:hAnsi="宋体" w:eastAsia="宋体"/>
          <w:highlight w:val="none"/>
        </w:rPr>
      </w:pPr>
      <w:r>
        <w:rPr>
          <w:rFonts w:ascii="宋体" w:hAnsi="宋体" w:eastAsia="宋体"/>
          <w:highlight w:val="none"/>
        </w:rPr>
        <w:fldChar w:fldCharType="end"/>
      </w:r>
    </w:p>
    <w:p>
      <w:pPr>
        <w:pStyle w:val="3"/>
        <w:rPr>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ols w:space="425" w:num="1"/>
          <w:docGrid w:type="lines" w:linePitch="312" w:charSpace="0"/>
        </w:sectPr>
      </w:pPr>
      <w:bookmarkStart w:id="0" w:name="_Toc454476423"/>
      <w:bookmarkEnd w:id="0"/>
      <w:bookmarkStart w:id="1" w:name="_Toc3106294"/>
      <w:bookmarkEnd w:id="1"/>
      <w:bookmarkStart w:id="2" w:name="_Toc527733214"/>
      <w:bookmarkEnd w:id="2"/>
      <w:bookmarkStart w:id="3" w:name="_Toc454783914"/>
      <w:bookmarkEnd w:id="3"/>
      <w:bookmarkStart w:id="4" w:name="_Toc3104985"/>
      <w:bookmarkEnd w:id="4"/>
      <w:bookmarkStart w:id="5" w:name="_Toc456980847"/>
      <w:bookmarkEnd w:id="5"/>
      <w:bookmarkStart w:id="6" w:name="_Toc453329867"/>
      <w:bookmarkEnd w:id="6"/>
      <w:bookmarkStart w:id="7" w:name="_Toc528654790"/>
      <w:bookmarkEnd w:id="7"/>
      <w:bookmarkStart w:id="8" w:name="_Toc3106293"/>
      <w:bookmarkEnd w:id="8"/>
      <w:bookmarkStart w:id="9" w:name="_Toc450680823"/>
      <w:bookmarkEnd w:id="9"/>
      <w:bookmarkStart w:id="10" w:name="_Toc454783970"/>
      <w:bookmarkEnd w:id="10"/>
      <w:bookmarkStart w:id="11" w:name="_Toc3101322"/>
      <w:bookmarkEnd w:id="11"/>
      <w:bookmarkStart w:id="12" w:name="_Toc454470277"/>
      <w:bookmarkEnd w:id="12"/>
      <w:bookmarkStart w:id="13" w:name="_Toc528684862"/>
      <w:bookmarkEnd w:id="13"/>
      <w:bookmarkStart w:id="14" w:name="_Toc527962021"/>
      <w:bookmarkEnd w:id="14"/>
      <w:bookmarkStart w:id="15" w:name="_Toc3101496"/>
      <w:bookmarkEnd w:id="15"/>
      <w:bookmarkStart w:id="16" w:name="_Toc3104984"/>
      <w:bookmarkEnd w:id="16"/>
      <w:bookmarkStart w:id="17" w:name="_Toc2876451"/>
      <w:bookmarkEnd w:id="17"/>
      <w:bookmarkStart w:id="18" w:name="_Toc3101323"/>
      <w:bookmarkEnd w:id="18"/>
      <w:bookmarkStart w:id="19" w:name="_Toc454987427"/>
      <w:bookmarkEnd w:id="19"/>
      <w:bookmarkStart w:id="20" w:name="_Toc528677696"/>
      <w:bookmarkEnd w:id="20"/>
      <w:bookmarkStart w:id="21" w:name="_Toc454803456"/>
      <w:bookmarkEnd w:id="21"/>
      <w:bookmarkStart w:id="22" w:name="_Toc2806401"/>
      <w:bookmarkEnd w:id="22"/>
      <w:bookmarkStart w:id="23" w:name="_Toc454783858"/>
      <w:bookmarkEnd w:id="23"/>
    </w:p>
    <w:p>
      <w:pPr>
        <w:pStyle w:val="3"/>
        <w:rPr>
          <w:highlight w:val="none"/>
        </w:rPr>
      </w:pPr>
      <w:bookmarkStart w:id="24" w:name="_Toc20321"/>
      <w:r>
        <w:rPr>
          <w:rFonts w:hint="eastAsia"/>
          <w:highlight w:val="none"/>
        </w:rPr>
        <w:t>项目概述</w:t>
      </w:r>
      <w:bookmarkEnd w:id="24"/>
    </w:p>
    <w:p>
      <w:pPr>
        <w:pStyle w:val="4"/>
        <w:tabs>
          <w:tab w:val="left" w:pos="0"/>
          <w:tab w:val="left" w:pos="840"/>
        </w:tabs>
        <w:rPr>
          <w:rFonts w:hint="eastAsia"/>
          <w:highlight w:val="none"/>
        </w:rPr>
      </w:pPr>
      <w:bookmarkStart w:id="25" w:name="_Toc12234"/>
      <w:r>
        <w:rPr>
          <w:rFonts w:hint="eastAsia"/>
          <w:highlight w:val="none"/>
          <w:lang w:val="en-US" w:eastAsia="zh-CN"/>
        </w:rPr>
        <w:t>项目背景</w:t>
      </w:r>
      <w:bookmarkEnd w:id="25"/>
    </w:p>
    <w:p>
      <w:pPr>
        <w:spacing w:line="360" w:lineRule="auto"/>
        <w:ind w:firstLine="480" w:firstLineChars="200"/>
        <w:jc w:val="left"/>
        <w:rPr>
          <w:rFonts w:hint="default" w:ascii="宋体" w:hAnsi="宋体" w:cs="宋体"/>
          <w:sz w:val="24"/>
          <w:szCs w:val="24"/>
          <w:highlight w:val="none"/>
          <w:lang w:val="en-US" w:eastAsia="zh-CN"/>
        </w:rPr>
      </w:pPr>
      <w:bookmarkStart w:id="26" w:name="_Toc114153266"/>
      <w:bookmarkStart w:id="27" w:name="_Hlk128094266"/>
      <w:r>
        <w:rPr>
          <w:rFonts w:hint="eastAsia" w:ascii="宋体" w:hAnsi="宋体" w:cs="宋体"/>
          <w:sz w:val="24"/>
          <w:szCs w:val="24"/>
          <w:highlight w:val="none"/>
        </w:rPr>
        <w:t>全维度状态监测系统于2013年建设并投入使用。全维度系统目前主要通过61850标准协议，将变电站主变油色谱装置在线监测数据、GIS局放在线监测数据推送至全维度设备状态监测子站，再由全维度系统主站的前置采集服务器读取子站数据，</w:t>
      </w:r>
      <w:r>
        <w:rPr>
          <w:rFonts w:hint="eastAsia" w:ascii="宋体" w:hAnsi="宋体" w:cs="宋体"/>
          <w:sz w:val="24"/>
          <w:szCs w:val="24"/>
          <w:highlight w:val="none"/>
          <w:lang w:val="en-US" w:eastAsia="zh-CN"/>
        </w:rPr>
        <w:t>再由子站将数据上送至主站系统。此技术方案涉及链路较多，数据延迟风险较高，网络安全保障上存在较大隐患，目前仍有部分在线监测装置作用未能得到充分发挥，制约着深圳供电局有限公司设备精益化运维管理水平的提升。急需建立直连的接入方式的变电综合在线监测系统。</w:t>
      </w:r>
    </w:p>
    <w:bookmarkEnd w:id="26"/>
    <w:bookmarkEnd w:id="27"/>
    <w:p>
      <w:pPr>
        <w:pStyle w:val="4"/>
        <w:tabs>
          <w:tab w:val="left" w:pos="840"/>
        </w:tabs>
        <w:rPr>
          <w:highlight w:val="none"/>
        </w:rPr>
      </w:pPr>
      <w:bookmarkStart w:id="28" w:name="_Toc14642"/>
      <w:bookmarkStart w:id="29" w:name="_Toc114153268"/>
      <w:r>
        <w:rPr>
          <w:rFonts w:hint="eastAsia"/>
          <w:highlight w:val="none"/>
        </w:rPr>
        <w:t>项目范围</w:t>
      </w:r>
      <w:bookmarkEnd w:id="28"/>
    </w:p>
    <w:p>
      <w:pPr>
        <w:pStyle w:val="23"/>
        <w:rPr>
          <w:highlight w:val="none"/>
        </w:rPr>
      </w:pPr>
      <w:r>
        <w:rPr>
          <w:rFonts w:hint="eastAsia"/>
        </w:rPr>
        <w:t>本</w:t>
      </w:r>
      <w:r>
        <w:rPr>
          <w:rFonts w:hint="eastAsia"/>
          <w:lang w:val="en-US" w:eastAsia="zh-CN"/>
        </w:rPr>
        <w:t>项采购的技术服务</w:t>
      </w:r>
      <w:r>
        <w:rPr>
          <w:rFonts w:hint="eastAsia"/>
        </w:rPr>
        <w:t>是</w:t>
      </w:r>
      <w:r>
        <w:rPr>
          <w:rFonts w:hint="eastAsia"/>
          <w:lang w:val="en-US" w:eastAsia="zh-CN"/>
        </w:rPr>
        <w:t>对</w:t>
      </w:r>
      <w:r>
        <w:rPr>
          <w:rFonts w:hint="eastAsia"/>
          <w:lang w:eastAsia="zh-CN"/>
        </w:rPr>
        <w:t>变电综合在线监测系统</w:t>
      </w:r>
      <w:bookmarkEnd w:id="29"/>
      <w:r>
        <w:rPr>
          <w:rFonts w:hint="eastAsia"/>
          <w:lang w:eastAsia="zh-CN"/>
        </w:rPr>
        <w:t>，</w:t>
      </w:r>
      <w:r>
        <w:rPr>
          <w:rFonts w:hint="eastAsia"/>
          <w:lang w:val="en-US" w:eastAsia="zh-CN"/>
        </w:rPr>
        <w:t>进行</w:t>
      </w:r>
      <w:r>
        <w:rPr>
          <w:rFonts w:hint="eastAsia"/>
        </w:rPr>
        <w:t>网络安全等级保护管理</w:t>
      </w:r>
      <w:r>
        <w:rPr>
          <w:rFonts w:hint="eastAsia"/>
          <w:lang w:eastAsia="zh-CN"/>
        </w:rPr>
        <w:t>，</w:t>
      </w:r>
      <w:r>
        <w:rPr>
          <w:rFonts w:hint="eastAsia"/>
        </w:rPr>
        <w:t>提高网络安全保障能力和水平，维护国家安全、社会稳定和公共利益，保障和促进信息化建设，根据《中华人民共和国网络安全法》等有关法律法规，对</w:t>
      </w:r>
      <w:r>
        <w:rPr>
          <w:rFonts w:hint="eastAsia"/>
          <w:lang w:eastAsia="zh-CN"/>
        </w:rPr>
        <w:t>变电综合在线监测系统</w:t>
      </w:r>
      <w:r>
        <w:rPr>
          <w:rFonts w:hint="eastAsia"/>
        </w:rPr>
        <w:t>进行网络安全等级保护</w:t>
      </w:r>
      <w:r>
        <w:rPr>
          <w:rFonts w:hint="eastAsia"/>
          <w:lang w:val="en-US" w:eastAsia="zh-CN"/>
        </w:rPr>
        <w:t>三级</w:t>
      </w:r>
      <w:r>
        <w:rPr>
          <w:rFonts w:hint="eastAsia"/>
        </w:rPr>
        <w:t>测评</w:t>
      </w:r>
      <w:r>
        <w:rPr>
          <w:rFonts w:hint="eastAsia"/>
          <w:lang w:eastAsia="zh-CN"/>
        </w:rPr>
        <w:t>。</w:t>
      </w:r>
    </w:p>
    <w:p>
      <w:pPr>
        <w:pStyle w:val="3"/>
        <w:bidi w:val="0"/>
      </w:pPr>
      <w:bookmarkStart w:id="30" w:name="_Toc14851"/>
      <w:bookmarkStart w:id="31" w:name="_Toc527020830"/>
      <w:bookmarkStart w:id="32" w:name="_Toc411272929"/>
      <w:bookmarkStart w:id="33" w:name="_Toc533361986"/>
      <w:bookmarkStart w:id="34" w:name="_Toc513447171"/>
      <w:bookmarkStart w:id="35" w:name="_Toc531367955"/>
      <w:bookmarkStart w:id="36" w:name="_Toc9089871"/>
      <w:bookmarkStart w:id="37" w:name="_Toc411364415"/>
      <w:bookmarkStart w:id="38" w:name="_Toc522869741"/>
      <w:bookmarkStart w:id="39" w:name="_Toc411343049"/>
      <w:r>
        <w:rPr>
          <w:rFonts w:hint="eastAsia"/>
        </w:rPr>
        <w:t>项目</w:t>
      </w:r>
      <w:r>
        <w:rPr>
          <w:rFonts w:hint="eastAsia"/>
          <w:lang w:val="en-US" w:eastAsia="zh-CN"/>
        </w:rPr>
        <w:t>工作</w:t>
      </w:r>
      <w:r>
        <w:rPr>
          <w:rFonts w:hint="eastAsia"/>
        </w:rPr>
        <w:t>要</w:t>
      </w:r>
      <w:r>
        <w:t>求</w:t>
      </w:r>
      <w:bookmarkEnd w:id="30"/>
      <w:bookmarkEnd w:id="31"/>
      <w:bookmarkEnd w:id="32"/>
      <w:bookmarkEnd w:id="33"/>
      <w:bookmarkEnd w:id="34"/>
      <w:bookmarkEnd w:id="35"/>
      <w:bookmarkEnd w:id="36"/>
      <w:bookmarkEnd w:id="37"/>
      <w:bookmarkEnd w:id="38"/>
      <w:bookmarkEnd w:id="39"/>
    </w:p>
    <w:p>
      <w:pPr>
        <w:pStyle w:val="4"/>
        <w:numPr>
          <w:ilvl w:val="1"/>
          <w:numId w:val="2"/>
        </w:numPr>
        <w:tabs>
          <w:tab w:val="left" w:pos="0"/>
          <w:tab w:val="left" w:pos="840"/>
        </w:tabs>
        <w:rPr>
          <w:rFonts w:hint="eastAsia" w:ascii="宋体" w:hAnsi="宋体" w:cs="宋体"/>
          <w:szCs w:val="24"/>
          <w:highlight w:val="none"/>
          <w:lang w:bidi="ar"/>
        </w:rPr>
      </w:pPr>
      <w:bookmarkStart w:id="40" w:name="_Toc18853"/>
      <w:bookmarkStart w:id="41" w:name="_Toc105577404"/>
      <w:bookmarkStart w:id="42" w:name="_Toc25045504"/>
      <w:r>
        <w:rPr>
          <w:rFonts w:hint="eastAsia"/>
          <w:lang w:val="en-US" w:eastAsia="zh-CN"/>
        </w:rPr>
        <w:t>项目管理</w:t>
      </w:r>
      <w:bookmarkEnd w:id="40"/>
    </w:p>
    <w:p>
      <w:pPr>
        <w:pStyle w:val="5"/>
        <w:numPr>
          <w:ilvl w:val="2"/>
          <w:numId w:val="2"/>
        </w:numPr>
        <w:bidi w:val="0"/>
        <w:rPr>
          <w:highlight w:val="none"/>
        </w:rPr>
      </w:pPr>
      <w:r>
        <w:rPr>
          <w:rFonts w:hint="eastAsia"/>
          <w:highlight w:val="none"/>
        </w:rPr>
        <w:t>工期</w:t>
      </w:r>
      <w:r>
        <w:rPr>
          <w:rFonts w:hint="eastAsia"/>
          <w:highlight w:val="none"/>
          <w:lang w:val="en-US" w:eastAsia="zh-CN"/>
        </w:rPr>
        <w:t>保障</w:t>
      </w:r>
    </w:p>
    <w:p>
      <w:pPr>
        <w:numPr>
          <w:ilvl w:val="0"/>
          <w:numId w:val="3"/>
        </w:numPr>
        <w:tabs>
          <w:tab w:val="clear" w:pos="0"/>
        </w:tabs>
        <w:autoSpaceDE w:val="0"/>
        <w:autoSpaceDN w:val="0"/>
        <w:adjustRightInd w:val="0"/>
        <w:ind w:left="720" w:leftChars="100" w:hanging="480" w:firstLineChars="0"/>
        <w:rPr>
          <w:rFonts w:hint="eastAsia"/>
        </w:rPr>
      </w:pPr>
      <w:r>
        <w:rPr>
          <w:rFonts w:hint="eastAsia" w:ascii="宋体" w:hAnsi="宋体" w:cs="宋体"/>
          <w:szCs w:val="24"/>
          <w:highlight w:val="none"/>
          <w:lang w:bidi="ar"/>
        </w:rPr>
        <w:t>项目工期为</w:t>
      </w:r>
      <w:r>
        <w:rPr>
          <w:rFonts w:hint="eastAsia" w:ascii="宋体" w:hAnsi="宋体" w:cs="宋体"/>
          <w:szCs w:val="24"/>
          <w:highlight w:val="none"/>
          <w:lang w:val="en-US" w:eastAsia="zh-CN" w:bidi="ar"/>
        </w:rPr>
        <w:t>自合同签订完成之日起6个月内完成项目终验</w:t>
      </w:r>
      <w:r>
        <w:rPr>
          <w:rFonts w:hint="eastAsia" w:ascii="宋体" w:hAnsi="宋体" w:cs="宋体"/>
          <w:szCs w:val="24"/>
          <w:highlight w:val="none"/>
          <w:lang w:bidi="ar"/>
        </w:rPr>
        <w:t>，供应商应在</w:t>
      </w:r>
      <w:r>
        <w:rPr>
          <w:rFonts w:hint="eastAsia" w:ascii="宋体" w:hAnsi="宋体" w:cs="宋体"/>
          <w:szCs w:val="24"/>
          <w:highlight w:val="none"/>
          <w:lang w:val="en-US" w:eastAsia="zh-CN" w:bidi="ar"/>
        </w:rPr>
        <w:t>报价</w:t>
      </w:r>
      <w:r>
        <w:rPr>
          <w:rFonts w:hint="eastAsia" w:ascii="宋体" w:hAnsi="宋体" w:cs="宋体"/>
          <w:szCs w:val="24"/>
          <w:highlight w:val="none"/>
          <w:lang w:bidi="ar"/>
        </w:rPr>
        <w:t>时</w:t>
      </w:r>
      <w:r>
        <w:rPr>
          <w:rFonts w:hint="eastAsia" w:ascii="宋体" w:hAnsi="宋体" w:cs="宋体"/>
          <w:szCs w:val="24"/>
          <w:highlight w:val="none"/>
          <w:lang w:val="en-US" w:eastAsia="zh-CN" w:bidi="ar"/>
        </w:rPr>
        <w:t>应</w:t>
      </w:r>
      <w:r>
        <w:rPr>
          <w:rFonts w:hint="eastAsia" w:ascii="宋体" w:hAnsi="宋体" w:cs="宋体"/>
          <w:szCs w:val="24"/>
          <w:highlight w:val="none"/>
          <w:lang w:bidi="ar"/>
        </w:rPr>
        <w:t>列出工程进度计划。</w:t>
      </w:r>
    </w:p>
    <w:p>
      <w:pPr>
        <w:numPr>
          <w:ilvl w:val="0"/>
          <w:numId w:val="3"/>
        </w:numPr>
        <w:tabs>
          <w:tab w:val="clear" w:pos="0"/>
        </w:tabs>
        <w:autoSpaceDE w:val="0"/>
        <w:autoSpaceDN w:val="0"/>
        <w:adjustRightInd w:val="0"/>
        <w:ind w:left="720" w:leftChars="100" w:hanging="480" w:firstLineChars="0"/>
        <w:rPr>
          <w:rFonts w:hint="eastAsia" w:ascii="宋体" w:hAnsi="宋体" w:cs="宋体"/>
          <w:szCs w:val="24"/>
          <w:highlight w:val="none"/>
          <w:lang w:bidi="ar"/>
        </w:rPr>
      </w:pPr>
      <w:r>
        <w:rPr>
          <w:rFonts w:hint="eastAsia" w:ascii="宋体" w:hAnsi="宋体" w:cs="宋体"/>
          <w:szCs w:val="24"/>
          <w:highlight w:val="none"/>
          <w:lang w:bidi="ar"/>
        </w:rPr>
        <w:t>供应商的项目进度管理应该遵循以下原则：</w:t>
      </w:r>
    </w:p>
    <w:p>
      <w:pPr>
        <w:pStyle w:val="14"/>
        <w:widowControl w:val="0"/>
        <w:numPr>
          <w:ilvl w:val="0"/>
          <w:numId w:val="4"/>
        </w:numPr>
        <w:spacing w:before="0" w:beforeAutospacing="0" w:after="0" w:afterAutospacing="0"/>
        <w:ind w:left="1134"/>
        <w:jc w:val="both"/>
        <w:rPr>
          <w:rFonts w:hint="eastAsia"/>
          <w:highlight w:val="none"/>
          <w:lang w:bidi="ar"/>
        </w:rPr>
      </w:pPr>
      <w:r>
        <w:rPr>
          <w:rFonts w:hint="eastAsia"/>
          <w:highlight w:val="none"/>
          <w:lang w:bidi="ar"/>
        </w:rPr>
        <w:t>项目进度管理的依据是项目合同所约定的工期目标；</w:t>
      </w:r>
    </w:p>
    <w:p>
      <w:pPr>
        <w:pStyle w:val="14"/>
        <w:widowControl w:val="0"/>
        <w:numPr>
          <w:ilvl w:val="0"/>
          <w:numId w:val="4"/>
        </w:numPr>
        <w:spacing w:before="0" w:beforeAutospacing="0" w:after="0" w:afterAutospacing="0"/>
        <w:ind w:left="1134"/>
        <w:jc w:val="both"/>
        <w:rPr>
          <w:rFonts w:hint="eastAsia"/>
          <w:highlight w:val="none"/>
          <w:lang w:bidi="ar"/>
        </w:rPr>
      </w:pPr>
      <w:r>
        <w:rPr>
          <w:rFonts w:hint="eastAsia"/>
          <w:highlight w:val="none"/>
          <w:lang w:bidi="ar"/>
        </w:rPr>
        <w:t>在确保项目质量和安全的原则下，控制项目进度。</w:t>
      </w:r>
    </w:p>
    <w:p>
      <w:pPr>
        <w:numPr>
          <w:ilvl w:val="0"/>
          <w:numId w:val="3"/>
        </w:numPr>
        <w:tabs>
          <w:tab w:val="clear" w:pos="0"/>
        </w:tabs>
        <w:autoSpaceDE w:val="0"/>
        <w:autoSpaceDN w:val="0"/>
        <w:adjustRightInd w:val="0"/>
        <w:ind w:left="720" w:leftChars="100" w:hanging="480" w:firstLineChars="0"/>
        <w:rPr>
          <w:rFonts w:hint="eastAsia" w:ascii="宋体" w:hAnsi="宋体" w:cs="宋体"/>
          <w:szCs w:val="24"/>
          <w:highlight w:val="none"/>
          <w:lang w:bidi="ar"/>
        </w:rPr>
      </w:pPr>
      <w:r>
        <w:rPr>
          <w:rFonts w:hint="eastAsia" w:ascii="宋体" w:hAnsi="宋体" w:cs="宋体"/>
          <w:szCs w:val="24"/>
          <w:highlight w:val="none"/>
          <w:lang w:bidi="ar"/>
        </w:rPr>
        <w:t>供应商的项目进度管理应该至少包含以下内容：</w:t>
      </w:r>
    </w:p>
    <w:p>
      <w:pPr>
        <w:pStyle w:val="14"/>
        <w:widowControl w:val="0"/>
        <w:numPr>
          <w:ilvl w:val="0"/>
          <w:numId w:val="4"/>
        </w:numPr>
        <w:spacing w:before="0" w:beforeAutospacing="0" w:after="0" w:afterAutospacing="0"/>
        <w:ind w:left="1134"/>
        <w:jc w:val="both"/>
        <w:rPr>
          <w:rFonts w:hint="eastAsia"/>
          <w:highlight w:val="none"/>
          <w:lang w:bidi="ar"/>
        </w:rPr>
      </w:pPr>
      <w:r>
        <w:rPr>
          <w:rFonts w:hint="eastAsia"/>
          <w:highlight w:val="none"/>
          <w:lang w:bidi="ar"/>
        </w:rPr>
        <w:t>供应商在了解项目特点的前提下，根据工期目标，提交总体进度计划，以及定期提交阶段性工作计划。</w:t>
      </w:r>
    </w:p>
    <w:p>
      <w:pPr>
        <w:pStyle w:val="14"/>
        <w:widowControl w:val="0"/>
        <w:numPr>
          <w:ilvl w:val="0"/>
          <w:numId w:val="4"/>
        </w:numPr>
        <w:spacing w:before="0" w:beforeAutospacing="0" w:after="0" w:afterAutospacing="0"/>
        <w:ind w:left="1134"/>
        <w:jc w:val="both"/>
        <w:rPr>
          <w:rFonts w:hint="eastAsia"/>
          <w:highlight w:val="none"/>
          <w:lang w:bidi="ar"/>
        </w:rPr>
      </w:pPr>
      <w:r>
        <w:rPr>
          <w:rFonts w:hint="eastAsia"/>
          <w:highlight w:val="none"/>
          <w:lang w:bidi="ar"/>
        </w:rPr>
        <w:t>制定详细的项目建设进度计划，按照合同的进度计划制定具体的实施计划，定期跟踪检查，对可能发生的工程延误提出相应对策；</w:t>
      </w:r>
    </w:p>
    <w:p>
      <w:pPr>
        <w:pStyle w:val="14"/>
        <w:widowControl w:val="0"/>
        <w:numPr>
          <w:ilvl w:val="0"/>
          <w:numId w:val="4"/>
        </w:numPr>
        <w:spacing w:before="0" w:beforeAutospacing="0" w:after="0" w:afterAutospacing="0"/>
        <w:ind w:left="1134"/>
        <w:jc w:val="both"/>
        <w:rPr>
          <w:rFonts w:hint="eastAsia"/>
          <w:highlight w:val="none"/>
          <w:lang w:bidi="ar"/>
        </w:rPr>
      </w:pPr>
      <w:r>
        <w:rPr>
          <w:rFonts w:hint="eastAsia"/>
          <w:highlight w:val="none"/>
          <w:lang w:bidi="ar"/>
        </w:rPr>
        <w:t>定期或不定期地召开或参加项目例会、协调会议等，向采购人通报项目进展情况，提交进度报告，及时解决相关问题。</w:t>
      </w:r>
    </w:p>
    <w:p>
      <w:pPr>
        <w:numPr>
          <w:ilvl w:val="0"/>
          <w:numId w:val="3"/>
        </w:numPr>
        <w:tabs>
          <w:tab w:val="clear" w:pos="0"/>
        </w:tabs>
        <w:autoSpaceDE w:val="0"/>
        <w:autoSpaceDN w:val="0"/>
        <w:adjustRightInd w:val="0"/>
        <w:ind w:left="720" w:leftChars="100" w:hanging="480" w:firstLineChars="0"/>
        <w:rPr>
          <w:rFonts w:hint="eastAsia" w:ascii="宋体" w:hAnsi="宋体" w:cs="宋体"/>
          <w:szCs w:val="24"/>
          <w:highlight w:val="none"/>
          <w:lang w:bidi="ar"/>
        </w:rPr>
      </w:pPr>
      <w:r>
        <w:rPr>
          <w:rFonts w:hint="eastAsia" w:ascii="宋体" w:hAnsi="宋体" w:cs="宋体"/>
          <w:szCs w:val="24"/>
          <w:highlight w:val="none"/>
          <w:lang w:bidi="ar"/>
        </w:rPr>
        <w:t>建立项目变更流程，记录项目变更。</w:t>
      </w:r>
    </w:p>
    <w:p>
      <w:pPr>
        <w:pStyle w:val="5"/>
        <w:numPr>
          <w:ilvl w:val="2"/>
          <w:numId w:val="2"/>
        </w:numPr>
        <w:bidi w:val="0"/>
        <w:rPr>
          <w:highlight w:val="none"/>
        </w:rPr>
      </w:pPr>
      <w:r>
        <w:rPr>
          <w:rFonts w:hint="eastAsia"/>
          <w:highlight w:val="none"/>
        </w:rPr>
        <w:t>合规</w:t>
      </w:r>
      <w:r>
        <w:rPr>
          <w:rFonts w:hint="eastAsia"/>
          <w:highlight w:val="none"/>
          <w:lang w:val="en-US" w:eastAsia="zh-CN"/>
        </w:rPr>
        <w:t>保障</w:t>
      </w:r>
    </w:p>
    <w:p>
      <w:pPr>
        <w:numPr>
          <w:ilvl w:val="0"/>
          <w:numId w:val="5"/>
        </w:numPr>
        <w:tabs>
          <w:tab w:val="clear" w:pos="0"/>
        </w:tabs>
        <w:autoSpaceDE w:val="0"/>
        <w:autoSpaceDN w:val="0"/>
        <w:adjustRightInd w:val="0"/>
        <w:ind w:left="720" w:leftChars="100" w:hanging="480" w:firstLineChars="0"/>
        <w:rPr>
          <w:rFonts w:hint="eastAsia" w:ascii="宋体" w:hAnsi="宋体" w:cs="宋体"/>
          <w:szCs w:val="24"/>
          <w:highlight w:val="none"/>
          <w:lang w:bidi="ar"/>
        </w:rPr>
      </w:pPr>
      <w:r>
        <w:rPr>
          <w:rFonts w:hint="eastAsia" w:ascii="宋体" w:hAnsi="宋体" w:cs="宋体"/>
          <w:szCs w:val="24"/>
          <w:highlight w:val="none"/>
          <w:lang w:bidi="ar"/>
        </w:rPr>
        <w:t>在项目开展过程中，供应商遵守国家法律法规、各级各类标准（国标、行标、企标）及行业规章制度，遵守采购人规章制度及采购人在项目建设、运行维护等方面的各项管理、考核标准（规章、制度）。</w:t>
      </w:r>
      <w:r>
        <w:rPr>
          <w:rFonts w:hint="eastAsia" w:ascii="宋体" w:hAnsi="宋体" w:cs="宋体"/>
          <w:szCs w:val="24"/>
          <w:highlight w:val="none"/>
          <w:lang w:val="en-US" w:eastAsia="zh-CN" w:bidi="ar"/>
        </w:rPr>
        <w:t>供应商需对测试之前完成报备工作，</w:t>
      </w:r>
      <w:r>
        <w:rPr>
          <w:rFonts w:hint="eastAsia" w:ascii="宋体" w:hAnsi="宋体" w:cs="宋体"/>
          <w:szCs w:val="24"/>
          <w:highlight w:val="none"/>
          <w:lang w:bidi="ar"/>
        </w:rPr>
        <w:t>因供应商原因造成不合规事件，供应商接受考核并对造成的损失承担全部责任。</w:t>
      </w:r>
    </w:p>
    <w:p>
      <w:pPr>
        <w:numPr>
          <w:ilvl w:val="0"/>
          <w:numId w:val="5"/>
        </w:numPr>
        <w:tabs>
          <w:tab w:val="clear" w:pos="0"/>
        </w:tabs>
        <w:autoSpaceDE w:val="0"/>
        <w:autoSpaceDN w:val="0"/>
        <w:adjustRightInd w:val="0"/>
        <w:ind w:left="720" w:leftChars="100" w:hanging="480" w:firstLineChars="0"/>
        <w:rPr>
          <w:highlight w:val="none"/>
        </w:rPr>
      </w:pPr>
      <w:r>
        <w:rPr>
          <w:rFonts w:hint="eastAsia" w:ascii="宋体" w:hAnsi="宋体" w:cs="宋体"/>
          <w:szCs w:val="24"/>
          <w:highlight w:val="none"/>
          <w:lang w:bidi="ar"/>
        </w:rPr>
        <w:t>供应商按照采购人相关规章制度及要求提供相应交付物、文件、文档及项目过程资料。因供应商方面撰写编制签署提供等原因造成不合规事件，供应商接受考核并对造成的损失承担全部责任。</w:t>
      </w:r>
    </w:p>
    <w:p>
      <w:pPr>
        <w:pStyle w:val="4"/>
        <w:numPr>
          <w:ilvl w:val="1"/>
          <w:numId w:val="2"/>
        </w:numPr>
        <w:tabs>
          <w:tab w:val="left" w:pos="0"/>
          <w:tab w:val="left" w:pos="840"/>
        </w:tabs>
        <w:rPr>
          <w:rFonts w:hint="default"/>
          <w:highlight w:val="none"/>
          <w:lang w:val="en-US" w:eastAsia="zh-CN"/>
        </w:rPr>
      </w:pPr>
      <w:bookmarkStart w:id="43" w:name="_Toc26860"/>
      <w:r>
        <w:rPr>
          <w:rFonts w:hint="eastAsia"/>
          <w:highlight w:val="none"/>
          <w:lang w:val="en-US" w:eastAsia="zh-CN"/>
        </w:rPr>
        <w:t>工作要求</w:t>
      </w:r>
      <w:bookmarkEnd w:id="43"/>
    </w:p>
    <w:p>
      <w:pPr>
        <w:numPr>
          <w:ilvl w:val="0"/>
          <w:numId w:val="6"/>
        </w:numPr>
        <w:tabs>
          <w:tab w:val="clear" w:pos="0"/>
        </w:tabs>
        <w:autoSpaceDE w:val="0"/>
        <w:autoSpaceDN w:val="0"/>
        <w:adjustRightInd w:val="0"/>
        <w:ind w:left="720" w:leftChars="100" w:hanging="480" w:firstLineChars="0"/>
        <w:rPr>
          <w:rFonts w:hint="eastAsia" w:ascii="宋体" w:hAnsi="宋体" w:cs="宋体"/>
          <w:szCs w:val="24"/>
          <w:highlight w:val="none"/>
          <w:lang w:bidi="ar"/>
        </w:rPr>
      </w:pPr>
      <w:r>
        <w:rPr>
          <w:rFonts w:hint="eastAsia" w:ascii="宋体" w:hAnsi="宋体" w:cs="宋体"/>
          <w:szCs w:val="24"/>
          <w:highlight w:val="none"/>
          <w:lang w:bidi="ar"/>
        </w:rPr>
        <w:t>依据标准，遵循原则</w:t>
      </w:r>
    </w:p>
    <w:p>
      <w:pPr>
        <w:pStyle w:val="14"/>
        <w:widowControl w:val="0"/>
        <w:numPr>
          <w:ilvl w:val="0"/>
          <w:numId w:val="4"/>
        </w:numPr>
        <w:spacing w:before="0" w:beforeAutospacing="0" w:after="0" w:afterAutospacing="0"/>
        <w:ind w:left="1134"/>
        <w:jc w:val="both"/>
        <w:rPr>
          <w:rFonts w:hint="eastAsia"/>
          <w:highlight w:val="none"/>
          <w:lang w:bidi="ar"/>
        </w:rPr>
      </w:pPr>
      <w:r>
        <w:rPr>
          <w:rFonts w:hint="eastAsia"/>
          <w:highlight w:val="none"/>
          <w:lang w:bidi="ar"/>
        </w:rPr>
        <w:t>等级测评实施应依据等级保护的相关技术标准进行。相关技术标准主要包括GB/T2223</w:t>
      </w:r>
      <w:r>
        <w:rPr>
          <w:rFonts w:hint="eastAsia"/>
          <w:highlight w:val="none"/>
          <w:lang w:val="en-US" w:eastAsia="zh-CN" w:bidi="ar"/>
        </w:rPr>
        <w:t>9</w:t>
      </w:r>
      <w:r>
        <w:rPr>
          <w:rFonts w:hint="eastAsia"/>
          <w:highlight w:val="none"/>
          <w:lang w:bidi="ar"/>
        </w:rPr>
        <w:t>、GB/T28448，其中等级测评目标和内容应依据GB/T22239，对具体测评项的测评实施方法则依据GB/T28448。</w:t>
      </w:r>
    </w:p>
    <w:p>
      <w:pPr>
        <w:pStyle w:val="14"/>
        <w:widowControl w:val="0"/>
        <w:numPr>
          <w:ilvl w:val="0"/>
          <w:numId w:val="4"/>
        </w:numPr>
        <w:spacing w:before="0" w:beforeAutospacing="0" w:after="0" w:afterAutospacing="0"/>
        <w:ind w:left="1134"/>
        <w:jc w:val="both"/>
        <w:rPr>
          <w:rFonts w:hint="eastAsia"/>
          <w:highlight w:val="none"/>
          <w:lang w:bidi="ar"/>
        </w:rPr>
      </w:pPr>
      <w:r>
        <w:rPr>
          <w:rFonts w:hint="eastAsia"/>
          <w:highlight w:val="none"/>
          <w:lang w:bidi="ar"/>
        </w:rPr>
        <w:t>在等级测评实施活动中，遵循客观性和公正性、经济性和可重用性、可重复性和可再现性、结果完善性的原则，保证测评工作公正、科学、合理和完善。</w:t>
      </w:r>
    </w:p>
    <w:p>
      <w:pPr>
        <w:numPr>
          <w:ilvl w:val="0"/>
          <w:numId w:val="6"/>
        </w:numPr>
        <w:tabs>
          <w:tab w:val="clear" w:pos="0"/>
        </w:tabs>
        <w:autoSpaceDE w:val="0"/>
        <w:autoSpaceDN w:val="0"/>
        <w:adjustRightInd w:val="0"/>
        <w:ind w:left="720" w:leftChars="100" w:hanging="480" w:firstLineChars="0"/>
        <w:rPr>
          <w:rFonts w:hint="eastAsia" w:ascii="宋体" w:hAnsi="宋体" w:cs="宋体"/>
          <w:szCs w:val="24"/>
          <w:highlight w:val="none"/>
          <w:lang w:bidi="ar"/>
        </w:rPr>
      </w:pPr>
      <w:r>
        <w:rPr>
          <w:rFonts w:hint="eastAsia" w:ascii="宋体" w:hAnsi="宋体" w:cs="宋体"/>
          <w:szCs w:val="24"/>
          <w:highlight w:val="none"/>
          <w:lang w:bidi="ar"/>
        </w:rPr>
        <w:t>规范行为，规避风险</w:t>
      </w:r>
    </w:p>
    <w:p>
      <w:pPr>
        <w:pStyle w:val="14"/>
        <w:widowControl w:val="0"/>
        <w:numPr>
          <w:ilvl w:val="0"/>
          <w:numId w:val="4"/>
        </w:numPr>
        <w:spacing w:before="0" w:beforeAutospacing="0" w:after="0" w:afterAutospacing="0"/>
        <w:ind w:left="1134"/>
        <w:jc w:val="both"/>
        <w:rPr>
          <w:rFonts w:hint="eastAsia"/>
          <w:highlight w:val="none"/>
          <w:lang w:bidi="ar"/>
        </w:rPr>
      </w:pPr>
      <w:r>
        <w:rPr>
          <w:rFonts w:hint="eastAsia"/>
          <w:highlight w:val="none"/>
          <w:lang w:bidi="ar"/>
        </w:rPr>
        <w:t>实施等级测评的过程保证规范，包括：制定内部保密制度；制定过程控制制度；规定相关文档评审流程；指定专人负责保管等级测评的归档文件等。</w:t>
      </w:r>
    </w:p>
    <w:p>
      <w:pPr>
        <w:pStyle w:val="14"/>
        <w:widowControl w:val="0"/>
        <w:numPr>
          <w:ilvl w:val="0"/>
          <w:numId w:val="4"/>
        </w:numPr>
        <w:spacing w:before="0" w:beforeAutospacing="0" w:after="0" w:afterAutospacing="0"/>
        <w:ind w:left="1134"/>
        <w:jc w:val="both"/>
        <w:rPr>
          <w:rFonts w:hint="eastAsia"/>
          <w:highlight w:val="none"/>
          <w:lang w:bidi="ar"/>
        </w:rPr>
      </w:pPr>
      <w:r>
        <w:rPr>
          <w:rFonts w:hint="eastAsia"/>
          <w:highlight w:val="none"/>
          <w:lang w:bidi="ar"/>
        </w:rPr>
        <w:t>测评人员的行为保证规范，包括：测评人员进入现场佩戴工作牌；使用测评专用的电脑和工具；严格按照测评指导书使用规范的测评技术进行测评；准确记录测评证据；不擅自评价测评结果；不将测评结果复制给非测评人员；涉及到测评委托单位的工作秘密或敏感信息的相关资料，只在指定场所查看，查看完成后立即归还等。</w:t>
      </w:r>
    </w:p>
    <w:p>
      <w:pPr>
        <w:pStyle w:val="4"/>
        <w:numPr>
          <w:ilvl w:val="1"/>
          <w:numId w:val="2"/>
        </w:numPr>
        <w:tabs>
          <w:tab w:val="left" w:pos="0"/>
          <w:tab w:val="left" w:pos="840"/>
        </w:tabs>
        <w:rPr>
          <w:color w:val="FF0000"/>
          <w:highlight w:val="none"/>
        </w:rPr>
      </w:pPr>
      <w:bookmarkStart w:id="44" w:name="_Toc21312"/>
      <w:r>
        <w:rPr>
          <w:rFonts w:hint="eastAsia"/>
          <w:highlight w:val="none"/>
          <w:lang w:val="en-US" w:eastAsia="zh-CN"/>
        </w:rPr>
        <w:t>技术管控要求</w:t>
      </w:r>
      <w:bookmarkEnd w:id="44"/>
    </w:p>
    <w:p>
      <w:pPr>
        <w:numPr>
          <w:ilvl w:val="0"/>
          <w:numId w:val="7"/>
        </w:numPr>
        <w:tabs>
          <w:tab w:val="clear" w:pos="0"/>
        </w:tabs>
        <w:autoSpaceDE w:val="0"/>
        <w:autoSpaceDN w:val="0"/>
        <w:adjustRightInd w:val="0"/>
        <w:ind w:left="720" w:leftChars="100" w:hanging="480" w:firstLineChars="0"/>
        <w:rPr>
          <w:rFonts w:hint="eastAsia" w:ascii="宋体" w:hAnsi="宋体" w:cs="宋体"/>
          <w:szCs w:val="24"/>
          <w:highlight w:val="none"/>
          <w:lang w:bidi="ar"/>
        </w:rPr>
      </w:pPr>
      <w:r>
        <w:rPr>
          <w:rFonts w:hint="eastAsia" w:ascii="宋体" w:hAnsi="宋体" w:cs="宋体"/>
          <w:szCs w:val="24"/>
          <w:highlight w:val="none"/>
          <w:lang w:bidi="ar"/>
        </w:rPr>
        <w:t>配合贯彻国家、省、市公安部门关于信息系统信息安全等级保护工作的工作要求，规范信息系统安全等级保护管理，切实提高网络与信息安全防护与管控能力，进一步做好网络安全保护工作，开展202</w:t>
      </w:r>
      <w:r>
        <w:rPr>
          <w:rFonts w:hint="eastAsia" w:ascii="宋体" w:hAnsi="宋体" w:cs="宋体"/>
          <w:szCs w:val="24"/>
          <w:highlight w:val="none"/>
          <w:lang w:val="en-US" w:eastAsia="zh-CN" w:bidi="ar"/>
        </w:rPr>
        <w:t>3</w:t>
      </w:r>
      <w:r>
        <w:rPr>
          <w:rFonts w:hint="eastAsia" w:ascii="宋体" w:hAnsi="宋体" w:cs="宋体"/>
          <w:szCs w:val="24"/>
          <w:highlight w:val="none"/>
          <w:lang w:bidi="ar"/>
        </w:rPr>
        <w:t>年信息系统信息安全等级保护测评工作，并依据公安部《信息系统安全等级保护测评准则》与信息系统备案等级相对应的测评项，对</w:t>
      </w:r>
      <w:r>
        <w:rPr>
          <w:rFonts w:hint="eastAsia" w:ascii="宋体" w:hAnsi="宋体" w:cs="宋体"/>
          <w:szCs w:val="24"/>
          <w:highlight w:val="none"/>
          <w:lang w:val="en-US" w:eastAsia="zh-CN" w:bidi="ar"/>
        </w:rPr>
        <w:t>未</w:t>
      </w:r>
      <w:r>
        <w:rPr>
          <w:rFonts w:hint="eastAsia" w:ascii="宋体" w:hAnsi="宋体" w:cs="宋体"/>
          <w:szCs w:val="24"/>
          <w:highlight w:val="none"/>
          <w:lang w:bidi="ar"/>
        </w:rPr>
        <w:t>定级系统进行信息系统安全等级合规性测评，出具测评报告</w:t>
      </w:r>
      <w:r>
        <w:rPr>
          <w:rFonts w:hint="eastAsia" w:ascii="宋体" w:hAnsi="宋体" w:cs="宋体"/>
          <w:szCs w:val="24"/>
          <w:highlight w:val="none"/>
          <w:lang w:eastAsia="zh-CN" w:bidi="ar"/>
        </w:rPr>
        <w:t>，</w:t>
      </w:r>
      <w:r>
        <w:rPr>
          <w:rFonts w:hint="eastAsia" w:ascii="宋体" w:hAnsi="宋体" w:cs="宋体"/>
          <w:szCs w:val="24"/>
          <w:highlight w:val="none"/>
          <w:lang w:val="en-US" w:eastAsia="zh-CN" w:bidi="ar"/>
        </w:rPr>
        <w:t>本项目按等保三级开展实施服务</w:t>
      </w:r>
      <w:r>
        <w:rPr>
          <w:rFonts w:hint="eastAsia" w:ascii="宋体" w:hAnsi="宋体" w:cs="宋体"/>
          <w:szCs w:val="24"/>
          <w:highlight w:val="none"/>
          <w:lang w:bidi="ar"/>
        </w:rPr>
        <w:t>。</w:t>
      </w:r>
    </w:p>
    <w:p>
      <w:pPr>
        <w:numPr>
          <w:ilvl w:val="0"/>
          <w:numId w:val="7"/>
        </w:numPr>
        <w:tabs>
          <w:tab w:val="clear" w:pos="0"/>
        </w:tabs>
        <w:autoSpaceDE w:val="0"/>
        <w:autoSpaceDN w:val="0"/>
        <w:adjustRightInd w:val="0"/>
        <w:ind w:left="720" w:leftChars="100" w:hanging="480" w:firstLineChars="0"/>
        <w:rPr>
          <w:rFonts w:hint="eastAsia" w:ascii="宋体" w:hAnsi="宋体" w:cs="宋体"/>
          <w:szCs w:val="24"/>
          <w:highlight w:val="none"/>
          <w:lang w:bidi="ar"/>
        </w:rPr>
      </w:pPr>
      <w:r>
        <w:rPr>
          <w:rFonts w:hint="eastAsia" w:ascii="宋体" w:hAnsi="宋体" w:cs="宋体"/>
          <w:szCs w:val="24"/>
          <w:highlight w:val="none"/>
          <w:lang w:bidi="ar"/>
        </w:rPr>
        <w:t>根据《GB/T22239-2019信息安全技术-网络安全等级保护基本要求》测评指标和测评方式结合到信息系统的具体测评对象上，构成可以具体测评的工作单元。具体分为</w:t>
      </w:r>
      <w:r>
        <w:rPr>
          <w:rFonts w:hint="eastAsia" w:ascii="宋体" w:hAnsi="宋体"/>
        </w:rPr>
        <w:t>安全物理环境、安全通信网络、安全区域边界、安全计算环境和安全管理中心等五个层面上的技术测评</w:t>
      </w:r>
      <w:r>
        <w:rPr>
          <w:rFonts w:hint="eastAsia" w:ascii="宋体" w:hAnsi="宋体"/>
          <w:lang w:eastAsia="zh-CN"/>
        </w:rPr>
        <w:t>。</w:t>
      </w:r>
    </w:p>
    <w:p>
      <w:pPr>
        <w:pStyle w:val="4"/>
        <w:numPr>
          <w:ilvl w:val="1"/>
          <w:numId w:val="2"/>
        </w:numPr>
        <w:tabs>
          <w:tab w:val="left" w:pos="0"/>
          <w:tab w:val="left" w:pos="840"/>
        </w:tabs>
        <w:rPr>
          <w:highlight w:val="none"/>
        </w:rPr>
      </w:pPr>
      <w:bookmarkStart w:id="45" w:name="_Toc25529"/>
      <w:r>
        <w:rPr>
          <w:rFonts w:hint="eastAsia"/>
          <w:highlight w:val="none"/>
        </w:rPr>
        <w:t>保密要求</w:t>
      </w:r>
      <w:bookmarkEnd w:id="41"/>
      <w:bookmarkEnd w:id="42"/>
      <w:bookmarkEnd w:id="45"/>
    </w:p>
    <w:p>
      <w:pPr>
        <w:ind w:firstLine="480"/>
        <w:rPr>
          <w:rFonts w:hint="eastAsia" w:eastAsiaTheme="minorEastAsia"/>
          <w:highlight w:val="none"/>
          <w:lang w:eastAsia="zh-CN"/>
        </w:rPr>
      </w:pPr>
      <w:r>
        <w:rPr>
          <w:rFonts w:hint="eastAsia"/>
          <w:highlight w:val="none"/>
        </w:rPr>
        <w:t>本项目团队成员获得接触和知悉与本项工作相关的国家秘密、商业秘密或敏感信息和数</w:t>
      </w:r>
      <w:r>
        <w:rPr>
          <w:rFonts w:hint="default"/>
          <w:highlight w:val="none"/>
        </w:rPr>
        <w:t>据的资格</w:t>
      </w:r>
      <w:r>
        <w:rPr>
          <w:rFonts w:hint="eastAsia"/>
          <w:highlight w:val="none"/>
        </w:rPr>
        <w:t>,</w:t>
      </w:r>
      <w:r>
        <w:rPr>
          <w:rFonts w:hint="default"/>
          <w:highlight w:val="none"/>
        </w:rPr>
        <w:t>为此项目组成员应当承担维护信息安全及保密义务和法律责任，一旦因违反信息安全及保密相关的行为规范，将被南网列入“黑名单”，不被允许参与南网</w:t>
      </w:r>
      <w:r>
        <w:rPr>
          <w:rFonts w:hint="eastAsia"/>
          <w:highlight w:val="none"/>
          <w:lang w:eastAsia="zh-CN"/>
        </w:rPr>
        <w:t>数字集团</w:t>
      </w:r>
      <w:r>
        <w:rPr>
          <w:rFonts w:hint="default"/>
          <w:highlight w:val="none"/>
        </w:rPr>
        <w:t>的任何</w:t>
      </w:r>
      <w:r>
        <w:rPr>
          <w:rFonts w:hint="eastAsia"/>
          <w:highlight w:val="none"/>
          <w:lang w:val="en-US" w:eastAsia="zh-CN"/>
        </w:rPr>
        <w:t>业务。</w:t>
      </w:r>
    </w:p>
    <w:p>
      <w:pPr>
        <w:ind w:firstLine="480"/>
        <w:rPr>
          <w:rFonts w:hint="eastAsia"/>
          <w:highlight w:val="none"/>
          <w:lang w:eastAsia="zh-CN"/>
        </w:rPr>
      </w:pPr>
      <w:r>
        <w:rPr>
          <w:rFonts w:hint="eastAsia"/>
          <w:highlight w:val="none"/>
          <w:lang w:val="en-US" w:eastAsia="zh-CN"/>
        </w:rPr>
        <w:t>供应商应制定</w:t>
      </w:r>
      <w:r>
        <w:rPr>
          <w:rFonts w:hint="default"/>
          <w:highlight w:val="none"/>
        </w:rPr>
        <w:t>数据保密制度</w:t>
      </w:r>
      <w:r>
        <w:rPr>
          <w:rFonts w:hint="eastAsia"/>
          <w:highlight w:val="none"/>
          <w:lang w:val="en-US" w:eastAsia="zh-CN"/>
        </w:rPr>
        <w:t>和</w:t>
      </w:r>
      <w:r>
        <w:rPr>
          <w:rFonts w:hint="default"/>
          <w:highlight w:val="none"/>
        </w:rPr>
        <w:t>保密措施</w:t>
      </w:r>
      <w:r>
        <w:rPr>
          <w:rFonts w:hint="eastAsia"/>
          <w:highlight w:val="none"/>
          <w:lang w:eastAsia="zh-CN"/>
        </w:rPr>
        <w:t>，</w:t>
      </w:r>
      <w:r>
        <w:rPr>
          <w:rFonts w:hint="eastAsia"/>
          <w:highlight w:val="none"/>
          <w:lang w:val="en-US" w:eastAsia="zh-CN"/>
        </w:rPr>
        <w:t>保证项目数据不泄露</w:t>
      </w:r>
      <w:r>
        <w:rPr>
          <w:rFonts w:hint="default"/>
          <w:highlight w:val="none"/>
        </w:rPr>
        <w:t>。</w:t>
      </w:r>
      <w:r>
        <w:rPr>
          <w:rFonts w:hint="eastAsia"/>
          <w:highlight w:val="none"/>
          <w:lang w:val="en-US" w:eastAsia="zh-CN"/>
        </w:rPr>
        <w:t>供应商应</w:t>
      </w:r>
      <w:r>
        <w:rPr>
          <w:rFonts w:hint="default"/>
          <w:highlight w:val="none"/>
        </w:rPr>
        <w:t>具有数据保密办公环境，</w:t>
      </w:r>
      <w:r>
        <w:rPr>
          <w:rFonts w:hint="eastAsia"/>
          <w:highlight w:val="none"/>
          <w:lang w:val="en-US" w:eastAsia="zh-CN"/>
        </w:rPr>
        <w:t>配置</w:t>
      </w:r>
      <w:r>
        <w:rPr>
          <w:rFonts w:hint="default"/>
          <w:highlight w:val="none"/>
        </w:rPr>
        <w:t>具有数据处理的保密设备，包括保密电脑、保密硬盘等。</w:t>
      </w:r>
    </w:p>
    <w:p>
      <w:pPr>
        <w:pStyle w:val="3"/>
        <w:numPr>
          <w:ilvl w:val="0"/>
          <w:numId w:val="2"/>
        </w:numPr>
        <w:rPr>
          <w:rFonts w:hint="eastAsia"/>
          <w:highlight w:val="none"/>
          <w:lang w:val="en-US" w:eastAsia="zh-CN"/>
        </w:rPr>
      </w:pPr>
      <w:bookmarkStart w:id="46" w:name="_Toc3106"/>
      <w:r>
        <w:rPr>
          <w:rFonts w:hint="eastAsia"/>
          <w:highlight w:val="none"/>
          <w:lang w:val="en-US" w:eastAsia="zh-CN"/>
        </w:rPr>
        <w:t>项目实施服务要求</w:t>
      </w:r>
      <w:bookmarkEnd w:id="46"/>
    </w:p>
    <w:p>
      <w:pPr>
        <w:ind w:firstLine="480"/>
        <w:rPr>
          <w:highlight w:val="none"/>
        </w:rPr>
      </w:pPr>
      <w:bookmarkStart w:id="47" w:name="_Toc11174"/>
      <w:bookmarkStart w:id="48" w:name="_Toc20978"/>
      <w:r>
        <w:rPr>
          <w:rFonts w:hint="eastAsia"/>
          <w:highlight w:val="none"/>
        </w:rPr>
        <w:t>供应商必须向采购人提供</w:t>
      </w:r>
      <w:r>
        <w:rPr>
          <w:rFonts w:hint="eastAsia"/>
          <w:highlight w:val="none"/>
          <w:lang w:val="en-US" w:eastAsia="zh-CN"/>
        </w:rPr>
        <w:t>报价</w:t>
      </w:r>
      <w:r>
        <w:rPr>
          <w:rFonts w:hint="eastAsia"/>
          <w:highlight w:val="none"/>
        </w:rPr>
        <w:t>文件中列举的所有服务，并提交相应的技术文档及报告。若本技术规范书中的所需服务方面中出现不合理或不完整的问题时，供应商有责任和义务提出补充修改方案并征得采购人同意后付于实施。</w:t>
      </w:r>
    </w:p>
    <w:p>
      <w:pPr>
        <w:pStyle w:val="4"/>
        <w:numPr>
          <w:ilvl w:val="1"/>
          <w:numId w:val="2"/>
        </w:numPr>
        <w:tabs>
          <w:tab w:val="left" w:pos="0"/>
          <w:tab w:val="left" w:pos="840"/>
        </w:tabs>
        <w:rPr>
          <w:highlight w:val="none"/>
        </w:rPr>
      </w:pPr>
      <w:bookmarkStart w:id="49" w:name="_Toc114153328"/>
      <w:bookmarkStart w:id="50" w:name="_Toc27870"/>
      <w:bookmarkStart w:id="51" w:name="_Toc114153327"/>
      <w:r>
        <w:rPr>
          <w:rFonts w:hint="eastAsia"/>
          <w:highlight w:val="none"/>
        </w:rPr>
        <w:t>服务要求</w:t>
      </w:r>
      <w:bookmarkEnd w:id="49"/>
      <w:bookmarkEnd w:id="50"/>
    </w:p>
    <w:p>
      <w:pPr>
        <w:numPr>
          <w:ilvl w:val="0"/>
          <w:numId w:val="8"/>
        </w:numPr>
        <w:tabs>
          <w:tab w:val="clear" w:pos="0"/>
        </w:tabs>
        <w:autoSpaceDE w:val="0"/>
        <w:autoSpaceDN w:val="0"/>
        <w:adjustRightInd w:val="0"/>
        <w:ind w:left="720" w:leftChars="100" w:hanging="480" w:firstLineChars="0"/>
        <w:rPr>
          <w:rFonts w:hint="eastAsia" w:ascii="宋体" w:hAnsi="宋体" w:cs="宋体"/>
          <w:szCs w:val="24"/>
          <w:highlight w:val="none"/>
          <w:lang w:val="en-US" w:eastAsia="zh-CN" w:bidi="ar"/>
        </w:rPr>
      </w:pPr>
      <w:r>
        <w:rPr>
          <w:rFonts w:hint="eastAsia" w:ascii="宋体" w:hAnsi="宋体" w:cs="宋体"/>
          <w:szCs w:val="24"/>
          <w:highlight w:val="none"/>
          <w:lang w:val="en-US" w:eastAsia="zh-CN" w:bidi="ar"/>
        </w:rPr>
        <w:t>项目需现场实施，即供应商技术人员应出差至本项目最终用户所在地提供现场实施服务，由此产生相关费用由供应商承担。</w:t>
      </w:r>
    </w:p>
    <w:p>
      <w:pPr>
        <w:numPr>
          <w:ilvl w:val="0"/>
          <w:numId w:val="8"/>
        </w:numPr>
        <w:tabs>
          <w:tab w:val="clear" w:pos="0"/>
        </w:tabs>
        <w:autoSpaceDE w:val="0"/>
        <w:autoSpaceDN w:val="0"/>
        <w:adjustRightInd w:val="0"/>
        <w:ind w:left="720" w:leftChars="100" w:hanging="480" w:firstLineChars="0"/>
        <w:rPr>
          <w:rFonts w:hint="eastAsia" w:ascii="宋体" w:hAnsi="宋体" w:cs="宋体"/>
          <w:szCs w:val="24"/>
          <w:highlight w:val="none"/>
          <w:lang w:val="en-US" w:eastAsia="zh-CN" w:bidi="ar"/>
        </w:rPr>
      </w:pPr>
      <w:r>
        <w:rPr>
          <w:rFonts w:hint="eastAsia" w:ascii="宋体" w:hAnsi="宋体" w:cs="宋体"/>
          <w:szCs w:val="24"/>
          <w:highlight w:val="none"/>
          <w:lang w:val="en-US" w:eastAsia="zh-CN" w:bidi="ar"/>
        </w:rPr>
        <w:t>供应商的实施方案应具有可行性、完整性要求；</w:t>
      </w:r>
    </w:p>
    <w:p>
      <w:pPr>
        <w:numPr>
          <w:ilvl w:val="0"/>
          <w:numId w:val="8"/>
        </w:numPr>
        <w:tabs>
          <w:tab w:val="clear" w:pos="0"/>
        </w:tabs>
        <w:autoSpaceDE w:val="0"/>
        <w:autoSpaceDN w:val="0"/>
        <w:adjustRightInd w:val="0"/>
        <w:ind w:left="720" w:leftChars="100" w:hanging="480" w:firstLineChars="0"/>
        <w:rPr>
          <w:rFonts w:hint="eastAsia" w:ascii="宋体" w:hAnsi="宋体" w:cs="宋体"/>
          <w:szCs w:val="24"/>
          <w:highlight w:val="none"/>
          <w:lang w:val="en-US" w:eastAsia="zh-CN" w:bidi="ar"/>
        </w:rPr>
      </w:pPr>
      <w:r>
        <w:rPr>
          <w:rFonts w:hint="eastAsia" w:ascii="宋体" w:hAnsi="宋体" w:cs="宋体"/>
          <w:szCs w:val="24"/>
          <w:highlight w:val="none"/>
          <w:lang w:val="en-US" w:eastAsia="zh-CN" w:bidi="ar"/>
        </w:rPr>
        <w:t>启动调试过程中，不影响原有业务系统的正常使用，不影响其他关联业务的使用；</w:t>
      </w:r>
    </w:p>
    <w:p>
      <w:pPr>
        <w:numPr>
          <w:ilvl w:val="0"/>
          <w:numId w:val="8"/>
        </w:numPr>
        <w:tabs>
          <w:tab w:val="clear" w:pos="0"/>
        </w:tabs>
        <w:autoSpaceDE w:val="0"/>
        <w:autoSpaceDN w:val="0"/>
        <w:adjustRightInd w:val="0"/>
        <w:ind w:left="720" w:leftChars="100" w:hanging="480" w:firstLineChars="0"/>
        <w:rPr>
          <w:rFonts w:hint="eastAsia" w:ascii="宋体" w:hAnsi="宋体" w:cs="宋体"/>
          <w:szCs w:val="24"/>
          <w:highlight w:val="none"/>
          <w:lang w:val="en-US" w:eastAsia="zh-CN" w:bidi="ar"/>
        </w:rPr>
      </w:pPr>
      <w:r>
        <w:rPr>
          <w:rFonts w:hint="eastAsia" w:ascii="宋体" w:hAnsi="宋体" w:cs="宋体"/>
          <w:szCs w:val="24"/>
          <w:highlight w:val="none"/>
          <w:lang w:val="en-US" w:eastAsia="zh-CN" w:bidi="ar"/>
        </w:rPr>
        <w:t>供应商应满足采购人、以及最终用户信息化建设项目相关规定、标准等要求，配合采购人开展相关工作。</w:t>
      </w:r>
    </w:p>
    <w:p>
      <w:pPr>
        <w:numPr>
          <w:ilvl w:val="0"/>
          <w:numId w:val="8"/>
        </w:numPr>
        <w:tabs>
          <w:tab w:val="clear" w:pos="0"/>
        </w:tabs>
        <w:autoSpaceDE w:val="0"/>
        <w:autoSpaceDN w:val="0"/>
        <w:adjustRightInd w:val="0"/>
        <w:ind w:left="720" w:leftChars="100" w:hanging="480" w:firstLineChars="0"/>
        <w:rPr>
          <w:rFonts w:hint="eastAsia" w:ascii="宋体" w:hAnsi="宋体" w:cs="宋体"/>
          <w:szCs w:val="24"/>
          <w:highlight w:val="none"/>
          <w:lang w:val="en-US" w:eastAsia="zh-CN" w:bidi="ar"/>
        </w:rPr>
      </w:pPr>
      <w:r>
        <w:rPr>
          <w:rFonts w:hint="eastAsia" w:ascii="宋体" w:hAnsi="宋体" w:cs="宋体"/>
          <w:szCs w:val="24"/>
          <w:highlight w:val="none"/>
          <w:lang w:val="en-US" w:eastAsia="zh-CN" w:bidi="ar"/>
        </w:rPr>
        <w:t>按照采购人要求，编写相关报告等；</w:t>
      </w:r>
    </w:p>
    <w:p>
      <w:pPr>
        <w:numPr>
          <w:ilvl w:val="0"/>
          <w:numId w:val="8"/>
        </w:numPr>
        <w:tabs>
          <w:tab w:val="clear" w:pos="0"/>
        </w:tabs>
        <w:autoSpaceDE w:val="0"/>
        <w:autoSpaceDN w:val="0"/>
        <w:adjustRightInd w:val="0"/>
        <w:ind w:left="720" w:leftChars="100" w:hanging="480" w:firstLineChars="0"/>
        <w:rPr>
          <w:rFonts w:hint="eastAsia" w:ascii="宋体" w:hAnsi="宋体" w:cs="宋体"/>
          <w:szCs w:val="24"/>
          <w:highlight w:val="none"/>
          <w:lang w:val="en-US" w:eastAsia="zh-CN" w:bidi="ar"/>
        </w:rPr>
      </w:pPr>
      <w:r>
        <w:rPr>
          <w:rFonts w:hint="eastAsia" w:ascii="宋体" w:hAnsi="宋体" w:cs="宋体"/>
          <w:szCs w:val="24"/>
          <w:highlight w:val="none"/>
          <w:lang w:val="en-US" w:eastAsia="zh-CN" w:bidi="ar"/>
        </w:rPr>
        <w:t>在项目实施过程中要确保设备安全，对实施过程中存在的风险进行评估并保障实实施作顺利进行。</w:t>
      </w:r>
    </w:p>
    <w:p>
      <w:pPr>
        <w:numPr>
          <w:ilvl w:val="0"/>
          <w:numId w:val="8"/>
        </w:numPr>
        <w:tabs>
          <w:tab w:val="clear" w:pos="0"/>
        </w:tabs>
        <w:autoSpaceDE w:val="0"/>
        <w:autoSpaceDN w:val="0"/>
        <w:adjustRightInd w:val="0"/>
        <w:ind w:left="720" w:leftChars="100" w:hanging="480" w:firstLineChars="0"/>
        <w:rPr>
          <w:rFonts w:hint="eastAsia" w:ascii="宋体" w:hAnsi="宋体" w:cs="宋体"/>
          <w:szCs w:val="24"/>
          <w:highlight w:val="none"/>
          <w:lang w:val="en-US" w:eastAsia="zh-CN" w:bidi="ar"/>
        </w:rPr>
      </w:pPr>
      <w:r>
        <w:rPr>
          <w:rFonts w:hint="eastAsia" w:ascii="宋体" w:hAnsi="宋体" w:cs="宋体"/>
          <w:szCs w:val="24"/>
          <w:highlight w:val="none"/>
          <w:lang w:val="en-US" w:eastAsia="zh-CN" w:bidi="ar"/>
        </w:rPr>
        <w:t>供应商应派遣</w:t>
      </w:r>
      <w:bookmarkStart w:id="58" w:name="_GoBack"/>
      <w:bookmarkEnd w:id="58"/>
      <w:r>
        <w:rPr>
          <w:rFonts w:hint="eastAsia" w:ascii="宋体" w:hAnsi="宋体" w:cs="宋体"/>
          <w:szCs w:val="24"/>
          <w:highlight w:val="none"/>
          <w:lang w:val="en-US" w:eastAsia="zh-CN" w:bidi="ar"/>
        </w:rPr>
        <w:t>熟悉所采用的测试工具、经验丰富的技术专家负责测试，对负责人员未能及时到场所引起的一切后果负全部责任。</w:t>
      </w:r>
    </w:p>
    <w:bookmarkEnd w:id="47"/>
    <w:bookmarkEnd w:id="48"/>
    <w:bookmarkEnd w:id="51"/>
    <w:p>
      <w:pPr>
        <w:pStyle w:val="4"/>
        <w:numPr>
          <w:ilvl w:val="1"/>
          <w:numId w:val="2"/>
        </w:numPr>
        <w:tabs>
          <w:tab w:val="left" w:pos="0"/>
          <w:tab w:val="left" w:pos="840"/>
        </w:tabs>
        <w:rPr>
          <w:highlight w:val="none"/>
        </w:rPr>
      </w:pPr>
      <w:bookmarkStart w:id="52" w:name="_Toc16079"/>
      <w:bookmarkStart w:id="53" w:name="_Toc114153329"/>
      <w:bookmarkStart w:id="54" w:name="_Toc18037"/>
      <w:r>
        <w:rPr>
          <w:rFonts w:hint="eastAsia"/>
          <w:highlight w:val="none"/>
        </w:rPr>
        <w:t>项目启动</w:t>
      </w:r>
      <w:bookmarkEnd w:id="52"/>
      <w:bookmarkEnd w:id="53"/>
      <w:bookmarkEnd w:id="54"/>
    </w:p>
    <w:p>
      <w:pPr>
        <w:ind w:firstLine="480"/>
        <w:rPr>
          <w:rFonts w:hint="eastAsia"/>
          <w:highlight w:val="none"/>
        </w:rPr>
      </w:pPr>
      <w:bookmarkStart w:id="55" w:name="_Toc8145"/>
      <w:r>
        <w:rPr>
          <w:rFonts w:hint="eastAsia"/>
          <w:highlight w:val="none"/>
        </w:rPr>
        <w:t>供应商中标后按采购人相关</w:t>
      </w:r>
      <w:r>
        <w:rPr>
          <w:rFonts w:hint="eastAsia"/>
          <w:highlight w:val="none"/>
          <w:lang w:val="en-US" w:eastAsia="zh-CN"/>
        </w:rPr>
        <w:t>要求展开测评工作</w:t>
      </w:r>
      <w:r>
        <w:rPr>
          <w:rFonts w:hint="eastAsia"/>
          <w:highlight w:val="none"/>
        </w:rPr>
        <w:t>。</w:t>
      </w:r>
    </w:p>
    <w:bookmarkEnd w:id="55"/>
    <w:p>
      <w:pPr>
        <w:pStyle w:val="3"/>
        <w:numPr>
          <w:ilvl w:val="0"/>
          <w:numId w:val="2"/>
        </w:numPr>
        <w:rPr>
          <w:rFonts w:hint="eastAsia"/>
          <w:highlight w:val="none"/>
        </w:rPr>
      </w:pPr>
      <w:bookmarkStart w:id="56" w:name="_Toc26939"/>
      <w:bookmarkStart w:id="57" w:name="_Toc9089876"/>
      <w:r>
        <w:rPr>
          <w:rFonts w:hint="eastAsia"/>
          <w:highlight w:val="none"/>
          <w:lang w:val="en-US" w:eastAsia="zh-CN"/>
        </w:rPr>
        <w:t>工作成果交付</w:t>
      </w:r>
      <w:bookmarkEnd w:id="56"/>
    </w:p>
    <w:p>
      <w:pPr>
        <w:ind w:firstLine="480"/>
        <w:jc w:val="left"/>
        <w:rPr>
          <w:rFonts w:hint="eastAsia" w:ascii="宋体" w:hAnsi="宋体" w:cs="宋体"/>
          <w:kern w:val="0"/>
          <w:szCs w:val="24"/>
          <w:highlight w:val="none"/>
          <w:lang w:val="en-US" w:eastAsia="zh-CN" w:bidi="ar"/>
        </w:rPr>
      </w:pPr>
      <w:r>
        <w:rPr>
          <w:rFonts w:hint="eastAsia" w:ascii="宋体" w:hAnsi="宋体" w:cs="宋体"/>
          <w:kern w:val="0"/>
          <w:szCs w:val="24"/>
          <w:highlight w:val="none"/>
          <w:lang w:bidi="ar"/>
        </w:rPr>
        <w:t>供应商应在合同规定时间内，将招标范围内所界定的工作完成，并向采购人提交</w:t>
      </w:r>
      <w:r>
        <w:rPr>
          <w:rFonts w:hint="eastAsia" w:ascii="宋体" w:hAnsi="宋体" w:cs="宋体"/>
          <w:kern w:val="0"/>
          <w:szCs w:val="24"/>
          <w:highlight w:val="none"/>
          <w:lang w:val="en-US" w:eastAsia="zh-CN" w:bidi="ar"/>
        </w:rPr>
        <w:t>交付物：</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6"/>
        <w:gridCol w:w="4860"/>
        <w:gridCol w:w="2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6" w:type="pct"/>
          </w:tcPr>
          <w:p>
            <w:pPr>
              <w:spacing w:line="360" w:lineRule="auto"/>
              <w:ind w:left="0" w:leftChars="0" w:firstLine="240" w:firstLineChars="100"/>
              <w:jc w:val="both"/>
              <w:rPr>
                <w:rFonts w:hint="eastAsia" w:eastAsiaTheme="minorEastAsia"/>
                <w:lang w:val="en-US" w:eastAsia="zh-CN"/>
              </w:rPr>
            </w:pPr>
            <w:r>
              <w:rPr>
                <w:rFonts w:hint="eastAsia"/>
                <w:lang w:val="en-US" w:eastAsia="zh-CN"/>
              </w:rPr>
              <w:t>序号</w:t>
            </w:r>
          </w:p>
        </w:tc>
        <w:tc>
          <w:tcPr>
            <w:tcW w:w="2852" w:type="pct"/>
          </w:tcPr>
          <w:p>
            <w:pPr>
              <w:spacing w:line="360" w:lineRule="auto"/>
              <w:ind w:left="0" w:leftChars="0" w:firstLine="0" w:firstLineChars="0"/>
              <w:jc w:val="center"/>
              <w:rPr>
                <w:rFonts w:hint="eastAsia" w:eastAsiaTheme="minorEastAsia"/>
                <w:lang w:val="en-US" w:eastAsia="zh-CN"/>
              </w:rPr>
            </w:pPr>
            <w:r>
              <w:rPr>
                <w:rFonts w:hint="eastAsia"/>
                <w:lang w:val="en-US" w:eastAsia="zh-CN"/>
              </w:rPr>
              <w:t>名称</w:t>
            </w:r>
          </w:p>
        </w:tc>
        <w:tc>
          <w:tcPr>
            <w:tcW w:w="1451" w:type="pct"/>
          </w:tcPr>
          <w:p>
            <w:pPr>
              <w:spacing w:line="360" w:lineRule="auto"/>
              <w:ind w:firstLine="720" w:firstLineChars="300"/>
              <w:jc w:val="both"/>
              <w:rPr>
                <w:rFonts w:hint="default"/>
                <w:lang w:val="en-US" w:eastAsia="zh-CN"/>
              </w:rPr>
            </w:pPr>
            <w:r>
              <w:rPr>
                <w:rFonts w:hint="eastAsia"/>
                <w:lang w:val="en-US" w:eastAsia="zh-CN"/>
              </w:rPr>
              <w:t>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pct"/>
          </w:tcPr>
          <w:p>
            <w:pPr>
              <w:spacing w:line="360" w:lineRule="auto"/>
              <w:rPr>
                <w:rFonts w:hint="eastAsia" w:eastAsiaTheme="minorEastAsia"/>
                <w:lang w:val="en-US" w:eastAsia="zh-CN"/>
              </w:rPr>
            </w:pPr>
            <w:r>
              <w:rPr>
                <w:rFonts w:hint="eastAsia"/>
                <w:lang w:val="en-US" w:eastAsia="zh-CN"/>
              </w:rPr>
              <w:t>1</w:t>
            </w:r>
          </w:p>
        </w:tc>
        <w:tc>
          <w:tcPr>
            <w:tcW w:w="2852" w:type="pct"/>
          </w:tcPr>
          <w:p>
            <w:pPr>
              <w:spacing w:line="360" w:lineRule="auto"/>
            </w:pPr>
            <w:r>
              <w:rPr>
                <w:rFonts w:hint="eastAsia"/>
              </w:rPr>
              <w:t>《网络安全等级保护问题</w:t>
            </w:r>
            <w:r>
              <w:rPr>
                <w:rFonts w:hint="eastAsia"/>
                <w:lang w:val="en-US" w:eastAsia="zh-CN"/>
              </w:rPr>
              <w:t>建议</w:t>
            </w:r>
            <w:r>
              <w:rPr>
                <w:rFonts w:hint="eastAsia"/>
              </w:rPr>
              <w:t>清单》</w:t>
            </w:r>
          </w:p>
        </w:tc>
        <w:tc>
          <w:tcPr>
            <w:tcW w:w="1451" w:type="pct"/>
          </w:tcPr>
          <w:p>
            <w:pPr>
              <w:spacing w:line="360" w:lineRule="auto"/>
              <w:rPr>
                <w:rFonts w:hint="default" w:eastAsia="宋体"/>
                <w:lang w:val="en-US" w:eastAsia="zh-CN"/>
              </w:rPr>
            </w:pPr>
            <w:r>
              <w:rPr>
                <w:rFonts w:hint="eastAsia"/>
                <w:lang w:val="en-US" w:eastAsia="zh-CN"/>
              </w:rPr>
              <w:t>1份/系统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pct"/>
          </w:tcPr>
          <w:p>
            <w:pPr>
              <w:spacing w:line="360" w:lineRule="auto"/>
              <w:rPr>
                <w:rFonts w:hint="eastAsia" w:eastAsiaTheme="minorEastAsia"/>
                <w:lang w:val="en-US" w:eastAsia="zh-CN"/>
              </w:rPr>
            </w:pPr>
            <w:r>
              <w:rPr>
                <w:rFonts w:hint="eastAsia"/>
                <w:lang w:val="en-US" w:eastAsia="zh-CN"/>
              </w:rPr>
              <w:t>2</w:t>
            </w:r>
          </w:p>
        </w:tc>
        <w:tc>
          <w:tcPr>
            <w:tcW w:w="2852" w:type="pct"/>
          </w:tcPr>
          <w:p>
            <w:pPr>
              <w:spacing w:line="360" w:lineRule="auto"/>
            </w:pPr>
            <w:r>
              <w:rPr>
                <w:rFonts w:hint="eastAsia"/>
              </w:rPr>
              <w:t>《网络安全等级保护测评</w:t>
            </w:r>
            <w:r>
              <w:rPr>
                <w:rFonts w:hint="eastAsia"/>
                <w:lang w:val="en-US" w:eastAsia="zh-CN"/>
              </w:rPr>
              <w:t>三级</w:t>
            </w:r>
            <w:r>
              <w:rPr>
                <w:rFonts w:hint="eastAsia"/>
              </w:rPr>
              <w:t>报告》</w:t>
            </w:r>
          </w:p>
        </w:tc>
        <w:tc>
          <w:tcPr>
            <w:tcW w:w="1451" w:type="pct"/>
          </w:tcPr>
          <w:p>
            <w:pPr>
              <w:spacing w:line="360" w:lineRule="auto"/>
              <w:rPr>
                <w:rFonts w:hint="eastAsia"/>
              </w:rPr>
            </w:pPr>
            <w:r>
              <w:rPr>
                <w:rFonts w:hint="eastAsia"/>
                <w:lang w:val="en-US" w:eastAsia="zh-CN"/>
              </w:rPr>
              <w:t>1份/系统</w:t>
            </w:r>
          </w:p>
        </w:tc>
      </w:tr>
      <w:bookmarkEnd w:id="57"/>
    </w:tbl>
    <w:p>
      <w:pPr>
        <w:ind w:left="0" w:leftChars="0" w:firstLine="0" w:firstLineChars="0"/>
        <w:rPr>
          <w:rFonts w:hint="default" w:eastAsiaTheme="minorEastAsia"/>
          <w:highlight w:val="none"/>
          <w:lang w:val="en-US" w:eastAsia="zh-CN"/>
        </w:rPr>
      </w:pPr>
    </w:p>
    <w:sectPr>
      <w:headerReference r:id="rId12" w:type="first"/>
      <w:footerReference r:id="rId14" w:type="first"/>
      <w:headerReference r:id="rId11" w:type="default"/>
      <w:footerReference r:id="rId13" w:type="default"/>
      <w:pgSz w:w="11906" w:h="16838"/>
      <w:pgMar w:top="1440" w:right="1800" w:bottom="1440" w:left="1800" w:header="851" w:footer="992" w:gutter="0"/>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SimHei,Bold">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firstLine="360"/>
                          </w:pPr>
                          <w:r>
                            <w:rPr>
                              <w:rFonts w:hint="eastAsia"/>
                            </w:rPr>
                            <w:t xml:space="preserve">第 </w:t>
                          </w:r>
                          <w:r>
                            <w:fldChar w:fldCharType="begin"/>
                          </w:r>
                          <w:r>
                            <w:instrText xml:space="preserve">PAGE   \* MERGEFORMAT</w:instrText>
                          </w:r>
                          <w:r>
                            <w:fldChar w:fldCharType="separate"/>
                          </w:r>
                          <w:r>
                            <w:rPr>
                              <w:lang w:val="zh-CN"/>
                            </w:rPr>
                            <w:t>1</w:t>
                          </w:r>
                          <w:r>
                            <w:fldChar w:fldCharType="end"/>
                          </w:r>
                          <w: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10"/>
                      <w:ind w:firstLine="360"/>
                    </w:pPr>
                    <w:r>
                      <w:rPr>
                        <w:rFonts w:hint="eastAsia"/>
                      </w:rPr>
                      <w:t xml:space="preserve">第 </w:t>
                    </w:r>
                    <w:r>
                      <w:fldChar w:fldCharType="begin"/>
                    </w:r>
                    <w:r>
                      <w:instrText xml:space="preserve">PAGE   \* MERGEFORMAT</w:instrText>
                    </w:r>
                    <w:r>
                      <w:fldChar w:fldCharType="separate"/>
                    </w:r>
                    <w:r>
                      <w:rPr>
                        <w:lang w:val="zh-CN"/>
                      </w:rPr>
                      <w:t>1</w:t>
                    </w:r>
                    <w:r>
                      <w:fldChar w:fldCharType="end"/>
                    </w:r>
                    <w:r>
                      <w:t xml:space="preserve"> </w:t>
                    </w:r>
                    <w:r>
                      <w:rPr>
                        <w:rFonts w:hint="eastAsia"/>
                      </w:rP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86605010"/>
      <w:docPartObj>
        <w:docPartGallery w:val="autotext"/>
      </w:docPartObj>
    </w:sdtPr>
    <w:sdtContent>
      <w:p>
        <w:pPr>
          <w:pStyle w:val="10"/>
          <w:ind w:firstLine="360"/>
          <w:jc w:val="center"/>
          <w:rPr>
            <w:sz w:val="24"/>
            <w:szCs w:val="22"/>
          </w:rPr>
        </w:pPr>
        <w:r>
          <w:rPr>
            <w:lang w:val="zh-CN"/>
          </w:rPr>
          <w:t xml:space="preserve"> </w:t>
        </w:r>
        <w:r>
          <w:rPr>
            <w:rFonts w:hint="eastAsia"/>
            <w:lang w:val="zh-CN"/>
          </w:rPr>
          <w:t xml:space="preserve">第  </w:t>
        </w:r>
        <w:r>
          <w:rPr>
            <w:b/>
            <w:sz w:val="24"/>
            <w:szCs w:val="24"/>
          </w:rPr>
          <w:fldChar w:fldCharType="begin"/>
        </w:r>
        <w:r>
          <w:rPr>
            <w:b/>
          </w:rPr>
          <w:instrText xml:space="preserve">PAGE</w:instrText>
        </w:r>
        <w:r>
          <w:rPr>
            <w:b/>
            <w:sz w:val="24"/>
            <w:szCs w:val="24"/>
          </w:rPr>
          <w:fldChar w:fldCharType="separate"/>
        </w:r>
        <w:r>
          <w:rPr>
            <w:b/>
            <w:szCs w:val="24"/>
          </w:rPr>
          <w:t>5</w:t>
        </w:r>
        <w:r>
          <w:rPr>
            <w:b/>
            <w:sz w:val="24"/>
            <w:szCs w:val="24"/>
          </w:rPr>
          <w:fldChar w:fldCharType="end"/>
        </w:r>
        <w:r>
          <w:rPr>
            <w:lang w:val="zh-CN"/>
          </w:rPr>
          <w:t xml:space="preserve"> </w:t>
        </w:r>
        <w:r>
          <w:rPr>
            <w:rFonts w:hint="eastAsia"/>
            <w:lang w:val="zh-CN"/>
          </w:rPr>
          <w:t>页</w:t>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mc:AlternateContent>
        <mc:Choice Requires="wps">
          <w:drawing>
            <wp:anchor distT="0" distB="0" distL="114300" distR="114300" simplePos="0" relativeHeight="251659264" behindDoc="0" locked="0" layoutInCell="1" allowOverlap="1">
              <wp:simplePos x="0" y="0"/>
              <wp:positionH relativeFrom="margin">
                <wp:posOffset>2482215</wp:posOffset>
              </wp:positionH>
              <wp:positionV relativeFrom="paragraph">
                <wp:posOffset>-48260</wp:posOffset>
              </wp:positionV>
              <wp:extent cx="67818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6780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firstLine="270" w:firstLineChars="150"/>
                          </w:pPr>
                          <w:r>
                            <w:rPr>
                              <w:rFonts w:hint="eastAsia"/>
                            </w:rPr>
                            <w:t>第</w:t>
                          </w:r>
                          <w:r>
                            <w:fldChar w:fldCharType="begin"/>
                          </w:r>
                          <w:r>
                            <w:instrText xml:space="preserve"> PAGE  \* MERGEFORMAT </w:instrText>
                          </w:r>
                          <w:r>
                            <w:fldChar w:fldCharType="separate"/>
                          </w:r>
                          <w:r>
                            <w:t>1</w:t>
                          </w:r>
                          <w:r>
                            <w:fldChar w:fldCharType="end"/>
                          </w:r>
                          <w:r>
                            <w:rPr>
                              <w:rFonts w:hint="eastAsia"/>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5.45pt;margin-top:-3.8pt;height:144pt;width:53.4pt;mso-position-horizontal-relative:margin;z-index:251659264;mso-width-relative:page;mso-height-relative:page;" filled="f" stroked="f" coordsize="21600,21600" o:gfxdata="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fDz3rZAAAACgEAAA8AAAAAAAAAAQAgAAAAIgAAAGRycy9kb3ducmV2Lnht&#10;bFBLAQIUABQAAAAIAIdO4kALZA+VMQIAAFYEAAAOAAAAAAAAAAEAIAAAACgBAABkcnMvZTJvRG9j&#10;LnhtbFBLBQYAAAAABgAGAFkBAADLBQAAAAA=&#10;">
              <v:fill on="f" focussize="0,0"/>
              <v:stroke on="f" weight="0.5pt"/>
              <v:imagedata o:title=""/>
              <o:lock v:ext="edit" aspectratio="f"/>
              <v:textbox inset="0mm,0mm,0mm,0mm" style="mso-fit-shape-to-text:t;">
                <w:txbxContent>
                  <w:p>
                    <w:pPr>
                      <w:pStyle w:val="10"/>
                      <w:ind w:firstLine="270" w:firstLineChars="150"/>
                    </w:pPr>
                    <w:r>
                      <w:rPr>
                        <w:rFonts w:hint="eastAsia"/>
                      </w:rPr>
                      <w:t>第</w:t>
                    </w:r>
                    <w:r>
                      <w:fldChar w:fldCharType="begin"/>
                    </w:r>
                    <w:r>
                      <w:instrText xml:space="preserve"> PAGE  \* MERGEFORMAT </w:instrText>
                    </w:r>
                    <w:r>
                      <w:fldChar w:fldCharType="separate"/>
                    </w:r>
                    <w:r>
                      <w:t>1</w:t>
                    </w:r>
                    <w:r>
                      <w:fldChar w:fldCharType="end"/>
                    </w:r>
                    <w:r>
                      <w:rPr>
                        <w:rFonts w:hint="eastAsia"/>
                      </w:rPr>
                      <w:t>页</w:t>
                    </w:r>
                  </w:p>
                </w:txbxContent>
              </v:textbox>
            </v:shape>
          </w:pict>
        </mc:Fallback>
      </mc:AlternateContent>
    </w:r>
    <w:r>
      <w:rPr>
        <w:rFonts w:hint="eastAsia"/>
      </w:rPr>
      <w:t xml:space="preserve"> </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
    </w:sdtPr>
    <w:sdtContent>
      <w:p>
        <w:pPr>
          <w:pStyle w:val="11"/>
          <w:ind w:firstLine="0" w:firstLineChars="0"/>
          <w:jc w:val="left"/>
          <w:rPr>
            <w:b/>
            <w:bCs/>
            <w:sz w:val="24"/>
            <w:szCs w:val="24"/>
          </w:rPr>
        </w:pPr>
        <w:r>
          <w:drawing>
            <wp:inline distT="0" distB="0" distL="0" distR="0">
              <wp:extent cx="1739900" cy="313690"/>
              <wp:effectExtent l="0" t="0" r="12700" b="10160"/>
              <wp:docPr id="29" name="图片 8" descr="说明: 说明: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 descr="说明: 说明: LOGO.png"/>
                      <pic:cNvPicPr>
                        <a:picLocks noChangeAspect="1" noChangeArrowheads="1"/>
                      </pic:cNvPicPr>
                    </pic:nvPicPr>
                    <pic:blipFill>
                      <a:blip r:embed="rId1"/>
                      <a:srcRect/>
                      <a:stretch>
                        <a:fillRect/>
                      </a:stretch>
                    </pic:blipFill>
                    <pic:spPr>
                      <a:xfrm>
                        <a:off x="0" y="0"/>
                        <a:ext cx="1739900" cy="313690"/>
                      </a:xfrm>
                      <a:prstGeom prst="rect">
                        <a:avLst/>
                      </a:prstGeom>
                      <a:noFill/>
                      <a:ln w="9525">
                        <a:noFill/>
                        <a:miter lim="800000"/>
                        <a:headEnd/>
                        <a:tailEnd/>
                      </a:ln>
                    </pic:spPr>
                  </pic:pic>
                </a:graphicData>
              </a:graphic>
            </wp:inline>
          </w:drawing>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en-US" w:eastAsia="zh-CN"/>
          </w:rPr>
          <w:t>变电综合在线监测系统等保测评采购</w:t>
        </w:r>
        <w:r>
          <w:rPr>
            <w:lang w:val="zh-CN"/>
          </w:rPr>
          <w:t>-</w:t>
        </w:r>
        <w:r>
          <w:rPr>
            <w:rFonts w:hint="eastAsia"/>
            <w:lang w:val="zh-CN"/>
          </w:rPr>
          <w:t>技术规范书</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0" w:firstLineChars="0"/>
      <w:jc w:val="left"/>
      <w:rPr>
        <w:b/>
        <w:bCs/>
        <w:sz w:val="24"/>
        <w:szCs w:val="24"/>
      </w:rPr>
    </w:pPr>
    <w:r>
      <w:drawing>
        <wp:inline distT="0" distB="0" distL="0" distR="0">
          <wp:extent cx="1739900" cy="313690"/>
          <wp:effectExtent l="0" t="0" r="12700" b="10160"/>
          <wp:docPr id="3" name="图片 8" descr="说明: 说明: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说明: 说明: LOGO.png"/>
                  <pic:cNvPicPr>
                    <a:picLocks noChangeAspect="1" noChangeArrowheads="1"/>
                  </pic:cNvPicPr>
                </pic:nvPicPr>
                <pic:blipFill>
                  <a:blip r:embed="rId1"/>
                  <a:srcRect/>
                  <a:stretch>
                    <a:fillRect/>
                  </a:stretch>
                </pic:blipFill>
                <pic:spPr>
                  <a:xfrm>
                    <a:off x="0" y="0"/>
                    <a:ext cx="1739900" cy="313690"/>
                  </a:xfrm>
                  <a:prstGeom prst="rect">
                    <a:avLst/>
                  </a:prstGeom>
                  <a:noFill/>
                  <a:ln w="9525">
                    <a:noFill/>
                    <a:miter lim="800000"/>
                    <a:headEnd/>
                    <a:tailEnd/>
                  </a:ln>
                </pic:spPr>
              </pic:pic>
            </a:graphicData>
          </a:graphic>
        </wp:inline>
      </w:drawing>
    </w:r>
    <w:r>
      <w:rPr>
        <w:lang w:val="zh-CN"/>
      </w:rPr>
      <w:t xml:space="preserve">                 </w:t>
    </w:r>
    <w:r>
      <w:rPr>
        <w:rFonts w:hint="eastAsia"/>
        <w:lang w:val="en-US" w:eastAsia="zh-CN"/>
      </w:rPr>
      <w:t>变电综合在线监测系统等保测评采购</w:t>
    </w:r>
    <w:r>
      <w:rPr>
        <w:lang w:val="zh-CN"/>
      </w:rPr>
      <w:t>-</w:t>
    </w:r>
    <w:r>
      <w:rPr>
        <w:rFonts w:hint="eastAsia"/>
        <w:lang w:val="zh-CN"/>
      </w:rPr>
      <w:t>技术规范书</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3440812"/>
    </w:sdtPr>
    <w:sdtContent>
      <w:p>
        <w:pPr>
          <w:pStyle w:val="11"/>
          <w:ind w:firstLine="0" w:firstLineChars="0"/>
          <w:jc w:val="left"/>
          <w:rPr>
            <w:b/>
            <w:bCs/>
            <w:sz w:val="24"/>
            <w:szCs w:val="24"/>
          </w:rPr>
        </w:pPr>
        <w:r>
          <w:drawing>
            <wp:inline distT="0" distB="0" distL="0" distR="0">
              <wp:extent cx="1739900" cy="313690"/>
              <wp:effectExtent l="0" t="0" r="12700" b="10160"/>
              <wp:docPr id="6" name="图片 8" descr="说明: 说明: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说明: 说明: LOGO.png"/>
                      <pic:cNvPicPr>
                        <a:picLocks noChangeAspect="1" noChangeArrowheads="1"/>
                      </pic:cNvPicPr>
                    </pic:nvPicPr>
                    <pic:blipFill>
                      <a:blip r:embed="rId1"/>
                      <a:srcRect/>
                      <a:stretch>
                        <a:fillRect/>
                      </a:stretch>
                    </pic:blipFill>
                    <pic:spPr>
                      <a:xfrm>
                        <a:off x="0" y="0"/>
                        <a:ext cx="1739900" cy="313690"/>
                      </a:xfrm>
                      <a:prstGeom prst="rect">
                        <a:avLst/>
                      </a:prstGeom>
                      <a:noFill/>
                      <a:ln w="9525">
                        <a:noFill/>
                        <a:miter lim="800000"/>
                        <a:headEnd/>
                        <a:tailEnd/>
                      </a:ln>
                    </pic:spPr>
                  </pic:pic>
                </a:graphicData>
              </a:graphic>
            </wp:inline>
          </w:drawing>
        </w:r>
        <w:r>
          <w:rPr>
            <w:lang w:val="zh-CN"/>
          </w:rPr>
          <w:t xml:space="preserve"> </w:t>
        </w:r>
        <w:r>
          <w:rPr>
            <w:rFonts w:hint="eastAsia"/>
            <w:lang w:val="zh-CN"/>
          </w:rPr>
          <w:t xml:space="preserve">  </w:t>
        </w:r>
        <w:r>
          <w:rPr>
            <w:lang w:val="zh-CN"/>
          </w:rPr>
          <w:t xml:space="preserve">          </w:t>
        </w:r>
        <w:r>
          <w:rPr>
            <w:rFonts w:hint="eastAsia"/>
            <w:lang w:val="zh-CN"/>
          </w:rPr>
          <w:t xml:space="preserve"> </w:t>
        </w:r>
        <w:r>
          <w:rPr>
            <w:lang w:val="zh-CN"/>
          </w:rPr>
          <w:t xml:space="preserve">    </w:t>
        </w:r>
        <w:r>
          <w:rPr>
            <w:rFonts w:hint="eastAsia"/>
            <w:lang w:val="en-US" w:eastAsia="zh-CN"/>
          </w:rPr>
          <w:t>变电综合在线监测系统等保测评采购</w:t>
        </w:r>
        <w:r>
          <w:rPr>
            <w:lang w:val="zh-CN"/>
          </w:rPr>
          <w:t>-</w:t>
        </w:r>
        <w:r>
          <w:rPr>
            <w:rFonts w:hint="eastAsia"/>
            <w:lang w:val="zh-CN"/>
          </w:rPr>
          <w:t xml:space="preserve">技术规范书 </w:t>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0" w:firstLineChars="0"/>
      <w:jc w:val="left"/>
      <w:rPr>
        <w:b/>
        <w:bCs/>
        <w:sz w:val="24"/>
        <w:szCs w:val="24"/>
      </w:rPr>
    </w:pPr>
    <w:r>
      <w:drawing>
        <wp:inline distT="0" distB="0" distL="0" distR="0">
          <wp:extent cx="1739900" cy="313690"/>
          <wp:effectExtent l="0" t="0" r="12700" b="10160"/>
          <wp:docPr id="30" name="图片 8" descr="说明: 说明: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 descr="说明: 说明: LOGO.png"/>
                  <pic:cNvPicPr>
                    <a:picLocks noChangeAspect="1" noChangeArrowheads="1"/>
                  </pic:cNvPicPr>
                </pic:nvPicPr>
                <pic:blipFill>
                  <a:blip r:embed="rId1"/>
                  <a:srcRect/>
                  <a:stretch>
                    <a:fillRect/>
                  </a:stretch>
                </pic:blipFill>
                <pic:spPr>
                  <a:xfrm>
                    <a:off x="0" y="0"/>
                    <a:ext cx="1739900" cy="313690"/>
                  </a:xfrm>
                  <a:prstGeom prst="rect">
                    <a:avLst/>
                  </a:prstGeom>
                  <a:noFill/>
                  <a:ln w="9525">
                    <a:noFill/>
                    <a:miter lim="800000"/>
                    <a:headEnd/>
                    <a:tailEnd/>
                  </a:ln>
                </pic:spPr>
              </pic:pic>
            </a:graphicData>
          </a:graphic>
        </wp:inline>
      </w:drawing>
    </w:r>
    <w:r>
      <w:rPr>
        <w:lang w:val="zh-CN"/>
      </w:rPr>
      <w:t xml:space="preserve">                 </w:t>
    </w:r>
    <w:r>
      <w:rPr>
        <w:rFonts w:hint="eastAsia"/>
        <w:lang w:val="en-US" w:eastAsia="zh-CN"/>
      </w:rPr>
      <w:t>变电综合在线监测系统等保测评采购</w:t>
    </w:r>
    <w:r>
      <w:rPr>
        <w:lang w:val="zh-CN"/>
      </w:rPr>
      <w:t>-</w:t>
    </w:r>
    <w:r>
      <w:rPr>
        <w:rFonts w:hint="eastAsia"/>
        <w:lang w:val="zh-CN"/>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B644B"/>
    <w:multiLevelType w:val="multilevel"/>
    <w:tmpl w:val="D12B644B"/>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1">
    <w:nsid w:val="DCE88269"/>
    <w:multiLevelType w:val="multilevel"/>
    <w:tmpl w:val="DCE88269"/>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2">
    <w:nsid w:val="E8151993"/>
    <w:multiLevelType w:val="multilevel"/>
    <w:tmpl w:val="E8151993"/>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3">
    <w:nsid w:val="0DD88354"/>
    <w:multiLevelType w:val="multilevel"/>
    <w:tmpl w:val="0DD88354"/>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4">
    <w:nsid w:val="2DF59CB3"/>
    <w:multiLevelType w:val="multilevel"/>
    <w:tmpl w:val="2DF59CB3"/>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5">
    <w:nsid w:val="599D4D2C"/>
    <w:multiLevelType w:val="multilevel"/>
    <w:tmpl w:val="599D4D2C"/>
    <w:lvl w:ilvl="0" w:tentative="0">
      <w:start w:val="1"/>
      <w:numFmt w:val="bullet"/>
      <w:lvlText w:val=""/>
      <w:lvlJc w:val="left"/>
      <w:pPr>
        <w:tabs>
          <w:tab w:val="left" w:pos="0"/>
        </w:tabs>
        <w:ind w:left="960" w:hanging="480"/>
      </w:pPr>
      <w:rPr>
        <w:rFonts w:hint="default" w:ascii="Wingdings" w:hAnsi="Wingdings" w:cs="Wingdings"/>
      </w:rPr>
    </w:lvl>
    <w:lvl w:ilvl="1" w:tentative="0">
      <w:start w:val="1"/>
      <w:numFmt w:val="lowerLetter"/>
      <w:lvlText w:val="%2)"/>
      <w:lvlJc w:val="left"/>
      <w:pPr>
        <w:tabs>
          <w:tab w:val="left" w:pos="0"/>
        </w:tabs>
        <w:ind w:left="1440" w:hanging="480"/>
      </w:pPr>
      <w:rPr>
        <w:rFonts w:hint="default" w:ascii="Times New Roman" w:hAnsi="Times New Roman" w:cs="Times New Roman"/>
      </w:rPr>
    </w:lvl>
    <w:lvl w:ilvl="2" w:tentative="0">
      <w:start w:val="1"/>
      <w:numFmt w:val="lowerRoman"/>
      <w:lvlText w:val="%3."/>
      <w:lvlJc w:val="right"/>
      <w:pPr>
        <w:tabs>
          <w:tab w:val="left" w:pos="0"/>
        </w:tabs>
        <w:ind w:left="1920" w:hanging="480"/>
      </w:pPr>
      <w:rPr>
        <w:rFonts w:hint="default" w:ascii="Times New Roman" w:hAnsi="Times New Roman" w:cs="Times New Roman"/>
      </w:rPr>
    </w:lvl>
    <w:lvl w:ilvl="3" w:tentative="0">
      <w:start w:val="1"/>
      <w:numFmt w:val="decimal"/>
      <w:lvlText w:val="%4."/>
      <w:lvlJc w:val="left"/>
      <w:pPr>
        <w:tabs>
          <w:tab w:val="left" w:pos="0"/>
        </w:tabs>
        <w:ind w:left="2400" w:hanging="480"/>
      </w:pPr>
      <w:rPr>
        <w:rFonts w:hint="default" w:ascii="Times New Roman" w:hAnsi="Times New Roman" w:cs="Times New Roman"/>
      </w:rPr>
    </w:lvl>
    <w:lvl w:ilvl="4" w:tentative="0">
      <w:start w:val="1"/>
      <w:numFmt w:val="lowerLetter"/>
      <w:lvlText w:val="%5)"/>
      <w:lvlJc w:val="left"/>
      <w:pPr>
        <w:tabs>
          <w:tab w:val="left" w:pos="0"/>
        </w:tabs>
        <w:ind w:left="2880" w:hanging="480"/>
      </w:pPr>
      <w:rPr>
        <w:rFonts w:hint="default" w:ascii="Times New Roman" w:hAnsi="Times New Roman" w:cs="Times New Roman"/>
      </w:rPr>
    </w:lvl>
    <w:lvl w:ilvl="5" w:tentative="0">
      <w:start w:val="1"/>
      <w:numFmt w:val="lowerRoman"/>
      <w:lvlText w:val="%6."/>
      <w:lvlJc w:val="right"/>
      <w:pPr>
        <w:tabs>
          <w:tab w:val="left" w:pos="0"/>
        </w:tabs>
        <w:ind w:left="3360" w:hanging="480"/>
      </w:pPr>
      <w:rPr>
        <w:rFonts w:hint="default" w:ascii="Times New Roman" w:hAnsi="Times New Roman" w:cs="Times New Roman"/>
      </w:rPr>
    </w:lvl>
    <w:lvl w:ilvl="6" w:tentative="0">
      <w:start w:val="1"/>
      <w:numFmt w:val="decimal"/>
      <w:lvlText w:val="%7."/>
      <w:lvlJc w:val="left"/>
      <w:pPr>
        <w:tabs>
          <w:tab w:val="left" w:pos="0"/>
        </w:tabs>
        <w:ind w:left="3840" w:hanging="480"/>
      </w:pPr>
      <w:rPr>
        <w:rFonts w:hint="default" w:ascii="Times New Roman" w:hAnsi="Times New Roman" w:cs="Times New Roman"/>
      </w:rPr>
    </w:lvl>
    <w:lvl w:ilvl="7" w:tentative="0">
      <w:start w:val="1"/>
      <w:numFmt w:val="lowerLetter"/>
      <w:lvlText w:val="%8)"/>
      <w:lvlJc w:val="left"/>
      <w:pPr>
        <w:tabs>
          <w:tab w:val="left" w:pos="0"/>
        </w:tabs>
        <w:ind w:left="4320" w:hanging="480"/>
      </w:pPr>
      <w:rPr>
        <w:rFonts w:hint="default" w:ascii="Times New Roman" w:hAnsi="Times New Roman" w:cs="Times New Roman"/>
      </w:rPr>
    </w:lvl>
    <w:lvl w:ilvl="8" w:tentative="0">
      <w:start w:val="1"/>
      <w:numFmt w:val="lowerRoman"/>
      <w:lvlText w:val="%9."/>
      <w:lvlJc w:val="right"/>
      <w:pPr>
        <w:tabs>
          <w:tab w:val="left" w:pos="0"/>
        </w:tabs>
        <w:ind w:left="4800" w:hanging="480"/>
      </w:pPr>
      <w:rPr>
        <w:rFonts w:hint="default" w:ascii="Times New Roman" w:hAnsi="Times New Roman" w:cs="Times New Roman"/>
      </w:rPr>
    </w:lvl>
  </w:abstractNum>
  <w:abstractNum w:abstractNumId="6">
    <w:nsid w:val="6A01C5BD"/>
    <w:multiLevelType w:val="multilevel"/>
    <w:tmpl w:val="6A01C5BD"/>
    <w:lvl w:ilvl="0" w:tentative="0">
      <w:start w:val="1"/>
      <w:numFmt w:val="decimal"/>
      <w:pStyle w:val="3"/>
      <w:lvlText w:val="%1."/>
      <w:lvlJc w:val="left"/>
      <w:pPr>
        <w:ind w:left="432" w:hanging="432"/>
      </w:pPr>
      <w:rPr>
        <w:rFonts w:hint="default"/>
      </w:rPr>
    </w:lvl>
    <w:lvl w:ilvl="1" w:tentative="0">
      <w:start w:val="1"/>
      <w:numFmt w:val="decimal"/>
      <w:pStyle w:val="4"/>
      <w:lvlText w:val="%1.%2."/>
      <w:lvlJc w:val="left"/>
      <w:pPr>
        <w:ind w:left="815" w:hanging="575"/>
      </w:pPr>
      <w:rPr>
        <w:rFonts w:hint="default"/>
        <w:color w:val="auto"/>
      </w:rPr>
    </w:lvl>
    <w:lvl w:ilvl="2" w:tentative="0">
      <w:start w:val="1"/>
      <w:numFmt w:val="decimal"/>
      <w:pStyle w:val="5"/>
      <w:lvlText w:val="%1.%2.%3."/>
      <w:lvlJc w:val="left"/>
      <w:pPr>
        <w:ind w:left="144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2"/>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0"/>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ZkMDhlNDM2MTY0NGFjZjFiY2UwNzg3MmQwN2M2OTAifQ=="/>
  </w:docVars>
  <w:rsids>
    <w:rsidRoot w:val="2C62353D"/>
    <w:rsid w:val="00896501"/>
    <w:rsid w:val="02F24EE2"/>
    <w:rsid w:val="03F84410"/>
    <w:rsid w:val="040A59AF"/>
    <w:rsid w:val="06586187"/>
    <w:rsid w:val="07757710"/>
    <w:rsid w:val="07D7263A"/>
    <w:rsid w:val="0AF40E05"/>
    <w:rsid w:val="0C530DEB"/>
    <w:rsid w:val="0C9C373F"/>
    <w:rsid w:val="0CBF5B3A"/>
    <w:rsid w:val="0D213998"/>
    <w:rsid w:val="0D8558BB"/>
    <w:rsid w:val="0F5C32C3"/>
    <w:rsid w:val="10E44E52"/>
    <w:rsid w:val="11270F02"/>
    <w:rsid w:val="12E14C45"/>
    <w:rsid w:val="15556B66"/>
    <w:rsid w:val="166D339A"/>
    <w:rsid w:val="16910324"/>
    <w:rsid w:val="172F4118"/>
    <w:rsid w:val="17D42B86"/>
    <w:rsid w:val="19460078"/>
    <w:rsid w:val="1A7673F8"/>
    <w:rsid w:val="1BAA1D73"/>
    <w:rsid w:val="1BC5039F"/>
    <w:rsid w:val="1C482B6C"/>
    <w:rsid w:val="1D141F38"/>
    <w:rsid w:val="1DEE0CA9"/>
    <w:rsid w:val="1E620FE4"/>
    <w:rsid w:val="1F3D584D"/>
    <w:rsid w:val="1FE156A0"/>
    <w:rsid w:val="206F4787"/>
    <w:rsid w:val="20D6351B"/>
    <w:rsid w:val="21CC2901"/>
    <w:rsid w:val="221A7C86"/>
    <w:rsid w:val="22437C38"/>
    <w:rsid w:val="22CE1534"/>
    <w:rsid w:val="233F124C"/>
    <w:rsid w:val="268C02CD"/>
    <w:rsid w:val="26F606C4"/>
    <w:rsid w:val="293A47F5"/>
    <w:rsid w:val="2C62353D"/>
    <w:rsid w:val="2CED7F19"/>
    <w:rsid w:val="2D9577C3"/>
    <w:rsid w:val="2FCD58D1"/>
    <w:rsid w:val="2FD463CE"/>
    <w:rsid w:val="304C544B"/>
    <w:rsid w:val="315B5608"/>
    <w:rsid w:val="31A10805"/>
    <w:rsid w:val="32DD5BBE"/>
    <w:rsid w:val="336C6F09"/>
    <w:rsid w:val="34972557"/>
    <w:rsid w:val="34BB5F3A"/>
    <w:rsid w:val="353173CB"/>
    <w:rsid w:val="353E1034"/>
    <w:rsid w:val="368158FA"/>
    <w:rsid w:val="372B776E"/>
    <w:rsid w:val="37A934FF"/>
    <w:rsid w:val="38FF51E2"/>
    <w:rsid w:val="3BE7089C"/>
    <w:rsid w:val="3C8C1362"/>
    <w:rsid w:val="3D1B373E"/>
    <w:rsid w:val="3FFD6B0B"/>
    <w:rsid w:val="40000BC9"/>
    <w:rsid w:val="418905DC"/>
    <w:rsid w:val="43032BD8"/>
    <w:rsid w:val="44B32817"/>
    <w:rsid w:val="45894D4F"/>
    <w:rsid w:val="45A00251"/>
    <w:rsid w:val="45EB6847"/>
    <w:rsid w:val="47330D5C"/>
    <w:rsid w:val="49924E78"/>
    <w:rsid w:val="49BE170B"/>
    <w:rsid w:val="4AD10DB8"/>
    <w:rsid w:val="4BD845FD"/>
    <w:rsid w:val="4D292E6F"/>
    <w:rsid w:val="4D4E36D4"/>
    <w:rsid w:val="4D5869F8"/>
    <w:rsid w:val="4EC436C7"/>
    <w:rsid w:val="554D79F3"/>
    <w:rsid w:val="558746DF"/>
    <w:rsid w:val="5E086952"/>
    <w:rsid w:val="60841264"/>
    <w:rsid w:val="60870181"/>
    <w:rsid w:val="636070F3"/>
    <w:rsid w:val="642052D3"/>
    <w:rsid w:val="652F2636"/>
    <w:rsid w:val="669B722F"/>
    <w:rsid w:val="67221143"/>
    <w:rsid w:val="692C3D96"/>
    <w:rsid w:val="6B6D29E4"/>
    <w:rsid w:val="6B917708"/>
    <w:rsid w:val="6D6D7889"/>
    <w:rsid w:val="6D8249F8"/>
    <w:rsid w:val="6E480B7B"/>
    <w:rsid w:val="71465837"/>
    <w:rsid w:val="74512765"/>
    <w:rsid w:val="74C23D1D"/>
    <w:rsid w:val="753F09EE"/>
    <w:rsid w:val="75D373DE"/>
    <w:rsid w:val="768C460E"/>
    <w:rsid w:val="77F812E1"/>
    <w:rsid w:val="782B0837"/>
    <w:rsid w:val="790252D0"/>
    <w:rsid w:val="7907149F"/>
    <w:rsid w:val="7A2355F7"/>
    <w:rsid w:val="7B5754EB"/>
    <w:rsid w:val="7C9838F9"/>
    <w:rsid w:val="7DC1685E"/>
    <w:rsid w:val="7F397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1124" w:firstLineChars="200"/>
      <w:jc w:val="both"/>
    </w:pPr>
    <w:rPr>
      <w:rFonts w:asciiTheme="minorHAnsi" w:hAnsiTheme="minorHAnsi" w:eastAsiaTheme="minorEastAsia" w:cstheme="minorBidi"/>
      <w:kern w:val="2"/>
      <w:sz w:val="24"/>
      <w:szCs w:val="22"/>
      <w:lang w:val="en-US" w:eastAsia="zh-CN" w:bidi="ar-SA"/>
    </w:rPr>
  </w:style>
  <w:style w:type="paragraph" w:styleId="3">
    <w:name w:val="heading 1"/>
    <w:next w:val="1"/>
    <w:qFormat/>
    <w:uiPriority w:val="0"/>
    <w:pPr>
      <w:keepNext/>
      <w:keepLines/>
      <w:numPr>
        <w:ilvl w:val="0"/>
        <w:numId w:val="1"/>
      </w:numPr>
      <w:outlineLvl w:val="0"/>
    </w:pPr>
    <w:rPr>
      <w:rFonts w:ascii="Calibri" w:hAnsi="Calibri" w:eastAsia="黑体" w:cstheme="minorBidi"/>
      <w:b/>
      <w:bCs/>
      <w:kern w:val="44"/>
      <w:sz w:val="30"/>
      <w:szCs w:val="44"/>
      <w:lang w:val="en-US" w:eastAsia="zh-CN" w:bidi="ar-SA"/>
    </w:rPr>
  </w:style>
  <w:style w:type="paragraph" w:styleId="4">
    <w:name w:val="heading 2"/>
    <w:next w:val="1"/>
    <w:unhideWhenUsed/>
    <w:qFormat/>
    <w:uiPriority w:val="0"/>
    <w:pPr>
      <w:keepNext/>
      <w:keepLines/>
      <w:numPr>
        <w:ilvl w:val="1"/>
        <w:numId w:val="1"/>
      </w:numPr>
      <w:outlineLvl w:val="1"/>
    </w:pPr>
    <w:rPr>
      <w:rFonts w:eastAsia="黑体" w:asciiTheme="majorHAnsi" w:hAnsiTheme="majorHAnsi" w:cstheme="majorBidi"/>
      <w:b/>
      <w:bCs/>
      <w:sz w:val="28"/>
      <w:szCs w:val="32"/>
      <w:lang w:val="en-US" w:eastAsia="zh-CN" w:bidi="ar-SA"/>
    </w:rPr>
  </w:style>
  <w:style w:type="paragraph" w:styleId="5">
    <w:name w:val="heading 3"/>
    <w:next w:val="1"/>
    <w:link w:val="22"/>
    <w:unhideWhenUsed/>
    <w:qFormat/>
    <w:uiPriority w:val="0"/>
    <w:pPr>
      <w:keepNext/>
      <w:keepLines/>
      <w:numPr>
        <w:ilvl w:val="2"/>
        <w:numId w:val="1"/>
      </w:numPr>
      <w:outlineLvl w:val="2"/>
    </w:pPr>
    <w:rPr>
      <w:rFonts w:ascii="Calibri" w:hAnsi="Calibri" w:eastAsia="黑体" w:cstheme="minorBidi"/>
      <w:b/>
      <w:bCs/>
      <w:sz w:val="28"/>
      <w:szCs w:val="32"/>
      <w:lang w:val="en-US" w:eastAsia="zh-CN" w:bidi="ar-SA"/>
    </w:rPr>
  </w:style>
  <w:style w:type="paragraph" w:styleId="6">
    <w:name w:val="heading 4"/>
    <w:next w:val="2"/>
    <w:unhideWhenUsed/>
    <w:qFormat/>
    <w:uiPriority w:val="9"/>
    <w:pPr>
      <w:keepNext/>
      <w:keepLines/>
      <w:numPr>
        <w:ilvl w:val="3"/>
        <w:numId w:val="1"/>
      </w:numPr>
      <w:spacing w:line="360" w:lineRule="auto"/>
      <w:outlineLvl w:val="3"/>
    </w:pPr>
    <w:rPr>
      <w:rFonts w:eastAsia="黑体" w:asciiTheme="majorHAnsi" w:hAnsiTheme="majorHAnsi" w:cstheme="majorBidi"/>
      <w:b/>
      <w:bCs/>
      <w:sz w:val="28"/>
      <w:szCs w:val="28"/>
      <w:lang w:val="en-US" w:eastAsia="zh-CN" w:bidi="ar-SA"/>
    </w:rPr>
  </w:style>
  <w:style w:type="paragraph" w:styleId="2">
    <w:name w:val="heading 5"/>
    <w:basedOn w:val="1"/>
    <w:next w:val="1"/>
    <w:qFormat/>
    <w:uiPriority w:val="9"/>
    <w:pPr>
      <w:keepNext/>
      <w:keepLines/>
      <w:numPr>
        <w:ilvl w:val="4"/>
        <w:numId w:val="1"/>
      </w:numPr>
      <w:spacing w:line="360" w:lineRule="auto"/>
      <w:outlineLvl w:val="4"/>
    </w:pPr>
    <w:rPr>
      <w:rFonts w:ascii="Calibri" w:hAnsi="Calibri" w:eastAsia="宋体" w:cstheme="minorBidi"/>
      <w:b/>
      <w:sz w:val="24"/>
      <w:lang w:val="en-US" w:eastAsia="zh-CN" w:bidi="ar-SA"/>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firstLineChars="200"/>
    </w:pPr>
    <w:rPr>
      <w:rFonts w:ascii="Times New Roman" w:hAnsi="Times New Roman"/>
      <w:kern w:val="0"/>
      <w:sz w:val="20"/>
      <w:szCs w:val="24"/>
    </w:rPr>
  </w:style>
  <w:style w:type="paragraph" w:styleId="8">
    <w:name w:val="annotation text"/>
    <w:basedOn w:val="1"/>
    <w:qFormat/>
    <w:uiPriority w:val="0"/>
    <w:pPr>
      <w:jc w:val="left"/>
    </w:pPr>
  </w:style>
  <w:style w:type="paragraph" w:styleId="9">
    <w:name w:val="Body Text"/>
    <w:basedOn w:val="1"/>
    <w:next w:val="1"/>
    <w:qFormat/>
    <w:uiPriority w:val="99"/>
    <w:pPr>
      <w:spacing w:after="120"/>
    </w:pPr>
    <w:rPr>
      <w:rFonts w:ascii="Times New Roman" w:hAnsi="Times New Roman"/>
      <w:szCs w:val="20"/>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style>
  <w:style w:type="paragraph" w:styleId="13">
    <w:name w:val="toc 2"/>
    <w:basedOn w:val="1"/>
    <w:next w:val="1"/>
    <w:unhideWhenUsed/>
    <w:qFormat/>
    <w:uiPriority w:val="39"/>
    <w:pPr>
      <w:ind w:left="420" w:leftChars="200"/>
    </w:pPr>
  </w:style>
  <w:style w:type="paragraph" w:styleId="14">
    <w:name w:val="Normal (Web)"/>
    <w:basedOn w:val="1"/>
    <w:unhideWhenUsed/>
    <w:qFormat/>
    <w:uiPriority w:val="99"/>
    <w:pPr>
      <w:widowControl/>
      <w:spacing w:before="100" w:beforeAutospacing="1" w:after="100" w:afterAutospacing="1"/>
      <w:ind w:firstLine="0" w:firstLineChars="0"/>
      <w:jc w:val="left"/>
    </w:pPr>
    <w:rPr>
      <w:rFonts w:ascii="宋体" w:hAnsi="宋体" w:eastAsia="宋体" w:cs="宋体"/>
      <w:kern w:val="0"/>
      <w:szCs w:val="24"/>
    </w:rPr>
  </w:style>
  <w:style w:type="paragraph" w:styleId="15">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qFormat/>
    <w:uiPriority w:val="0"/>
    <w:rPr>
      <w:b/>
    </w:rPr>
  </w:style>
  <w:style w:type="paragraph" w:customStyle="1" w:styleId="20">
    <w:name w:val="form-control-static8"/>
    <w:basedOn w:val="1"/>
    <w:qFormat/>
    <w:uiPriority w:val="0"/>
    <w:pPr>
      <w:jc w:val="left"/>
    </w:pPr>
    <w:rPr>
      <w:rFonts w:cs="Times New Roman"/>
      <w:kern w:val="0"/>
    </w:rPr>
  </w:style>
  <w:style w:type="paragraph" w:styleId="21">
    <w:name w:val="List Paragraph"/>
    <w:basedOn w:val="1"/>
    <w:qFormat/>
    <w:uiPriority w:val="34"/>
    <w:pPr>
      <w:ind w:firstLine="420"/>
    </w:pPr>
  </w:style>
  <w:style w:type="character" w:customStyle="1" w:styleId="22">
    <w:name w:val="标题 3 字符1"/>
    <w:link w:val="5"/>
    <w:qFormat/>
    <w:uiPriority w:val="0"/>
    <w:rPr>
      <w:rFonts w:ascii="Calibri" w:hAnsi="Calibri" w:eastAsia="黑体" w:cstheme="minorBidi"/>
      <w:b/>
      <w:bCs/>
      <w:sz w:val="28"/>
      <w:szCs w:val="32"/>
      <w:lang w:val="en-US" w:eastAsia="zh-CN" w:bidi="ar-SA"/>
    </w:rPr>
  </w:style>
  <w:style w:type="paragraph" w:customStyle="1" w:styleId="23">
    <w:name w:val="新正文"/>
    <w:basedOn w:val="1"/>
    <w:qFormat/>
    <w:uiPriority w:val="0"/>
    <w:pPr>
      <w:spacing w:line="360" w:lineRule="auto"/>
      <w:ind w:firstLine="480" w:firstLineChars="200"/>
    </w:pPr>
    <w:rPr>
      <w:rFonts w:ascii="Calibri" w:hAnsi="Calibri"/>
      <w:sz w:val="24"/>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14952</Words>
  <Characters>15322</Characters>
  <Lines>0</Lines>
  <Paragraphs>0</Paragraphs>
  <TotalTime>24</TotalTime>
  <ScaleCrop>false</ScaleCrop>
  <LinksUpToDate>false</LinksUpToDate>
  <CharactersWithSpaces>16035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2023-06-02T00:38:00Z</dcterms:created>
  <dc:creator>刘彦</dc:creator>
  <cp:lastModifiedBy>386EAA71950F4289A435FA036EEEE6D4</cp:lastModifiedBy>
  <dcterms:modified xsi:type="dcterms:W3CDTF">2024-04-26T10:24:06Z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66A46BB1C8B2468195484F39DD0DD15B_13</vt:lpwstr>
  </property>
</Properties>
</file>