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343936"/>
      <w:bookmarkStart w:id="1" w:name="_Toc339216642"/>
      <w:bookmarkStart w:id="2" w:name="_Toc339216643"/>
      <w:bookmarkStart w:id="3" w:name="_Toc274902993"/>
      <w:bookmarkStart w:id="4" w:name="_Toc371343937"/>
      <w:bookmarkStart w:id="5" w:name="_Toc274903054"/>
      <w:bookmarkStart w:id="6" w:name="_Toc371453820"/>
      <w:bookmarkStart w:id="7" w:name="_Toc244916004"/>
      <w:bookmarkStart w:id="8" w:name="_Toc323572795"/>
      <w:bookmarkStart w:id="9" w:name="_Toc371453819"/>
      <w:r>
        <w:drawing>
          <wp:anchor distT="0" distB="0" distL="114300" distR="114300" simplePos="0" relativeHeight="251659264" behindDoc="1" locked="0" layoutInCell="1" allowOverlap="1">
            <wp:simplePos x="0" y="0"/>
            <wp:positionH relativeFrom="column">
              <wp:posOffset>-1229360</wp:posOffset>
            </wp:positionH>
            <wp:positionV relativeFrom="paragraph">
              <wp:posOffset>-561340</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9"/>
                    <a:stretch>
                      <a:fillRect/>
                    </a:stretch>
                  </pic:blipFill>
                  <pic:spPr>
                    <a:xfrm>
                      <a:off x="0" y="0"/>
                      <a:ext cx="7886700" cy="10948035"/>
                    </a:xfrm>
                    <a:prstGeom prst="rect">
                      <a:avLst/>
                    </a:prstGeom>
                    <a:noFill/>
                    <a:ln>
                      <a:noFill/>
                    </a:ln>
                  </pic:spPr>
                </pic:pic>
              </a:graphicData>
            </a:graphic>
          </wp:anchor>
        </w:drawing>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color w:val="auto"/>
          <w:sz w:val="32"/>
          <w:szCs w:val="32"/>
          <w:highlight w:val="none"/>
        </w:rPr>
      </w:pPr>
      <w:r>
        <w:rPr>
          <w:rFonts w:hint="eastAsia" w:ascii="宋体" w:hAnsi="宋体" w:eastAsia="宋体" w:cs="宋体"/>
          <w:b/>
          <w:color w:val="auto"/>
          <w:sz w:val="44"/>
          <w:szCs w:val="44"/>
          <w:highlight w:val="none"/>
          <w:lang w:eastAsia="zh-CN"/>
        </w:rPr>
        <w:t>柳州局气体继电器校验技术服务采购</w:t>
      </w:r>
      <w:r>
        <w:rPr>
          <w:rFonts w:hint="eastAsia" w:ascii="宋体" w:hAnsi="宋体" w:eastAsia="宋体" w:cs="宋体"/>
          <w:b/>
          <w:color w:val="auto"/>
          <w:sz w:val="44"/>
          <w:szCs w:val="44"/>
          <w:highlight w:val="none"/>
        </w:rPr>
        <w:t>询价材料</w:t>
      </w: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3</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344042"/>
      <w:bookmarkStart w:id="11" w:name="_Toc369269815"/>
      <w:bookmarkStart w:id="12" w:name="_Toc399839020"/>
      <w:bookmarkStart w:id="13" w:name="_Toc371153697"/>
      <w:bookmarkStart w:id="14" w:name="_Toc372699294"/>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eastAsia" w:ascii="宋体" w:hAnsi="宋体"/>
          <w:color w:val="FF0000"/>
          <w:sz w:val="24"/>
          <w:highlight w:val="none"/>
          <w:lang w:eastAsia="zh-CN"/>
        </w:rPr>
      </w:pPr>
      <w:r>
        <w:rPr>
          <w:rFonts w:hint="eastAsia" w:ascii="宋体" w:hAnsi="宋体"/>
          <w:color w:val="FF0000"/>
          <w:sz w:val="24"/>
          <w:highlight w:val="none"/>
          <w:lang w:eastAsia="zh-CN"/>
        </w:rPr>
        <w:t>柳州局气体继电器校验技术服务采购。</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tbl>
      <w:tblPr>
        <w:tblStyle w:val="19"/>
        <w:tblW w:w="83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911"/>
        <w:gridCol w:w="2964"/>
        <w:gridCol w:w="747"/>
        <w:gridCol w:w="906"/>
        <w:gridCol w:w="1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4" w:hRule="atLeast"/>
        </w:trPr>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物资名称</w:t>
            </w:r>
          </w:p>
        </w:tc>
        <w:tc>
          <w:tcPr>
            <w:tcW w:w="296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lang w:eastAsia="zh-CN"/>
              </w:rPr>
            </w:pPr>
            <w:r>
              <w:rPr>
                <w:rFonts w:hint="eastAsia" w:ascii="宋体" w:hAnsi="宋体" w:cs="宋体"/>
                <w:b/>
                <w:i w:val="0"/>
                <w:color w:val="000000"/>
                <w:sz w:val="22"/>
                <w:szCs w:val="22"/>
                <w:u w:val="none"/>
                <w:lang w:eastAsia="zh-CN"/>
              </w:rPr>
              <w:t>规格型号</w:t>
            </w:r>
          </w:p>
        </w:tc>
        <w:tc>
          <w:tcPr>
            <w:tcW w:w="74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计量单位</w:t>
            </w:r>
          </w:p>
        </w:tc>
        <w:tc>
          <w:tcPr>
            <w:tcW w:w="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需求数量</w:t>
            </w:r>
          </w:p>
        </w:tc>
        <w:tc>
          <w:tcPr>
            <w:tcW w:w="1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i w:val="0"/>
                <w:color w:val="000000"/>
                <w:kern w:val="0"/>
                <w:sz w:val="22"/>
                <w:szCs w:val="22"/>
                <w:u w:val="none"/>
                <w:lang w:val="en-US" w:eastAsia="zh-CN" w:bidi="ar"/>
              </w:rPr>
            </w:pPr>
            <w:r>
              <w:rPr>
                <w:rFonts w:hint="eastAsia" w:ascii="宋体" w:hAnsi="宋体" w:eastAsia="宋体" w:cs="宋体"/>
                <w:b/>
                <w:i w:val="0"/>
                <w:color w:val="000000"/>
                <w:kern w:val="0"/>
                <w:sz w:val="22"/>
                <w:szCs w:val="22"/>
                <w:u w:val="none"/>
                <w:lang w:val="en-US" w:eastAsia="zh-CN" w:bidi="ar"/>
              </w:rPr>
              <w:t>参考图片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75" w:hRule="atLeast"/>
        </w:trPr>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jc w:val="left"/>
              <w:rPr>
                <w:rFonts w:hint="eastAsia" w:ascii="宋体" w:hAnsi="宋体"/>
                <w:color w:val="FF0000"/>
                <w:sz w:val="24"/>
                <w:highlight w:val="none"/>
                <w:lang w:eastAsia="zh-CN"/>
              </w:rPr>
            </w:pPr>
            <w:r>
              <w:rPr>
                <w:rFonts w:hint="eastAsia" w:ascii="宋体" w:hAnsi="宋体"/>
                <w:color w:val="FF0000"/>
                <w:sz w:val="24"/>
                <w:highlight w:val="none"/>
                <w:lang w:eastAsia="zh-CN"/>
              </w:rPr>
              <w:t>柳州局气体继电器校验技术服务采购</w:t>
            </w:r>
          </w:p>
          <w:p>
            <w:pPr>
              <w:keepNext w:val="0"/>
              <w:keepLines w:val="0"/>
              <w:widowControl/>
              <w:suppressLineNumbers w:val="0"/>
              <w:spacing w:line="240" w:lineRule="auto"/>
              <w:jc w:val="center"/>
              <w:textAlignment w:val="center"/>
              <w:rPr>
                <w:rFonts w:hint="eastAsia" w:ascii="宋体" w:hAnsi="宋体" w:eastAsia="宋体" w:cs="宋体"/>
                <w:i w:val="0"/>
                <w:color w:val="000000"/>
                <w:sz w:val="20"/>
                <w:szCs w:val="20"/>
                <w:u w:val="none"/>
              </w:rPr>
            </w:pPr>
          </w:p>
        </w:tc>
        <w:tc>
          <w:tcPr>
            <w:tcW w:w="2964"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rPr>
                <w:rFonts w:hint="eastAsia" w:ascii="宋体" w:hAnsi="宋体"/>
                <w:b/>
                <w:bCs/>
                <w:color w:val="auto"/>
                <w:sz w:val="24"/>
                <w:highlight w:val="none"/>
              </w:rPr>
            </w:pPr>
            <w:r>
              <w:rPr>
                <w:rFonts w:hint="eastAsia" w:ascii="宋体" w:hAnsi="宋体"/>
                <w:color w:val="auto"/>
                <w:sz w:val="24"/>
                <w:highlight w:val="none"/>
                <w:lang w:eastAsia="zh-CN"/>
              </w:rPr>
              <w:t>落实超高压公司今冬明春年检修重点设备、重点项目及相关工作管控要求，对柳州所辖各变电站的气体继电器进行抽检，河池站、来宾站、桂林站、柳东站、如画站、柳州站、桂中站2024年计划抽验11个。</w:t>
            </w:r>
          </w:p>
          <w:p>
            <w:pPr>
              <w:keepNext w:val="0"/>
              <w:keepLines w:val="0"/>
              <w:widowControl/>
              <w:suppressLineNumbers w:val="0"/>
              <w:spacing w:line="240" w:lineRule="auto"/>
              <w:jc w:val="left"/>
              <w:textAlignment w:val="center"/>
              <w:rPr>
                <w:rFonts w:hint="default" w:ascii="宋体" w:hAnsi="宋体"/>
                <w:color w:val="auto"/>
                <w:sz w:val="24"/>
                <w:highlight w:val="none"/>
                <w:lang w:val="en-US" w:eastAsia="zh-CN"/>
              </w:rPr>
            </w:pPr>
          </w:p>
        </w:tc>
        <w:tc>
          <w:tcPr>
            <w:tcW w:w="747"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bottom"/>
              <w:rPr>
                <w:rFonts w:hint="eastAsia" w:ascii="宋体" w:hAnsi="宋体" w:eastAsia="宋体" w:cs="宋体"/>
                <w:i w:val="0"/>
                <w:color w:val="000000"/>
                <w:sz w:val="22"/>
                <w:szCs w:val="22"/>
                <w:u w:val="none"/>
                <w:lang w:eastAsia="zh-CN"/>
              </w:rPr>
            </w:pPr>
            <w:r>
              <w:rPr>
                <w:rFonts w:hint="eastAsia" w:ascii="宋体" w:hAnsi="宋体" w:cs="宋体"/>
                <w:i w:val="0"/>
                <w:color w:val="000000"/>
                <w:sz w:val="22"/>
                <w:szCs w:val="22"/>
                <w:u w:val="none"/>
                <w:lang w:eastAsia="zh-CN"/>
              </w:rPr>
              <w:t>个</w:t>
            </w:r>
          </w:p>
        </w:tc>
        <w:tc>
          <w:tcPr>
            <w:tcW w:w="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无</w:t>
            </w:r>
          </w:p>
        </w:tc>
      </w:tr>
    </w:tbl>
    <w:p>
      <w:pPr>
        <w:numPr>
          <w:ilvl w:val="0"/>
          <w:numId w:val="0"/>
        </w:numPr>
        <w:adjustRightInd w:val="0"/>
        <w:snapToGrid w:val="0"/>
        <w:spacing w:line="360" w:lineRule="auto"/>
        <w:ind w:firstLine="480" w:firstLineChars="200"/>
        <w:rPr>
          <w:rFonts w:hint="eastAsia" w:ascii="宋体" w:hAnsi="宋体"/>
          <w:color w:val="auto"/>
          <w:sz w:val="24"/>
          <w:highlight w:val="none"/>
          <w:lang w:eastAsia="zh-CN"/>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3 </w:t>
      </w:r>
      <w:bookmarkStart w:id="15" w:name="_GoBack"/>
      <w:r>
        <w:rPr>
          <w:rFonts w:hint="eastAsia" w:ascii="宋体" w:hAnsi="宋体"/>
          <w:b/>
          <w:bCs/>
          <w:color w:val="FF0000"/>
          <w:sz w:val="24"/>
          <w:highlight w:val="none"/>
          <w:lang w:val="en-US" w:eastAsia="zh-CN"/>
        </w:rPr>
        <w:t>经营</w:t>
      </w:r>
      <w:bookmarkEnd w:id="15"/>
      <w:r>
        <w:rPr>
          <w:rFonts w:hint="eastAsia" w:ascii="宋体" w:hAnsi="宋体"/>
          <w:b/>
          <w:bCs/>
          <w:color w:val="auto"/>
          <w:sz w:val="24"/>
          <w:highlight w:val="none"/>
        </w:rPr>
        <w:t>要求</w:t>
      </w:r>
    </w:p>
    <w:tbl>
      <w:tblPr>
        <w:tblStyle w:val="20"/>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1</w:t>
            </w:r>
          </w:p>
        </w:tc>
        <w:tc>
          <w:tcPr>
            <w:tcW w:w="6960" w:type="dxa"/>
            <w:vAlign w:val="center"/>
          </w:tcPr>
          <w:p>
            <w:pPr>
              <w:ind w:left="113" w:leftChars="0"/>
              <w:rPr>
                <w:rFonts w:hint="eastAsia" w:ascii="宋体" w:hAnsi="宋体" w:eastAsia="宋体"/>
                <w:sz w:val="24"/>
                <w:highlight w:val="none"/>
              </w:rPr>
            </w:pPr>
            <w:r>
              <w:rPr>
                <w:rFonts w:hint="eastAsia" w:ascii="宋体" w:hAnsi="宋体" w:eastAsia="宋体"/>
                <w:sz w:val="24"/>
                <w:highlight w:val="none"/>
              </w:rPr>
              <w:t>具备以下条件之一：</w:t>
            </w:r>
          </w:p>
          <w:p>
            <w:pPr>
              <w:ind w:left="113"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2</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rPr>
              <w:t>3</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3.</w:t>
            </w:r>
            <w:r>
              <w:rPr>
                <w:rFonts w:hint="eastAsia" w:ascii="宋体" w:hAnsi="宋体" w:eastAsia="宋体"/>
                <w:sz w:val="24"/>
                <w:highlight w:val="none"/>
                <w:lang w:val="en-US" w:eastAsia="zh-CN"/>
              </w:rPr>
              <w:t>4</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3.5</w:t>
            </w:r>
          </w:p>
        </w:tc>
        <w:tc>
          <w:tcPr>
            <w:tcW w:w="6960" w:type="dxa"/>
            <w:vAlign w:val="center"/>
          </w:tcPr>
          <w:p>
            <w:pPr>
              <w:ind w:left="113" w:leftChars="0"/>
              <w:rPr>
                <w:rFonts w:hint="default" w:ascii="宋体" w:hAnsi="宋体" w:eastAsia="宋体"/>
                <w:sz w:val="24"/>
                <w:highlight w:val="none"/>
                <w:lang w:val="en-US" w:eastAsia="zh-CN"/>
              </w:rPr>
            </w:pPr>
            <w:r>
              <w:rPr>
                <w:rFonts w:hint="eastAsia" w:ascii="宋体" w:hAnsi="宋体"/>
                <w:sz w:val="24"/>
                <w:highlight w:val="none"/>
                <w:lang w:val="en-US" w:eastAsia="zh-CN"/>
              </w:rPr>
              <w:t>具备电气设备、仪器仪表检验等相关</w:t>
            </w:r>
            <w:r>
              <w:rPr>
                <w:rFonts w:hint="eastAsia" w:ascii="宋体" w:hAnsi="宋体"/>
                <w:color w:val="FF0000"/>
                <w:sz w:val="24"/>
                <w:highlight w:val="none"/>
                <w:lang w:val="en-US" w:eastAsia="zh-CN"/>
              </w:rPr>
              <w:t>经营范围</w:t>
            </w:r>
            <w:r>
              <w:rPr>
                <w:rFonts w:hint="eastAsia" w:ascii="宋体" w:hAnsi="宋体"/>
                <w:sz w:val="24"/>
                <w:highlight w:val="none"/>
                <w:lang w:val="en-US" w:eastAsia="zh-CN"/>
              </w:rPr>
              <w:t>。</w:t>
            </w:r>
          </w:p>
        </w:tc>
      </w:tr>
    </w:tbl>
    <w:p>
      <w:pPr>
        <w:adjustRightInd w:val="0"/>
        <w:snapToGrid w:val="0"/>
        <w:spacing w:line="360" w:lineRule="auto"/>
        <w:ind w:firstLine="480" w:firstLineChars="200"/>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19"/>
        <w:tblW w:w="7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275"/>
        <w:gridCol w:w="3376"/>
        <w:gridCol w:w="1267"/>
        <w:gridCol w:w="1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1275"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337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1267"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528"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1275"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3376" w:type="dxa"/>
            <w:tcBorders>
              <w:tl2br w:val="nil"/>
              <w:tr2bl w:val="nil"/>
            </w:tcBorders>
            <w:shd w:val="clear" w:color="auto" w:fill="FFFFFF" w:themeFill="background1"/>
            <w:vAlign w:val="center"/>
          </w:tcPr>
          <w:p>
            <w:pPr>
              <w:adjustRightInd w:val="0"/>
              <w:snapToGrid w:val="0"/>
              <w:spacing w:line="240" w:lineRule="auto"/>
              <w:rPr>
                <w:rFonts w:hint="default" w:asciiTheme="minorEastAsia" w:hAnsiTheme="minorEastAsia" w:eastAsiaTheme="minorEastAsia" w:cstheme="minorEastAsia"/>
                <w:color w:val="FF0000"/>
                <w:sz w:val="24"/>
                <w:highlight w:val="none"/>
                <w:lang w:val="en-US" w:eastAsia="zh-CN"/>
              </w:rPr>
            </w:pPr>
            <w:r>
              <w:rPr>
                <w:rFonts w:hint="eastAsia" w:ascii="宋体" w:hAnsi="宋体"/>
                <w:color w:val="FF0000"/>
                <w:sz w:val="24"/>
                <w:highlight w:val="none"/>
                <w:lang w:eastAsia="zh-CN"/>
              </w:rPr>
              <w:t>柳州局气体继电器校验技术服务采购</w:t>
            </w:r>
          </w:p>
        </w:tc>
        <w:tc>
          <w:tcPr>
            <w:tcW w:w="1267" w:type="dxa"/>
            <w:tcBorders>
              <w:tl2br w:val="nil"/>
              <w:tr2bl w:val="nil"/>
            </w:tcBorders>
            <w:shd w:val="clear" w:color="auto" w:fill="FFFFFF" w:themeFill="background1"/>
            <w:vAlign w:val="center"/>
          </w:tcPr>
          <w:p>
            <w:pPr>
              <w:widowControl/>
              <w:jc w:val="center"/>
              <w:textAlignment w:val="center"/>
              <w:rPr>
                <w:rFonts w:hint="default"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柳州局</w:t>
            </w:r>
          </w:p>
        </w:tc>
        <w:tc>
          <w:tcPr>
            <w:tcW w:w="1528" w:type="dxa"/>
            <w:tcBorders>
              <w:tl2br w:val="nil"/>
              <w:tr2bl w:val="nil"/>
            </w:tcBorders>
            <w:shd w:val="clear" w:color="auto" w:fill="auto"/>
            <w:vAlign w:val="center"/>
          </w:tcPr>
          <w:p>
            <w:pPr>
              <w:rPr>
                <w:rFonts w:hint="eastAsia" w:asciiTheme="minorEastAsia" w:hAnsiTheme="minorEastAsia" w:eastAsiaTheme="minorEastAsia" w:cstheme="minorEastAsia"/>
                <w:color w:val="auto"/>
                <w:sz w:val="24"/>
                <w:highlight w:val="none"/>
                <w:lang w:eastAsia="zh-CN"/>
              </w:rPr>
            </w:pPr>
          </w:p>
        </w:tc>
      </w:tr>
      <w:bookmarkEnd w:id="10"/>
      <w:bookmarkEnd w:id="11"/>
      <w:bookmarkEnd w:id="12"/>
      <w:bookmarkEnd w:id="13"/>
      <w:bookmarkEnd w:id="14"/>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5 技术</w:t>
      </w:r>
      <w:r>
        <w:rPr>
          <w:rFonts w:hint="eastAsia" w:ascii="宋体" w:hAnsi="宋体" w:cs="宋体"/>
          <w:b/>
          <w:bCs/>
          <w:color w:val="auto"/>
          <w:sz w:val="24"/>
          <w:highlight w:val="none"/>
        </w:rPr>
        <w:t>服务要求</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提供增值税专用发票、有项目负责人签字的验收材料给询价方。</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2 </w:t>
      </w:r>
      <w:r>
        <w:rPr>
          <w:rFonts w:hint="eastAsia" w:ascii="宋体" w:hAnsi="宋体" w:cs="宋体"/>
          <w:color w:val="auto"/>
          <w:sz w:val="24"/>
          <w:highlight w:val="none"/>
        </w:rPr>
        <w:t>交付时间及地点要求：</w:t>
      </w:r>
      <w:r>
        <w:rPr>
          <w:rFonts w:hint="eastAsia" w:ascii="宋体" w:hAnsi="宋体" w:cs="宋体"/>
          <w:color w:val="auto"/>
          <w:sz w:val="24"/>
          <w:highlight w:val="none"/>
          <w:lang w:val="en-US" w:eastAsia="zh-CN"/>
        </w:rPr>
        <w:t>合同签订后至2024年12月10日</w:t>
      </w:r>
      <w:r>
        <w:rPr>
          <w:rFonts w:hint="eastAsia" w:ascii="宋体" w:hAnsi="宋体" w:cs="宋体"/>
          <w:color w:val="auto"/>
          <w:sz w:val="24"/>
          <w:highlight w:val="none"/>
        </w:rPr>
        <w:t>，交货地点</w:t>
      </w:r>
      <w:r>
        <w:rPr>
          <w:rFonts w:hint="eastAsia" w:ascii="宋体" w:hAnsi="宋体" w:cs="宋体"/>
          <w:color w:val="auto"/>
          <w:sz w:val="24"/>
          <w:highlight w:val="none"/>
          <w:lang w:val="en-US" w:eastAsia="zh-CN"/>
        </w:rPr>
        <w:t>为：超高压输电公司柳州局（柳州市海关路22号）。</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6.1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电子</w:t>
      </w:r>
      <w:r>
        <w:rPr>
          <w:rFonts w:hint="eastAsia" w:ascii="宋体" w:hAnsi="宋体" w:cs="宋体"/>
          <w:color w:val="auto"/>
          <w:sz w:val="24"/>
          <w:highlight w:val="none"/>
        </w:rPr>
        <w:t>报价文件</w:t>
      </w:r>
      <w:r>
        <w:rPr>
          <w:rFonts w:hint="eastAsia" w:ascii="宋体" w:hAnsi="宋体" w:cs="宋体"/>
          <w:color w:val="auto"/>
          <w:sz w:val="24"/>
          <w:highlight w:val="none"/>
          <w:lang w:eastAsia="zh-CN"/>
        </w:rPr>
        <w:t>并上传系统</w:t>
      </w:r>
      <w:r>
        <w:rPr>
          <w:rFonts w:hint="eastAsia" w:ascii="宋体" w:hAnsi="宋体" w:cs="宋体"/>
          <w:color w:val="auto"/>
          <w:sz w:val="24"/>
          <w:highlight w:val="none"/>
        </w:rPr>
        <w:t>，报价文件包括但不限于：报价表、品质、售后服务及相关资质文件，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tbl>
      <w:tblPr>
        <w:tblStyle w:val="20"/>
        <w:tblW w:w="87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69"/>
        <w:gridCol w:w="472"/>
        <w:gridCol w:w="917"/>
        <w:gridCol w:w="1300"/>
        <w:gridCol w:w="1283"/>
        <w:gridCol w:w="1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266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5385" w:type="dxa"/>
            <w:gridSpan w:val="5"/>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项目总造价（元）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adjustRightInd w:val="0"/>
              <w:snapToGrid w:val="0"/>
              <w:spacing w:line="240" w:lineRule="auto"/>
              <w:jc w:val="center"/>
              <w:rPr>
                <w:rFonts w:hint="eastAsia" w:ascii="宋体" w:hAnsi="宋体" w:cs="宋体"/>
                <w:b/>
                <w:bCs/>
                <w:kern w:val="0"/>
                <w:sz w:val="20"/>
                <w:szCs w:val="21"/>
              </w:rPr>
            </w:pPr>
            <w:r>
              <w:rPr>
                <w:rFonts w:hint="eastAsia" w:ascii="宋体" w:hAnsi="宋体" w:cs="宋体"/>
                <w:kern w:val="0"/>
                <w:sz w:val="20"/>
                <w:szCs w:val="21"/>
              </w:rPr>
              <w:t>1</w:t>
            </w:r>
          </w:p>
        </w:tc>
        <w:tc>
          <w:tcPr>
            <w:tcW w:w="2669" w:type="dxa"/>
            <w:vAlign w:val="center"/>
          </w:tcPr>
          <w:p>
            <w:pPr>
              <w:numPr>
                <w:ilvl w:val="0"/>
                <w:numId w:val="0"/>
              </w:numPr>
              <w:adjustRightInd w:val="0"/>
              <w:snapToGrid w:val="0"/>
              <w:spacing w:line="240" w:lineRule="auto"/>
              <w:rPr>
                <w:rFonts w:hint="default" w:ascii="宋体" w:hAnsi="宋体" w:eastAsia="宋体" w:cs="宋体"/>
                <w:b w:val="0"/>
                <w:bCs w:val="0"/>
                <w:color w:val="FF0000"/>
                <w:kern w:val="0"/>
                <w:sz w:val="20"/>
                <w:szCs w:val="21"/>
                <w:lang w:val="en-US" w:eastAsia="zh-CN"/>
              </w:rPr>
            </w:pPr>
            <w:r>
              <w:rPr>
                <w:rFonts w:hint="eastAsia" w:ascii="宋体" w:hAnsi="宋体" w:cs="宋体"/>
                <w:color w:val="FF0000"/>
                <w:sz w:val="21"/>
                <w:szCs w:val="21"/>
                <w:lang w:val="en-US" w:eastAsia="zh-CN"/>
              </w:rPr>
              <w:t>柳州局气体继电器校验技术服务采购</w:t>
            </w:r>
          </w:p>
        </w:tc>
        <w:tc>
          <w:tcPr>
            <w:tcW w:w="5385" w:type="dxa"/>
            <w:gridSpan w:val="5"/>
            <w:vAlign w:val="center"/>
          </w:tcPr>
          <w:p>
            <w:pPr>
              <w:numPr>
                <w:ilvl w:val="0"/>
                <w:numId w:val="0"/>
              </w:numPr>
              <w:adjustRightInd w:val="0"/>
              <w:snapToGrid w:val="0"/>
              <w:spacing w:line="240" w:lineRule="auto"/>
              <w:jc w:val="both"/>
              <w:rPr>
                <w:rFonts w:hint="eastAsia" w:ascii="宋体" w:hAnsi="宋体" w:cs="宋体"/>
                <w:b w:val="0"/>
                <w:bCs w:val="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769" w:type="dxa"/>
            <w:gridSpan w:val="7"/>
            <w:vAlign w:val="center"/>
          </w:tcPr>
          <w:p>
            <w:pPr>
              <w:adjustRightInd w:val="0"/>
              <w:snapToGrid w:val="0"/>
              <w:spacing w:line="240" w:lineRule="auto"/>
              <w:jc w:val="center"/>
              <w:rPr>
                <w:rFonts w:hint="eastAsia" w:ascii="宋体" w:hAnsi="宋体" w:cs="宋体"/>
                <w:b/>
                <w:bCs/>
                <w:kern w:val="0"/>
                <w:sz w:val="20"/>
                <w:szCs w:val="21"/>
              </w:rPr>
            </w:pPr>
            <w:r>
              <w:rPr>
                <w:rFonts w:hint="eastAsia" w:ascii="宋体" w:hAnsi="宋体" w:cs="宋体"/>
                <w:b/>
                <w:bCs/>
                <w:kern w:val="0"/>
                <w:sz w:val="20"/>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669"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472"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单价（元）</w:t>
            </w:r>
          </w:p>
        </w:tc>
        <w:tc>
          <w:tcPr>
            <w:tcW w:w="1283" w:type="dxa"/>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rPr>
              <w:t>总价（元）</w:t>
            </w:r>
          </w:p>
        </w:tc>
        <w:tc>
          <w:tcPr>
            <w:tcW w:w="1413" w:type="dxa"/>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eastAsia" w:ascii="宋体" w:hAnsi="宋体" w:eastAsia="宋体" w:cs="宋体"/>
                <w:kern w:val="0"/>
                <w:sz w:val="20"/>
                <w:szCs w:val="21"/>
                <w:lang w:eastAsia="zh-CN"/>
              </w:rPr>
            </w:pPr>
            <w:r>
              <w:rPr>
                <w:rFonts w:hint="eastAsia" w:ascii="宋体" w:hAnsi="宋体" w:cs="宋体"/>
                <w:kern w:val="0"/>
                <w:sz w:val="20"/>
                <w:szCs w:val="21"/>
                <w:lang w:val="en-US" w:eastAsia="zh-CN"/>
              </w:rPr>
              <w:t>1</w:t>
            </w:r>
          </w:p>
        </w:tc>
        <w:tc>
          <w:tcPr>
            <w:tcW w:w="2669" w:type="dxa"/>
            <w:vAlign w:val="center"/>
          </w:tcPr>
          <w:p>
            <w:pPr>
              <w:keepNext w:val="0"/>
              <w:keepLines w:val="0"/>
              <w:widowControl/>
              <w:suppressLineNumbers w:val="0"/>
              <w:jc w:val="center"/>
              <w:textAlignment w:val="center"/>
              <w:rPr>
                <w:rFonts w:hint="default" w:ascii="宋体" w:hAnsi="宋体" w:eastAsia="宋体" w:cs="宋体"/>
                <w:b w:val="0"/>
                <w:bCs w:val="0"/>
                <w:kern w:val="0"/>
                <w:sz w:val="20"/>
                <w:szCs w:val="21"/>
                <w:lang w:val="en-US" w:eastAsia="zh-CN" w:bidi="ar-SA"/>
              </w:rPr>
            </w:pPr>
            <w:r>
              <w:rPr>
                <w:rFonts w:hint="default" w:ascii="宋体" w:hAnsi="宋体" w:eastAsia="宋体" w:cs="宋体"/>
                <w:b w:val="0"/>
                <w:bCs w:val="0"/>
                <w:kern w:val="0"/>
                <w:sz w:val="20"/>
                <w:szCs w:val="21"/>
                <w:lang w:val="en-US" w:eastAsia="zh-CN"/>
              </w:rPr>
              <w:t>柳州局气体继电器校验技术服务</w:t>
            </w:r>
          </w:p>
        </w:tc>
        <w:tc>
          <w:tcPr>
            <w:tcW w:w="472" w:type="dxa"/>
            <w:vAlign w:val="center"/>
          </w:tcPr>
          <w:p>
            <w:pPr>
              <w:keepNext w:val="0"/>
              <w:keepLines w:val="0"/>
              <w:widowControl/>
              <w:suppressLineNumbers w:val="0"/>
              <w:jc w:val="center"/>
              <w:textAlignment w:val="center"/>
              <w:rPr>
                <w:rFonts w:hint="default" w:ascii="宋体" w:hAnsi="宋体" w:eastAsia="宋体" w:cs="宋体"/>
                <w:b w:val="0"/>
                <w:bCs w:val="0"/>
                <w:kern w:val="0"/>
                <w:sz w:val="20"/>
                <w:szCs w:val="21"/>
                <w:lang w:val="en-US" w:eastAsia="zh-CN" w:bidi="ar-SA"/>
              </w:rPr>
            </w:pPr>
            <w:r>
              <w:rPr>
                <w:rFonts w:hint="eastAsia" w:ascii="宋体" w:hAnsi="宋体" w:cs="宋体"/>
                <w:b w:val="0"/>
                <w:bCs w:val="0"/>
                <w:kern w:val="0"/>
                <w:sz w:val="20"/>
                <w:szCs w:val="21"/>
                <w:lang w:val="en-US" w:eastAsia="zh-CN"/>
              </w:rPr>
              <w:t>个</w:t>
            </w:r>
          </w:p>
        </w:tc>
        <w:tc>
          <w:tcPr>
            <w:tcW w:w="917" w:type="dxa"/>
            <w:vAlign w:val="center"/>
          </w:tcPr>
          <w:p>
            <w:pPr>
              <w:keepNext w:val="0"/>
              <w:keepLines w:val="0"/>
              <w:widowControl/>
              <w:suppressLineNumbers w:val="0"/>
              <w:jc w:val="center"/>
              <w:textAlignment w:val="center"/>
              <w:rPr>
                <w:rFonts w:hint="default" w:ascii="宋体" w:hAnsi="宋体" w:eastAsia="宋体" w:cs="宋体"/>
                <w:b w:val="0"/>
                <w:bCs w:val="0"/>
                <w:kern w:val="0"/>
                <w:sz w:val="20"/>
                <w:szCs w:val="21"/>
                <w:lang w:val="en-US" w:eastAsia="zh-CN" w:bidi="ar-SA"/>
              </w:rPr>
            </w:pPr>
            <w:r>
              <w:rPr>
                <w:rFonts w:hint="eastAsia" w:ascii="宋体" w:hAnsi="宋体" w:cs="宋体"/>
                <w:b w:val="0"/>
                <w:bCs w:val="0"/>
                <w:kern w:val="0"/>
                <w:sz w:val="20"/>
                <w:szCs w:val="21"/>
                <w:lang w:val="en-US" w:eastAsia="zh-CN"/>
              </w:rPr>
              <w:t>11</w:t>
            </w:r>
          </w:p>
        </w:tc>
        <w:tc>
          <w:tcPr>
            <w:tcW w:w="1300" w:type="dxa"/>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bidi="ar-SA"/>
              </w:rPr>
            </w:pPr>
          </w:p>
        </w:tc>
        <w:tc>
          <w:tcPr>
            <w:tcW w:w="1283" w:type="dxa"/>
            <w:vAlign w:val="center"/>
          </w:tcPr>
          <w:p>
            <w:pPr>
              <w:adjustRightInd w:val="0"/>
              <w:snapToGrid w:val="0"/>
              <w:spacing w:line="240" w:lineRule="auto"/>
              <w:jc w:val="center"/>
              <w:rPr>
                <w:rFonts w:hint="default" w:ascii="宋体" w:hAnsi="宋体" w:eastAsia="宋体" w:cs="宋体"/>
                <w:kern w:val="0"/>
                <w:sz w:val="20"/>
                <w:szCs w:val="21"/>
                <w:lang w:val="en-US" w:eastAsia="zh-CN" w:bidi="ar-SA"/>
              </w:rPr>
            </w:pPr>
          </w:p>
        </w:tc>
        <w:tc>
          <w:tcPr>
            <w:tcW w:w="1413" w:type="dxa"/>
            <w:vAlign w:val="center"/>
          </w:tcPr>
          <w:p>
            <w:pPr>
              <w:adjustRightInd w:val="0"/>
              <w:snapToGrid w:val="0"/>
              <w:spacing w:line="240" w:lineRule="auto"/>
              <w:jc w:val="center"/>
              <w:rPr>
                <w:rFonts w:hint="eastAsia" w:ascii="宋体" w:hAnsi="宋体" w:eastAsia="宋体" w:cs="宋体"/>
                <w:kern w:val="0"/>
                <w:sz w:val="20"/>
                <w:szCs w:val="21"/>
                <w:lang w:val="en-US" w:eastAsia="zh-CN" w:bidi="ar-SA"/>
              </w:rPr>
            </w:pPr>
            <w:r>
              <w:rPr>
                <w:rFonts w:hint="eastAsia" w:ascii="宋体" w:hAnsi="宋体" w:cs="宋体"/>
                <w:spacing w:val="-1"/>
                <w:szCs w:val="21"/>
                <w:lang w:eastAsia="zh-CN"/>
              </w:rPr>
              <w:t>单价含气体继电器来回运输费用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4"/>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13"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spacing w:line="360" w:lineRule="auto"/>
        <w:rPr>
          <w:rFonts w:hint="eastAsia" w:ascii="宋体" w:hAnsi="宋体" w:eastAsia="宋体" w:cs="宋体"/>
          <w:spacing w:val="-1"/>
          <w:szCs w:val="21"/>
          <w:lang w:eastAsia="zh-CN"/>
        </w:rPr>
      </w:pPr>
      <w:r>
        <w:rPr>
          <w:rFonts w:hint="eastAsia" w:ascii="宋体" w:hAnsi="宋体" w:cs="宋体"/>
          <w:spacing w:val="-1"/>
          <w:szCs w:val="21"/>
        </w:rPr>
        <w:t>1、</w:t>
      </w:r>
      <w:r>
        <w:rPr>
          <w:rFonts w:hint="eastAsia" w:ascii="宋体" w:hAnsi="宋体" w:cs="宋体"/>
          <w:spacing w:val="-1"/>
          <w:szCs w:val="21"/>
          <w:lang w:eastAsia="zh-CN"/>
        </w:rPr>
        <w:t>将需要报价的项目需求内容的分项报价列入分项报价清单进行报价。</w:t>
      </w:r>
    </w:p>
    <w:p>
      <w:pPr>
        <w:spacing w:line="360" w:lineRule="auto"/>
        <w:rPr>
          <w:rFonts w:ascii="宋体" w:hAnsi="宋体" w:cs="宋体"/>
          <w:szCs w:val="21"/>
        </w:rPr>
      </w:pPr>
      <w:r>
        <w:rPr>
          <w:rFonts w:hint="eastAsia" w:ascii="宋体" w:hAnsi="宋体" w:cs="宋体"/>
          <w:spacing w:val="-1"/>
          <w:szCs w:val="21"/>
          <w:lang w:val="en-US" w:eastAsia="zh-CN"/>
        </w:rPr>
        <w:t>2、</w:t>
      </w:r>
      <w:r>
        <w:rPr>
          <w:rFonts w:hint="eastAsia" w:ascii="宋体" w:hAnsi="宋体" w:cs="宋体"/>
          <w:spacing w:val="-1"/>
          <w:szCs w:val="21"/>
        </w:rPr>
        <w:t>若单价和总价有差异，以单价为准；</w:t>
      </w:r>
    </w:p>
    <w:p>
      <w:pPr>
        <w:spacing w:line="360" w:lineRule="auto"/>
        <w:rPr>
          <w:rFonts w:ascii="宋体" w:hAnsi="宋体" w:cs="宋体"/>
          <w:szCs w:val="21"/>
        </w:rPr>
      </w:pPr>
      <w:r>
        <w:rPr>
          <w:rFonts w:hint="eastAsia" w:ascii="宋体" w:hAnsi="宋体" w:cs="宋体"/>
          <w:spacing w:val="-1"/>
          <w:szCs w:val="21"/>
          <w:lang w:val="en-US" w:eastAsia="zh-CN"/>
        </w:rPr>
        <w:t>3</w:t>
      </w:r>
      <w:r>
        <w:rPr>
          <w:rFonts w:hint="eastAsia" w:ascii="宋体" w:hAnsi="宋体" w:cs="宋体"/>
          <w:spacing w:val="-1"/>
          <w:szCs w:val="21"/>
        </w:rPr>
        <w:t>、</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lang w:val="en-US" w:eastAsia="zh-CN"/>
        </w:rPr>
        <w:t>4</w:t>
      </w:r>
      <w:r>
        <w:rPr>
          <w:rFonts w:hint="eastAsia" w:ascii="宋体" w:hAnsi="宋体" w:cs="宋体"/>
          <w:spacing w:val="-1"/>
          <w:szCs w:val="21"/>
        </w:rPr>
        <w:t>、按照询价文件中的需求进行报价，报价包含运杂费、服务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、税费</w:t>
      </w:r>
      <w:r>
        <w:rPr>
          <w:rFonts w:hint="eastAsia" w:ascii="宋体" w:hAnsi="宋体" w:cs="宋体"/>
          <w:spacing w:val="-1"/>
          <w:szCs w:val="21"/>
        </w:rPr>
        <w:t xml:space="preserve">，发票应按照分项报价清单分项开具对应符合规定税率的全额增值税专用发票。 </w:t>
      </w:r>
    </w:p>
    <w:p>
      <w:pPr>
        <w:spacing w:line="360" w:lineRule="auto"/>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r>
        <w:rPr>
          <w:rFonts w:hint="eastAsia" w:ascii="宋体" w:hAnsi="宋体" w:cs="宋体"/>
          <w:spacing w:val="-1"/>
          <w:szCs w:val="21"/>
          <w:lang w:val="en-US" w:eastAsia="zh-CN"/>
        </w:rPr>
        <w:t>5、以上所述维修数量均为预估，最终结算价格以实际维修数量计算。</w:t>
      </w: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457" w:hRule="exact"/>
          <w:jc w:val="center"/>
        </w:trPr>
        <w:tc>
          <w:tcPr>
            <w:tcW w:w="8554" w:type="dxa"/>
            <w:gridSpan w:val="3"/>
            <w:tcBorders>
              <w:tl2br w:val="nil"/>
              <w:tr2bl w:val="nil"/>
            </w:tcBorders>
            <w:shd w:val="clear" w:color="auto" w:fill="auto"/>
            <w:vAlign w:val="center"/>
          </w:tcPr>
          <w:p>
            <w:pPr>
              <w:jc w:val="both"/>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814" w:hRule="exact"/>
          <w:jc w:val="center"/>
        </w:trPr>
        <w:tc>
          <w:tcPr>
            <w:tcW w:w="588" w:type="dxa"/>
            <w:tcBorders>
              <w:tl2br w:val="nil"/>
              <w:tr2bl w:val="nil"/>
            </w:tcBorders>
            <w:shd w:val="clear" w:color="auto" w:fill="auto"/>
            <w:vAlign w:val="center"/>
          </w:tcPr>
          <w:p>
            <w:pPr>
              <w:widowControl/>
              <w:jc w:val="both"/>
              <w:textAlignment w:val="center"/>
              <w:rPr>
                <w:rFonts w:hint="eastAsia" w:asciiTheme="minorEastAsia" w:hAnsiTheme="minorEastAsia" w:eastAsiaTheme="minorEastAsia" w:cstheme="minorEastAsia"/>
                <w:b/>
                <w:color w:val="auto"/>
                <w:sz w:val="24"/>
                <w:highlight w:val="none"/>
                <w:lang w:eastAsia="zh-CN"/>
              </w:rPr>
            </w:pPr>
            <w:r>
              <w:rPr>
                <w:rFonts w:hint="eastAsia" w:asciiTheme="minorEastAsia" w:hAnsiTheme="minorEastAsia" w:eastAsiaTheme="minorEastAsia" w:cstheme="minorEastAsia"/>
                <w:b/>
                <w:color w:val="auto"/>
                <w:sz w:val="24"/>
                <w:highlight w:val="none"/>
                <w:lang w:eastAsia="zh-CN"/>
              </w:rPr>
              <w:t>技术参数</w:t>
            </w:r>
          </w:p>
        </w:tc>
        <w:tc>
          <w:tcPr>
            <w:tcW w:w="5920" w:type="dxa"/>
            <w:tcBorders>
              <w:tl2br w:val="nil"/>
              <w:tr2bl w:val="nil"/>
            </w:tcBorders>
            <w:shd w:val="clear" w:color="auto" w:fill="auto"/>
            <w:vAlign w:val="center"/>
          </w:tcPr>
          <w:p>
            <w:pPr>
              <w:numPr>
                <w:ilvl w:val="0"/>
                <w:numId w:val="0"/>
              </w:numPr>
              <w:adjustRightInd w:val="0"/>
              <w:snapToGrid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1、对柳州局所辖变电站（换流站）变压器、换流变的气体继电器进行校验，并出具检验报告。</w:t>
            </w:r>
          </w:p>
          <w:p>
            <w:pPr>
              <w:widowControl/>
              <w:textAlignment w:val="center"/>
              <w:rPr>
                <w:rFonts w:hint="eastAsia" w:eastAsia="宋体" w:asciiTheme="minorEastAsia" w:hAnsiTheme="minorEastAsia" w:cstheme="minorEastAsia"/>
                <w:color w:val="auto"/>
                <w:sz w:val="24"/>
                <w:highlight w:val="none"/>
                <w:lang w:val="en-US" w:eastAsia="zh-CN"/>
              </w:rPr>
            </w:pP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结算以具体检测的气体继电器实际数量为准。</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p>
    <w:p>
      <w:pPr>
        <w:spacing w:line="360" w:lineRule="auto"/>
        <w:outlineLvl w:val="5"/>
        <w:rPr>
          <w:b/>
          <w:bCs/>
          <w:color w:val="auto"/>
          <w:spacing w:val="14"/>
          <w:kern w:val="0"/>
          <w:sz w:val="28"/>
          <w:szCs w:val="28"/>
          <w:highlight w:val="none"/>
        </w:r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19"/>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cs="宋体"/>
                <w:color w:val="auto"/>
                <w:sz w:val="24"/>
                <w:highlight w:val="none"/>
              </w:rPr>
            </w:pPr>
            <w:r>
              <w:rPr>
                <w:rFonts w:hint="eastAsia" w:ascii="宋体" w:hAnsi="宋体" w:cs="宋体"/>
                <w:b/>
                <w:bCs/>
                <w:color w:val="auto"/>
                <w:sz w:val="24"/>
                <w:highlight w:val="none"/>
              </w:rPr>
              <w:t>产品发票要求：</w:t>
            </w: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提供增值税专用发票、有项目负责人签字的验收材料给询价方。</w:t>
            </w:r>
          </w:p>
          <w:p>
            <w:pPr>
              <w:spacing w:line="360" w:lineRule="auto"/>
              <w:rPr>
                <w:rFonts w:ascii="宋体" w:hAnsi="宋体" w:cs="宋体"/>
                <w:color w:val="auto"/>
                <w:sz w:val="24"/>
                <w:highlight w:val="none"/>
              </w:rPr>
            </w:pP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010"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eastAsia="zh-CN" w:bidi="ar"/>
              </w:rPr>
            </w:pPr>
            <w:r>
              <w:rPr>
                <w:rFonts w:hint="eastAsia" w:asciiTheme="minorEastAsia" w:hAnsiTheme="minorEastAsia" w:eastAsiaTheme="minorEastAsia" w:cstheme="minorEastAsia"/>
                <w:b/>
                <w:color w:val="auto"/>
                <w:kern w:val="0"/>
                <w:sz w:val="24"/>
                <w:highlight w:val="none"/>
                <w:lang w:val="en-US" w:eastAsia="zh-CN" w:bidi="ar"/>
              </w:rPr>
              <w:t>2</w:t>
            </w:r>
          </w:p>
        </w:tc>
        <w:tc>
          <w:tcPr>
            <w:tcW w:w="5920" w:type="dxa"/>
            <w:tcBorders>
              <w:tl2br w:val="nil"/>
              <w:tr2bl w:val="nil"/>
            </w:tcBorders>
            <w:shd w:val="clear" w:color="auto" w:fill="auto"/>
            <w:vAlign w:val="center"/>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lang w:eastAsia="zh-CN"/>
              </w:rPr>
              <w:t>技术服务时间</w:t>
            </w:r>
            <w:r>
              <w:rPr>
                <w:rFonts w:hint="eastAsia" w:ascii="宋体" w:hAnsi="宋体" w:cs="宋体"/>
                <w:color w:val="auto"/>
                <w:sz w:val="24"/>
                <w:highlight w:val="none"/>
              </w:rPr>
              <w:t>为</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04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01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日，交货地点</w:t>
            </w:r>
            <w:r>
              <w:rPr>
                <w:rFonts w:hint="eastAsia" w:ascii="宋体" w:hAnsi="宋体" w:cs="宋体"/>
                <w:color w:val="auto"/>
                <w:sz w:val="24"/>
                <w:highlight w:val="none"/>
                <w:lang w:eastAsia="zh-CN"/>
              </w:rPr>
              <w:t>：超高压输电公司</w:t>
            </w:r>
            <w:r>
              <w:rPr>
                <w:rFonts w:hint="eastAsia" w:ascii="宋体" w:hAnsi="宋体" w:cs="宋体"/>
                <w:color w:val="auto"/>
                <w:sz w:val="24"/>
                <w:highlight w:val="none"/>
                <w:lang w:val="en-US" w:eastAsia="zh-CN"/>
              </w:rPr>
              <w:t>柳州局（海关路22号）</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eastAsia="zh-CN"/>
        </w:rPr>
        <w:t>扫描</w:t>
      </w:r>
      <w:r>
        <w:rPr>
          <w:rFonts w:hint="eastAsia"/>
          <w:b/>
          <w:bCs/>
          <w:color w:val="auto"/>
          <w:spacing w:val="13"/>
          <w:kern w:val="0"/>
          <w:sz w:val="28"/>
          <w:szCs w:val="28"/>
          <w:highlight w:val="none"/>
        </w:rPr>
        <w:t>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 xml:space="preserve">10 </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 xml:space="preserve">10 </w:t>
                    </w:r>
                    <w:r>
                      <w:rPr>
                        <w:rFonts w:hint="eastAsia"/>
                        <w:lang w:eastAsia="zh-CN"/>
                      </w:rPr>
                      <w:t>页</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1"/>
      <w:lvlText w:val="%1"/>
      <w:lvlJc w:val="left"/>
      <w:pPr>
        <w:ind w:left="425" w:hanging="425"/>
      </w:pPr>
      <w:rPr>
        <w:rFonts w:hint="eastAsia" w:cs="Times New Roman"/>
        <w:sz w:val="21"/>
        <w:szCs w:val="21"/>
      </w:rPr>
    </w:lvl>
    <w:lvl w:ilvl="1" w:tentative="0">
      <w:start w:val="1"/>
      <w:numFmt w:val="decimal"/>
      <w:pStyle w:val="46"/>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65916"/>
    <w:rsid w:val="003E3323"/>
    <w:rsid w:val="004913D8"/>
    <w:rsid w:val="004938A7"/>
    <w:rsid w:val="0060730C"/>
    <w:rsid w:val="00610134"/>
    <w:rsid w:val="00611AAA"/>
    <w:rsid w:val="00630461"/>
    <w:rsid w:val="006A222E"/>
    <w:rsid w:val="00700C0C"/>
    <w:rsid w:val="007B0E35"/>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16F31"/>
    <w:rsid w:val="00BE0E55"/>
    <w:rsid w:val="00C61456"/>
    <w:rsid w:val="00DB2F76"/>
    <w:rsid w:val="00DE3D98"/>
    <w:rsid w:val="00EC56DD"/>
    <w:rsid w:val="00F04019"/>
    <w:rsid w:val="00F46941"/>
    <w:rsid w:val="00FE4E68"/>
    <w:rsid w:val="01A40F8A"/>
    <w:rsid w:val="020D136E"/>
    <w:rsid w:val="02E84E1B"/>
    <w:rsid w:val="02EC7F3A"/>
    <w:rsid w:val="039A1E76"/>
    <w:rsid w:val="04006DA4"/>
    <w:rsid w:val="04501704"/>
    <w:rsid w:val="046B4A83"/>
    <w:rsid w:val="04CA6BD2"/>
    <w:rsid w:val="04CF3235"/>
    <w:rsid w:val="059852A9"/>
    <w:rsid w:val="05B67AF4"/>
    <w:rsid w:val="05CD2719"/>
    <w:rsid w:val="05F41940"/>
    <w:rsid w:val="060F4BD6"/>
    <w:rsid w:val="06910EC7"/>
    <w:rsid w:val="06AB0929"/>
    <w:rsid w:val="070A0B6B"/>
    <w:rsid w:val="07961E4E"/>
    <w:rsid w:val="079973BB"/>
    <w:rsid w:val="08B379B6"/>
    <w:rsid w:val="08B76F6B"/>
    <w:rsid w:val="08D01A69"/>
    <w:rsid w:val="09246A06"/>
    <w:rsid w:val="095B0EE9"/>
    <w:rsid w:val="09B91536"/>
    <w:rsid w:val="09BD193B"/>
    <w:rsid w:val="0A07485D"/>
    <w:rsid w:val="0A5C68BB"/>
    <w:rsid w:val="0A726C5D"/>
    <w:rsid w:val="0A911DA6"/>
    <w:rsid w:val="0A9C5575"/>
    <w:rsid w:val="0AB60694"/>
    <w:rsid w:val="0B3145BB"/>
    <w:rsid w:val="0B5308D4"/>
    <w:rsid w:val="0B62608C"/>
    <w:rsid w:val="0BCC552D"/>
    <w:rsid w:val="0BF7440E"/>
    <w:rsid w:val="0C183058"/>
    <w:rsid w:val="0C8849AD"/>
    <w:rsid w:val="0C95712B"/>
    <w:rsid w:val="0C9E193A"/>
    <w:rsid w:val="0CBD44D5"/>
    <w:rsid w:val="0CC4072B"/>
    <w:rsid w:val="0CF24637"/>
    <w:rsid w:val="0CFD0263"/>
    <w:rsid w:val="0D140E50"/>
    <w:rsid w:val="0DA711C7"/>
    <w:rsid w:val="0DF517DA"/>
    <w:rsid w:val="0E2B54C7"/>
    <w:rsid w:val="0E8F38EB"/>
    <w:rsid w:val="0EB8393B"/>
    <w:rsid w:val="0F5B0FB3"/>
    <w:rsid w:val="0F7B2D38"/>
    <w:rsid w:val="0FF27226"/>
    <w:rsid w:val="10090346"/>
    <w:rsid w:val="100E20E9"/>
    <w:rsid w:val="10181260"/>
    <w:rsid w:val="108F47AF"/>
    <w:rsid w:val="109C7D56"/>
    <w:rsid w:val="10E20520"/>
    <w:rsid w:val="11325498"/>
    <w:rsid w:val="11727245"/>
    <w:rsid w:val="11797585"/>
    <w:rsid w:val="11C13F63"/>
    <w:rsid w:val="11C4398B"/>
    <w:rsid w:val="11DA3415"/>
    <w:rsid w:val="11DD40A3"/>
    <w:rsid w:val="124B085A"/>
    <w:rsid w:val="127C43FA"/>
    <w:rsid w:val="12E542C2"/>
    <w:rsid w:val="137352D2"/>
    <w:rsid w:val="1376193B"/>
    <w:rsid w:val="13AF2A62"/>
    <w:rsid w:val="140E14EE"/>
    <w:rsid w:val="14C13416"/>
    <w:rsid w:val="15031A58"/>
    <w:rsid w:val="15043F04"/>
    <w:rsid w:val="15127864"/>
    <w:rsid w:val="15166027"/>
    <w:rsid w:val="153E2707"/>
    <w:rsid w:val="155E747D"/>
    <w:rsid w:val="15CE0DB9"/>
    <w:rsid w:val="161F112E"/>
    <w:rsid w:val="163D0A11"/>
    <w:rsid w:val="16A076A8"/>
    <w:rsid w:val="16E17FD7"/>
    <w:rsid w:val="17087877"/>
    <w:rsid w:val="170F3531"/>
    <w:rsid w:val="17192215"/>
    <w:rsid w:val="17292A78"/>
    <w:rsid w:val="17F90724"/>
    <w:rsid w:val="18377B1D"/>
    <w:rsid w:val="187E67B4"/>
    <w:rsid w:val="188E7C69"/>
    <w:rsid w:val="18DB7358"/>
    <w:rsid w:val="18DC7149"/>
    <w:rsid w:val="18E65311"/>
    <w:rsid w:val="19775419"/>
    <w:rsid w:val="197E0408"/>
    <w:rsid w:val="1B0A4145"/>
    <w:rsid w:val="1B7A6B81"/>
    <w:rsid w:val="1C27355C"/>
    <w:rsid w:val="1C3C4358"/>
    <w:rsid w:val="1C495718"/>
    <w:rsid w:val="1C5C4A54"/>
    <w:rsid w:val="1C601D9D"/>
    <w:rsid w:val="1C9B0B55"/>
    <w:rsid w:val="1CE82B57"/>
    <w:rsid w:val="1D341514"/>
    <w:rsid w:val="1D7651D8"/>
    <w:rsid w:val="1D792C9F"/>
    <w:rsid w:val="1E0A47EB"/>
    <w:rsid w:val="1E41056E"/>
    <w:rsid w:val="1E425E07"/>
    <w:rsid w:val="1E616B96"/>
    <w:rsid w:val="1EA91661"/>
    <w:rsid w:val="1EB85131"/>
    <w:rsid w:val="1ED66AA1"/>
    <w:rsid w:val="1EF814B6"/>
    <w:rsid w:val="1F327AE7"/>
    <w:rsid w:val="1F9F2857"/>
    <w:rsid w:val="1FB61E73"/>
    <w:rsid w:val="1FC82897"/>
    <w:rsid w:val="1FEA2DF0"/>
    <w:rsid w:val="202A5DF5"/>
    <w:rsid w:val="205C6FC7"/>
    <w:rsid w:val="207A4B27"/>
    <w:rsid w:val="20C2474B"/>
    <w:rsid w:val="20DE7F97"/>
    <w:rsid w:val="21086AC5"/>
    <w:rsid w:val="21164180"/>
    <w:rsid w:val="21D11228"/>
    <w:rsid w:val="21D65FA3"/>
    <w:rsid w:val="21EA76D2"/>
    <w:rsid w:val="22410CA3"/>
    <w:rsid w:val="2254731E"/>
    <w:rsid w:val="230D5F83"/>
    <w:rsid w:val="231435E3"/>
    <w:rsid w:val="234268CF"/>
    <w:rsid w:val="23BE1829"/>
    <w:rsid w:val="2404685B"/>
    <w:rsid w:val="24147F02"/>
    <w:rsid w:val="24155166"/>
    <w:rsid w:val="242C1836"/>
    <w:rsid w:val="24957AEE"/>
    <w:rsid w:val="26B143E9"/>
    <w:rsid w:val="26C64B0B"/>
    <w:rsid w:val="26CF68D5"/>
    <w:rsid w:val="26D06059"/>
    <w:rsid w:val="27981887"/>
    <w:rsid w:val="27F77F60"/>
    <w:rsid w:val="28D91F7F"/>
    <w:rsid w:val="291D3964"/>
    <w:rsid w:val="298B6166"/>
    <w:rsid w:val="29D439C5"/>
    <w:rsid w:val="29F6505D"/>
    <w:rsid w:val="29F71DCE"/>
    <w:rsid w:val="2A0577B5"/>
    <w:rsid w:val="2A5D4013"/>
    <w:rsid w:val="2A73216B"/>
    <w:rsid w:val="2AE728D8"/>
    <w:rsid w:val="2BB6604C"/>
    <w:rsid w:val="2BE76C7E"/>
    <w:rsid w:val="2C29048A"/>
    <w:rsid w:val="2C4634F8"/>
    <w:rsid w:val="2C8A7F2A"/>
    <w:rsid w:val="2C927D85"/>
    <w:rsid w:val="2CA351F8"/>
    <w:rsid w:val="2CE0294C"/>
    <w:rsid w:val="2DDB37E6"/>
    <w:rsid w:val="2E0A0EFD"/>
    <w:rsid w:val="2E9D0FDA"/>
    <w:rsid w:val="2F393534"/>
    <w:rsid w:val="2F3C75DF"/>
    <w:rsid w:val="2F4D7950"/>
    <w:rsid w:val="2F5C0B8A"/>
    <w:rsid w:val="2FD21CB1"/>
    <w:rsid w:val="300924A8"/>
    <w:rsid w:val="306A2F25"/>
    <w:rsid w:val="30786DD9"/>
    <w:rsid w:val="30B351BB"/>
    <w:rsid w:val="30C42C66"/>
    <w:rsid w:val="30D83BD1"/>
    <w:rsid w:val="30D91360"/>
    <w:rsid w:val="3116556A"/>
    <w:rsid w:val="31403EEE"/>
    <w:rsid w:val="314C4B41"/>
    <w:rsid w:val="3161392D"/>
    <w:rsid w:val="317044E0"/>
    <w:rsid w:val="31F1799F"/>
    <w:rsid w:val="32AC098F"/>
    <w:rsid w:val="32C55B44"/>
    <w:rsid w:val="32D624B2"/>
    <w:rsid w:val="32FC2794"/>
    <w:rsid w:val="3327180B"/>
    <w:rsid w:val="33591408"/>
    <w:rsid w:val="338E2CB9"/>
    <w:rsid w:val="33AE5DBB"/>
    <w:rsid w:val="34485725"/>
    <w:rsid w:val="344C3454"/>
    <w:rsid w:val="346C1865"/>
    <w:rsid w:val="349730C3"/>
    <w:rsid w:val="34FB1B75"/>
    <w:rsid w:val="350967C7"/>
    <w:rsid w:val="35942D01"/>
    <w:rsid w:val="35A54830"/>
    <w:rsid w:val="35E26F61"/>
    <w:rsid w:val="365259A0"/>
    <w:rsid w:val="36A93D34"/>
    <w:rsid w:val="36C4459F"/>
    <w:rsid w:val="36CA6E36"/>
    <w:rsid w:val="36CA7098"/>
    <w:rsid w:val="36CE7125"/>
    <w:rsid w:val="36DD06B5"/>
    <w:rsid w:val="38107BBE"/>
    <w:rsid w:val="38180E0D"/>
    <w:rsid w:val="383A560B"/>
    <w:rsid w:val="38592D41"/>
    <w:rsid w:val="38723B01"/>
    <w:rsid w:val="38B17DB0"/>
    <w:rsid w:val="38F30BD1"/>
    <w:rsid w:val="393307F8"/>
    <w:rsid w:val="39345BEF"/>
    <w:rsid w:val="399E5A8D"/>
    <w:rsid w:val="39FD6A6D"/>
    <w:rsid w:val="3A6C425E"/>
    <w:rsid w:val="3A7115CF"/>
    <w:rsid w:val="3A762EA6"/>
    <w:rsid w:val="3AA10088"/>
    <w:rsid w:val="3AE871ED"/>
    <w:rsid w:val="3B166795"/>
    <w:rsid w:val="3B3A4A72"/>
    <w:rsid w:val="3B426DFA"/>
    <w:rsid w:val="3BFC35AD"/>
    <w:rsid w:val="3C0C0FD1"/>
    <w:rsid w:val="3C0D22F1"/>
    <w:rsid w:val="3CC9255C"/>
    <w:rsid w:val="3CFD0D4E"/>
    <w:rsid w:val="3D6F6BB2"/>
    <w:rsid w:val="3D932ECE"/>
    <w:rsid w:val="3DF002EE"/>
    <w:rsid w:val="3DF6298B"/>
    <w:rsid w:val="3E032F55"/>
    <w:rsid w:val="3E195AFB"/>
    <w:rsid w:val="3E5A5D0F"/>
    <w:rsid w:val="3ED75761"/>
    <w:rsid w:val="3EE60069"/>
    <w:rsid w:val="3F037F80"/>
    <w:rsid w:val="3F5D7C25"/>
    <w:rsid w:val="3F6E7356"/>
    <w:rsid w:val="3F8E2D81"/>
    <w:rsid w:val="40711ECD"/>
    <w:rsid w:val="40AF3701"/>
    <w:rsid w:val="40C55F9C"/>
    <w:rsid w:val="40CE4481"/>
    <w:rsid w:val="41044933"/>
    <w:rsid w:val="413C1C53"/>
    <w:rsid w:val="41A951B9"/>
    <w:rsid w:val="41B64242"/>
    <w:rsid w:val="41D930E9"/>
    <w:rsid w:val="420172F8"/>
    <w:rsid w:val="4214444F"/>
    <w:rsid w:val="421C0666"/>
    <w:rsid w:val="42332763"/>
    <w:rsid w:val="428178ED"/>
    <w:rsid w:val="429645A5"/>
    <w:rsid w:val="42EB23F3"/>
    <w:rsid w:val="43012B66"/>
    <w:rsid w:val="43495685"/>
    <w:rsid w:val="437F3C55"/>
    <w:rsid w:val="43CB3B9E"/>
    <w:rsid w:val="43DB7C71"/>
    <w:rsid w:val="4412053F"/>
    <w:rsid w:val="44265C90"/>
    <w:rsid w:val="443E1922"/>
    <w:rsid w:val="4441551D"/>
    <w:rsid w:val="445544D0"/>
    <w:rsid w:val="44741832"/>
    <w:rsid w:val="44883556"/>
    <w:rsid w:val="44942CE1"/>
    <w:rsid w:val="45137A1E"/>
    <w:rsid w:val="453B2BB3"/>
    <w:rsid w:val="4553205D"/>
    <w:rsid w:val="4566672F"/>
    <w:rsid w:val="4597553F"/>
    <w:rsid w:val="45B96669"/>
    <w:rsid w:val="45DD6DD6"/>
    <w:rsid w:val="465313B5"/>
    <w:rsid w:val="46B251D5"/>
    <w:rsid w:val="46D75F15"/>
    <w:rsid w:val="46DB1D55"/>
    <w:rsid w:val="46F74436"/>
    <w:rsid w:val="46F8141D"/>
    <w:rsid w:val="47794EC5"/>
    <w:rsid w:val="47873FED"/>
    <w:rsid w:val="478A5985"/>
    <w:rsid w:val="47D5260D"/>
    <w:rsid w:val="485A7764"/>
    <w:rsid w:val="48697707"/>
    <w:rsid w:val="487D34CE"/>
    <w:rsid w:val="48812C6D"/>
    <w:rsid w:val="48FA0CCE"/>
    <w:rsid w:val="497E67FC"/>
    <w:rsid w:val="49FA4AA8"/>
    <w:rsid w:val="4A340908"/>
    <w:rsid w:val="4A654689"/>
    <w:rsid w:val="4A8955BD"/>
    <w:rsid w:val="4AE23D9C"/>
    <w:rsid w:val="4AFB712A"/>
    <w:rsid w:val="4B3F2937"/>
    <w:rsid w:val="4B722F98"/>
    <w:rsid w:val="4B791C20"/>
    <w:rsid w:val="4B833504"/>
    <w:rsid w:val="4BDA732C"/>
    <w:rsid w:val="4C747C00"/>
    <w:rsid w:val="4C7801AE"/>
    <w:rsid w:val="4CAE23D4"/>
    <w:rsid w:val="4CF16EBB"/>
    <w:rsid w:val="4CF27A3F"/>
    <w:rsid w:val="4D0E1100"/>
    <w:rsid w:val="4D392671"/>
    <w:rsid w:val="4D952847"/>
    <w:rsid w:val="4D9A6D61"/>
    <w:rsid w:val="4DD62762"/>
    <w:rsid w:val="4E111E7F"/>
    <w:rsid w:val="4E1F0A8F"/>
    <w:rsid w:val="4E587C6D"/>
    <w:rsid w:val="4E9B72CC"/>
    <w:rsid w:val="4EFE4BD1"/>
    <w:rsid w:val="4F655A02"/>
    <w:rsid w:val="4FB44EC5"/>
    <w:rsid w:val="4FC91CA8"/>
    <w:rsid w:val="4FF36AD1"/>
    <w:rsid w:val="503B6ED8"/>
    <w:rsid w:val="506E60D9"/>
    <w:rsid w:val="50A32F8F"/>
    <w:rsid w:val="50E312B5"/>
    <w:rsid w:val="50F4209B"/>
    <w:rsid w:val="519E2D4E"/>
    <w:rsid w:val="51B306F8"/>
    <w:rsid w:val="51D17917"/>
    <w:rsid w:val="527C765B"/>
    <w:rsid w:val="52E90955"/>
    <w:rsid w:val="53646DCD"/>
    <w:rsid w:val="53932D81"/>
    <w:rsid w:val="539D4641"/>
    <w:rsid w:val="53A37439"/>
    <w:rsid w:val="53AB1337"/>
    <w:rsid w:val="53EF0B3B"/>
    <w:rsid w:val="54507861"/>
    <w:rsid w:val="547919F2"/>
    <w:rsid w:val="54FC1BBE"/>
    <w:rsid w:val="55026196"/>
    <w:rsid w:val="550E459E"/>
    <w:rsid w:val="553F47A0"/>
    <w:rsid w:val="554561C6"/>
    <w:rsid w:val="555108DF"/>
    <w:rsid w:val="55AE0DFF"/>
    <w:rsid w:val="55F857FB"/>
    <w:rsid w:val="560C77A6"/>
    <w:rsid w:val="56927883"/>
    <w:rsid w:val="569D378C"/>
    <w:rsid w:val="56AB6EAC"/>
    <w:rsid w:val="56B11501"/>
    <w:rsid w:val="56F56768"/>
    <w:rsid w:val="571C15EB"/>
    <w:rsid w:val="58442F22"/>
    <w:rsid w:val="58474262"/>
    <w:rsid w:val="585D55F4"/>
    <w:rsid w:val="58734628"/>
    <w:rsid w:val="59703A3B"/>
    <w:rsid w:val="597160C7"/>
    <w:rsid w:val="598F0310"/>
    <w:rsid w:val="59B4187B"/>
    <w:rsid w:val="59FD2825"/>
    <w:rsid w:val="5A0B5058"/>
    <w:rsid w:val="5B1F26BA"/>
    <w:rsid w:val="5B316EB3"/>
    <w:rsid w:val="5B4162F2"/>
    <w:rsid w:val="5B6B1990"/>
    <w:rsid w:val="5B6E2B3B"/>
    <w:rsid w:val="5C270F1D"/>
    <w:rsid w:val="5C8F3336"/>
    <w:rsid w:val="5C927AE0"/>
    <w:rsid w:val="5CC0247A"/>
    <w:rsid w:val="5CCA4E94"/>
    <w:rsid w:val="5CDA582D"/>
    <w:rsid w:val="5CDE243B"/>
    <w:rsid w:val="5D337748"/>
    <w:rsid w:val="5D754213"/>
    <w:rsid w:val="5D837E1D"/>
    <w:rsid w:val="5DAF4A90"/>
    <w:rsid w:val="5DF51E9E"/>
    <w:rsid w:val="5E102188"/>
    <w:rsid w:val="5E3A6C0E"/>
    <w:rsid w:val="5EA6472F"/>
    <w:rsid w:val="5EBF7956"/>
    <w:rsid w:val="5EC22C27"/>
    <w:rsid w:val="5EEB46FC"/>
    <w:rsid w:val="5F041F5F"/>
    <w:rsid w:val="5F1337E9"/>
    <w:rsid w:val="5F3F6973"/>
    <w:rsid w:val="5FA75912"/>
    <w:rsid w:val="5FE45DE0"/>
    <w:rsid w:val="5FE5141B"/>
    <w:rsid w:val="608431BC"/>
    <w:rsid w:val="60A00C6F"/>
    <w:rsid w:val="60D85E8A"/>
    <w:rsid w:val="60E908AD"/>
    <w:rsid w:val="60F821F8"/>
    <w:rsid w:val="610322DC"/>
    <w:rsid w:val="612E6E2A"/>
    <w:rsid w:val="61604458"/>
    <w:rsid w:val="61677961"/>
    <w:rsid w:val="61787BA7"/>
    <w:rsid w:val="626B2DC5"/>
    <w:rsid w:val="629B6D1C"/>
    <w:rsid w:val="62FE7930"/>
    <w:rsid w:val="6315604E"/>
    <w:rsid w:val="636B346F"/>
    <w:rsid w:val="63FE776F"/>
    <w:rsid w:val="644A2166"/>
    <w:rsid w:val="64BE7804"/>
    <w:rsid w:val="64F54A79"/>
    <w:rsid w:val="65037CE8"/>
    <w:rsid w:val="65186C66"/>
    <w:rsid w:val="651B7FB1"/>
    <w:rsid w:val="652C0601"/>
    <w:rsid w:val="652D0705"/>
    <w:rsid w:val="653257CF"/>
    <w:rsid w:val="65676159"/>
    <w:rsid w:val="65E26DFB"/>
    <w:rsid w:val="65EF3B0C"/>
    <w:rsid w:val="66000A11"/>
    <w:rsid w:val="663807CD"/>
    <w:rsid w:val="66740FA8"/>
    <w:rsid w:val="670B0B64"/>
    <w:rsid w:val="67522015"/>
    <w:rsid w:val="67C65F33"/>
    <w:rsid w:val="6877638B"/>
    <w:rsid w:val="687810E1"/>
    <w:rsid w:val="68BD7C5B"/>
    <w:rsid w:val="690B57BB"/>
    <w:rsid w:val="692A7A56"/>
    <w:rsid w:val="693718D7"/>
    <w:rsid w:val="69683C95"/>
    <w:rsid w:val="697D6879"/>
    <w:rsid w:val="69801D62"/>
    <w:rsid w:val="69AB4FCF"/>
    <w:rsid w:val="69AB7271"/>
    <w:rsid w:val="69B27FF1"/>
    <w:rsid w:val="6A0E3506"/>
    <w:rsid w:val="6A5B058F"/>
    <w:rsid w:val="6AFB15BD"/>
    <w:rsid w:val="6B0C7C6D"/>
    <w:rsid w:val="6B69119D"/>
    <w:rsid w:val="6B8B15B7"/>
    <w:rsid w:val="6BA04A3E"/>
    <w:rsid w:val="6C042199"/>
    <w:rsid w:val="6C2F1675"/>
    <w:rsid w:val="6C4A1BC7"/>
    <w:rsid w:val="6C8D5408"/>
    <w:rsid w:val="6CE15D0F"/>
    <w:rsid w:val="6CFC63A0"/>
    <w:rsid w:val="6D08659C"/>
    <w:rsid w:val="6D52528A"/>
    <w:rsid w:val="6D9165AA"/>
    <w:rsid w:val="6DDB10B7"/>
    <w:rsid w:val="6E445058"/>
    <w:rsid w:val="6E6F41E6"/>
    <w:rsid w:val="6E865A0B"/>
    <w:rsid w:val="6ECB5AFA"/>
    <w:rsid w:val="6EE637DD"/>
    <w:rsid w:val="6F2A656C"/>
    <w:rsid w:val="6F9159A1"/>
    <w:rsid w:val="6FBF340D"/>
    <w:rsid w:val="6FE96964"/>
    <w:rsid w:val="70255170"/>
    <w:rsid w:val="708764A4"/>
    <w:rsid w:val="70966945"/>
    <w:rsid w:val="70D46D82"/>
    <w:rsid w:val="71462673"/>
    <w:rsid w:val="718267C6"/>
    <w:rsid w:val="71BA2AED"/>
    <w:rsid w:val="71CC0B94"/>
    <w:rsid w:val="724E3782"/>
    <w:rsid w:val="725B7368"/>
    <w:rsid w:val="72902DA7"/>
    <w:rsid w:val="72A57890"/>
    <w:rsid w:val="72AD55AD"/>
    <w:rsid w:val="73673268"/>
    <w:rsid w:val="73B54DDE"/>
    <w:rsid w:val="74255F70"/>
    <w:rsid w:val="743F2AD2"/>
    <w:rsid w:val="7470173A"/>
    <w:rsid w:val="74CB497C"/>
    <w:rsid w:val="74FA13B7"/>
    <w:rsid w:val="75F82604"/>
    <w:rsid w:val="76301283"/>
    <w:rsid w:val="76361486"/>
    <w:rsid w:val="764F12F9"/>
    <w:rsid w:val="767874E3"/>
    <w:rsid w:val="768024F8"/>
    <w:rsid w:val="76D7556C"/>
    <w:rsid w:val="77087427"/>
    <w:rsid w:val="77187B21"/>
    <w:rsid w:val="774B1B00"/>
    <w:rsid w:val="775725A0"/>
    <w:rsid w:val="777A2A82"/>
    <w:rsid w:val="78D70170"/>
    <w:rsid w:val="78FE2CC9"/>
    <w:rsid w:val="79123E17"/>
    <w:rsid w:val="791952BB"/>
    <w:rsid w:val="791C4225"/>
    <w:rsid w:val="792B04A4"/>
    <w:rsid w:val="79387F53"/>
    <w:rsid w:val="7A31432B"/>
    <w:rsid w:val="7A7D2F58"/>
    <w:rsid w:val="7A873D4F"/>
    <w:rsid w:val="7AAA498F"/>
    <w:rsid w:val="7AC92F14"/>
    <w:rsid w:val="7ADB568C"/>
    <w:rsid w:val="7AE925C7"/>
    <w:rsid w:val="7B327A78"/>
    <w:rsid w:val="7B50712A"/>
    <w:rsid w:val="7C142488"/>
    <w:rsid w:val="7C2D6B7E"/>
    <w:rsid w:val="7C94167F"/>
    <w:rsid w:val="7D104923"/>
    <w:rsid w:val="7D743D84"/>
    <w:rsid w:val="7F3046B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6"/>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7"/>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2"/>
    <w:unhideWhenUsed/>
    <w:qFormat/>
    <w:uiPriority w:val="99"/>
    <w:rPr>
      <w:rFonts w:ascii="宋体"/>
      <w:sz w:val="18"/>
      <w:szCs w:val="18"/>
    </w:rPr>
  </w:style>
  <w:style w:type="paragraph" w:styleId="8">
    <w:name w:val="annotation text"/>
    <w:basedOn w:val="1"/>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5"/>
    <w:qFormat/>
    <w:uiPriority w:val="99"/>
    <w:rPr>
      <w:rFonts w:ascii="宋体" w:hAnsi="Courier New" w:eastAsiaTheme="minorEastAsia" w:cstheme="minorBidi"/>
    </w:rPr>
  </w:style>
  <w:style w:type="paragraph" w:styleId="11">
    <w:name w:val="Balloon Text"/>
    <w:basedOn w:val="1"/>
    <w:link w:val="40"/>
    <w:qFormat/>
    <w:uiPriority w:val="0"/>
    <w:rPr>
      <w:rFonts w:asciiTheme="minorHAnsi" w:hAnsiTheme="minorHAnsi" w:cstheme="minorBidi"/>
      <w:sz w:val="18"/>
      <w:szCs w:val="18"/>
    </w:rPr>
  </w:style>
  <w:style w:type="paragraph" w:styleId="12">
    <w:name w:val="footer"/>
    <w:basedOn w:val="1"/>
    <w:link w:val="26"/>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0"/>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7"/>
    <w:qFormat/>
    <w:uiPriority w:val="0"/>
    <w:pPr>
      <w:spacing w:before="240" w:after="60"/>
      <w:jc w:val="center"/>
      <w:outlineLvl w:val="0"/>
    </w:pPr>
    <w:rPr>
      <w:rFonts w:ascii="Arial" w:hAnsi="Arial" w:cs="Arial" w:eastAsiaTheme="minorEastAsia"/>
      <w:b/>
      <w:bCs/>
      <w:sz w:val="32"/>
      <w:szCs w:val="32"/>
    </w:rPr>
  </w:style>
  <w:style w:type="table" w:styleId="20">
    <w:name w:val="Table Grid"/>
    <w:basedOn w:val="19"/>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FollowedHyperlink"/>
    <w:qFormat/>
    <w:uiPriority w:val="0"/>
    <w:rPr>
      <w:color w:val="800080"/>
      <w:u w:val="single"/>
    </w:rPr>
  </w:style>
  <w:style w:type="character" w:styleId="24">
    <w:name w:val="Hyperlink"/>
    <w:qFormat/>
    <w:uiPriority w:val="99"/>
    <w:rPr>
      <w:rFonts w:ascii="Times New Roman" w:hAnsi="Times New Roman" w:eastAsia="宋体"/>
      <w:color w:val="auto"/>
      <w:spacing w:val="0"/>
      <w:w w:val="100"/>
      <w:position w:val="0"/>
      <w:sz w:val="21"/>
      <w:u w:val="none"/>
    </w:rPr>
  </w:style>
  <w:style w:type="character" w:customStyle="1" w:styleId="25">
    <w:name w:val="纯文本 字符"/>
    <w:link w:val="10"/>
    <w:qFormat/>
    <w:uiPriority w:val="0"/>
    <w:rPr>
      <w:rFonts w:ascii="宋体" w:hAnsi="Courier New"/>
      <w:szCs w:val="24"/>
    </w:rPr>
  </w:style>
  <w:style w:type="character" w:customStyle="1" w:styleId="26">
    <w:name w:val="页脚 字符"/>
    <w:link w:val="12"/>
    <w:qFormat/>
    <w:uiPriority w:val="99"/>
    <w:rPr>
      <w:rFonts w:eastAsia="宋体"/>
      <w:sz w:val="18"/>
      <w:szCs w:val="18"/>
    </w:rPr>
  </w:style>
  <w:style w:type="character" w:customStyle="1" w:styleId="27">
    <w:name w:val="标题 字符"/>
    <w:link w:val="18"/>
    <w:qFormat/>
    <w:uiPriority w:val="0"/>
    <w:rPr>
      <w:rFonts w:ascii="Arial" w:hAnsi="Arial" w:cs="Arial"/>
      <w:b/>
      <w:bCs/>
      <w:sz w:val="32"/>
      <w:szCs w:val="32"/>
    </w:rPr>
  </w:style>
  <w:style w:type="character" w:customStyle="1" w:styleId="28">
    <w:name w:val="首行缩进 Char"/>
    <w:link w:val="29"/>
    <w:qFormat/>
    <w:uiPriority w:val="0"/>
    <w:rPr>
      <w:rFonts w:eastAsia="方正书宋简体" w:cs="宋体"/>
    </w:rPr>
  </w:style>
  <w:style w:type="paragraph" w:customStyle="1" w:styleId="29">
    <w:name w:val="首行缩进"/>
    <w:basedOn w:val="1"/>
    <w:link w:val="28"/>
    <w:qFormat/>
    <w:uiPriority w:val="0"/>
    <w:pPr>
      <w:spacing w:line="300" w:lineRule="auto"/>
      <w:ind w:firstLine="420" w:firstLineChars="200"/>
    </w:pPr>
    <w:rPr>
      <w:rFonts w:eastAsia="方正书宋简体" w:cs="宋体" w:asciiTheme="minorHAnsi" w:hAnsiTheme="minorHAnsi"/>
      <w:szCs w:val="22"/>
    </w:rPr>
  </w:style>
  <w:style w:type="character" w:customStyle="1" w:styleId="30">
    <w:name w:val="页眉 字符"/>
    <w:link w:val="13"/>
    <w:qFormat/>
    <w:uiPriority w:val="0"/>
    <w:rPr>
      <w:rFonts w:eastAsia="宋体"/>
      <w:sz w:val="18"/>
      <w:szCs w:val="18"/>
    </w:rPr>
  </w:style>
  <w:style w:type="character" w:customStyle="1" w:styleId="31">
    <w:name w:val="页脚 Char1"/>
    <w:basedOn w:val="21"/>
    <w:semiHidden/>
    <w:qFormat/>
    <w:uiPriority w:val="99"/>
    <w:rPr>
      <w:rFonts w:ascii="Times New Roman" w:hAnsi="Times New Roman" w:eastAsia="宋体" w:cs="Times New Roman"/>
      <w:sz w:val="18"/>
      <w:szCs w:val="18"/>
    </w:rPr>
  </w:style>
  <w:style w:type="character" w:customStyle="1" w:styleId="32">
    <w:name w:val="页眉 Char1"/>
    <w:basedOn w:val="21"/>
    <w:semiHidden/>
    <w:qFormat/>
    <w:uiPriority w:val="99"/>
    <w:rPr>
      <w:rFonts w:ascii="Times New Roman" w:hAnsi="Times New Roman" w:eastAsia="宋体" w:cs="Times New Roman"/>
      <w:sz w:val="18"/>
      <w:szCs w:val="18"/>
    </w:rPr>
  </w:style>
  <w:style w:type="character" w:customStyle="1" w:styleId="33">
    <w:name w:val="标题 Char"/>
    <w:basedOn w:val="21"/>
    <w:qFormat/>
    <w:uiPriority w:val="0"/>
    <w:rPr>
      <w:rFonts w:eastAsia="宋体" w:asciiTheme="majorHAnsi" w:hAnsiTheme="majorHAnsi" w:cstheme="majorBidi"/>
      <w:b/>
      <w:bCs/>
      <w:sz w:val="32"/>
      <w:szCs w:val="32"/>
    </w:rPr>
  </w:style>
  <w:style w:type="character" w:customStyle="1" w:styleId="34">
    <w:name w:val="纯文本 Char"/>
    <w:basedOn w:val="21"/>
    <w:qFormat/>
    <w:uiPriority w:val="99"/>
    <w:rPr>
      <w:rFonts w:ascii="宋体" w:hAnsi="Courier New" w:eastAsia="宋体" w:cs="Courier New"/>
      <w:szCs w:val="21"/>
    </w:rPr>
  </w:style>
  <w:style w:type="character" w:customStyle="1" w:styleId="35">
    <w:name w:val="标题 1 字符"/>
    <w:basedOn w:val="21"/>
    <w:link w:val="2"/>
    <w:qFormat/>
    <w:uiPriority w:val="0"/>
    <w:rPr>
      <w:rFonts w:ascii="Times New Roman" w:hAnsi="Times New Roman" w:eastAsia="汉仪大宋简" w:cs="Times New Roman"/>
      <w:kern w:val="44"/>
      <w:sz w:val="22"/>
      <w:lang w:val="zh-CN" w:eastAsia="zh-CN"/>
    </w:rPr>
  </w:style>
  <w:style w:type="character" w:customStyle="1" w:styleId="36">
    <w:name w:val="标题 2 字符"/>
    <w:basedOn w:val="21"/>
    <w:link w:val="3"/>
    <w:qFormat/>
    <w:uiPriority w:val="0"/>
    <w:rPr>
      <w:rFonts w:ascii="Times New Roman" w:hAnsi="Times New Roman" w:eastAsia="黑体" w:cs="Times New Roman"/>
      <w:bCs/>
      <w:kern w:val="2"/>
      <w:sz w:val="21"/>
      <w:szCs w:val="21"/>
      <w:lang w:val="zh-CN"/>
    </w:rPr>
  </w:style>
  <w:style w:type="character" w:customStyle="1" w:styleId="37">
    <w:name w:val="标题 3 字符"/>
    <w:basedOn w:val="21"/>
    <w:link w:val="4"/>
    <w:qFormat/>
    <w:uiPriority w:val="0"/>
    <w:rPr>
      <w:rFonts w:ascii="Times New Roman" w:hAnsi="Times New Roman" w:eastAsia="宋体" w:cs="Times New Roman"/>
      <w:b/>
      <w:bCs/>
      <w:sz w:val="32"/>
      <w:szCs w:val="32"/>
      <w:lang w:val="zh-CN" w:eastAsia="zh-CN"/>
    </w:rPr>
  </w:style>
  <w:style w:type="character" w:customStyle="1" w:styleId="38">
    <w:name w:val="C标准-正文格式 Char"/>
    <w:link w:val="39"/>
    <w:qFormat/>
    <w:locked/>
    <w:uiPriority w:val="0"/>
    <w:rPr>
      <w:rFonts w:eastAsia="宋体" w:cs="宋体"/>
      <w:sz w:val="24"/>
    </w:rPr>
  </w:style>
  <w:style w:type="paragraph" w:customStyle="1" w:styleId="39">
    <w:name w:val="C标准-正文格式"/>
    <w:basedOn w:val="1"/>
    <w:link w:val="38"/>
    <w:qFormat/>
    <w:uiPriority w:val="0"/>
    <w:pPr>
      <w:spacing w:line="360" w:lineRule="auto"/>
    </w:pPr>
    <w:rPr>
      <w:rFonts w:cs="宋体" w:asciiTheme="minorHAnsi" w:hAnsiTheme="minorHAnsi"/>
      <w:sz w:val="24"/>
      <w:szCs w:val="22"/>
    </w:rPr>
  </w:style>
  <w:style w:type="character" w:customStyle="1" w:styleId="40">
    <w:name w:val="批注框文本 字符"/>
    <w:link w:val="11"/>
    <w:qFormat/>
    <w:locked/>
    <w:uiPriority w:val="0"/>
    <w:rPr>
      <w:rFonts w:eastAsia="宋体"/>
      <w:sz w:val="18"/>
      <w:szCs w:val="18"/>
    </w:rPr>
  </w:style>
  <w:style w:type="character" w:customStyle="1" w:styleId="41">
    <w:name w:val="页码1"/>
    <w:qFormat/>
    <w:uiPriority w:val="0"/>
    <w:rPr>
      <w:rFonts w:ascii="Times New Roman" w:hAnsi="Times New Roman" w:eastAsia="宋体"/>
      <w:sz w:val="18"/>
    </w:rPr>
  </w:style>
  <w:style w:type="character" w:customStyle="1" w:styleId="42">
    <w:name w:val="批注框文本 Char1"/>
    <w:basedOn w:val="21"/>
    <w:semiHidden/>
    <w:qFormat/>
    <w:uiPriority w:val="99"/>
    <w:rPr>
      <w:rFonts w:ascii="Times New Roman" w:hAnsi="Times New Roman" w:eastAsia="宋体" w:cs="Times New Roman"/>
      <w:sz w:val="18"/>
      <w:szCs w:val="18"/>
    </w:rPr>
  </w:style>
  <w:style w:type="paragraph" w:customStyle="1" w:styleId="43">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4">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5">
    <w:name w:val="列出段落1"/>
    <w:basedOn w:val="1"/>
    <w:qFormat/>
    <w:uiPriority w:val="0"/>
    <w:pPr>
      <w:ind w:firstLine="420" w:firstLineChars="200"/>
    </w:pPr>
  </w:style>
  <w:style w:type="paragraph" w:customStyle="1" w:styleId="46">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7">
    <w:name w:val="列出段落2"/>
    <w:basedOn w:val="1"/>
    <w:qFormat/>
    <w:uiPriority w:val="0"/>
    <w:pPr>
      <w:ind w:firstLine="420" w:firstLineChars="200"/>
    </w:pPr>
  </w:style>
  <w:style w:type="paragraph" w:customStyle="1" w:styleId="48">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49">
    <w:name w:val="标准规范3级"/>
    <w:basedOn w:val="46"/>
    <w:qFormat/>
    <w:uiPriority w:val="0"/>
    <w:pPr>
      <w:numPr>
        <w:numId w:val="0"/>
      </w:numPr>
      <w:spacing w:before="0"/>
      <w:ind w:firstLine="200" w:firstLineChars="200"/>
    </w:pPr>
  </w:style>
  <w:style w:type="paragraph" w:customStyle="1" w:styleId="50">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1">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2">
    <w:name w:val="文档结构图 字符"/>
    <w:basedOn w:val="21"/>
    <w:link w:val="7"/>
    <w:semiHidden/>
    <w:qFormat/>
    <w:uiPriority w:val="99"/>
    <w:rPr>
      <w:rFonts w:ascii="宋体" w:hAnsi="Times New Roman" w:eastAsia="宋体" w:cs="Times New Roman"/>
      <w:kern w:val="2"/>
      <w:sz w:val="18"/>
      <w:szCs w:val="18"/>
    </w:rPr>
  </w:style>
  <w:style w:type="paragraph" w:customStyle="1" w:styleId="53">
    <w:name w:val="朱表头"/>
    <w:basedOn w:val="1"/>
    <w:link w:val="55"/>
    <w:qFormat/>
    <w:uiPriority w:val="0"/>
    <w:pPr>
      <w:topLinePunct/>
      <w:spacing w:before="160" w:after="60" w:line="312" w:lineRule="exact"/>
      <w:jc w:val="center"/>
    </w:pPr>
    <w:rPr>
      <w:rFonts w:ascii="EU-F1" w:eastAsia="黑体"/>
      <w:snapToGrid w:val="0"/>
      <w:kern w:val="0"/>
      <w:sz w:val="20"/>
      <w:szCs w:val="20"/>
    </w:rPr>
  </w:style>
  <w:style w:type="paragraph" w:customStyle="1" w:styleId="54">
    <w:name w:val="p0"/>
    <w:basedOn w:val="1"/>
    <w:qFormat/>
    <w:uiPriority w:val="99"/>
    <w:pPr>
      <w:widowControl/>
    </w:pPr>
    <w:rPr>
      <w:rFonts w:ascii="Calibri" w:hAnsi="Calibri" w:cs="宋体"/>
      <w:kern w:val="0"/>
      <w:szCs w:val="21"/>
    </w:rPr>
  </w:style>
  <w:style w:type="character" w:customStyle="1" w:styleId="55">
    <w:name w:val="朱表头 Char"/>
    <w:link w:val="53"/>
    <w:qFormat/>
    <w:uiPriority w:val="0"/>
    <w:rPr>
      <w:rFonts w:ascii="EU-F1" w:hAnsi="Times New Roman" w:eastAsia="黑体" w:cs="Times New Roman"/>
      <w:snapToGrid w:val="0"/>
    </w:rPr>
  </w:style>
  <w:style w:type="paragraph" w:customStyle="1" w:styleId="56">
    <w:name w:val="二级无标题条"/>
    <w:basedOn w:val="1"/>
    <w:qFormat/>
    <w:uiPriority w:val="0"/>
    <w:rPr>
      <w:rFonts w:ascii="Calibri" w:hAnsi="Calibri"/>
      <w:b/>
      <w:szCs w:val="20"/>
    </w:rPr>
  </w:style>
  <w:style w:type="paragraph" w:customStyle="1" w:styleId="57">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59">
    <w:name w:val="font21"/>
    <w:basedOn w:val="21"/>
    <w:qFormat/>
    <w:uiPriority w:val="0"/>
    <w:rPr>
      <w:rFonts w:hint="eastAsia" w:ascii="宋体" w:hAnsi="宋体" w:eastAsia="宋体" w:cs="宋体"/>
      <w:color w:val="000000"/>
      <w:sz w:val="18"/>
      <w:szCs w:val="18"/>
      <w:u w:val="none"/>
      <w:vertAlign w:val="superscript"/>
    </w:rPr>
  </w:style>
  <w:style w:type="paragraph" w:customStyle="1" w:styleId="60">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1">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7</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运行规程超管</cp:lastModifiedBy>
  <cp:lastPrinted>2021-04-23T02:05:00Z</cp:lastPrinted>
  <dcterms:modified xsi:type="dcterms:W3CDTF">2024-03-14T08:32:32Z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B66A06BF192B4CDDB3712E9ADED00198</vt:lpwstr>
  </property>
</Properties>
</file>