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bookmarkStart w:id="5" w:name="_GoBack"/>
      <w:bookmarkEnd w:id="5"/>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宋体" w:hAnsi="宋体" w:eastAsia="宋体" w:cs="宋体"/>
          <w:sz w:val="24"/>
          <w:szCs w:val="24"/>
          <w:u w:val="single"/>
        </w:rPr>
        <w:t xml:space="preserve"> </w:t>
      </w:r>
      <w:r>
        <w:rPr>
          <w:rFonts w:hint="eastAsia" w:ascii="宋体" w:hAnsi="宋体" w:eastAsia="宋体" w:cs="宋体"/>
          <w:sz w:val="24"/>
          <w:szCs w:val="24"/>
          <w:u w:val="single"/>
        </w:rPr>
        <w:t>南方电网</w:t>
      </w:r>
      <w:r>
        <w:rPr>
          <w:rFonts w:hint="eastAsia" w:ascii="宋体" w:hAnsi="宋体" w:cs="宋体"/>
          <w:sz w:val="24"/>
          <w:szCs w:val="24"/>
          <w:u w:val="single"/>
          <w:lang w:val="en-US" w:eastAsia="zh-CN"/>
        </w:rPr>
        <w:t>储能股份</w:t>
      </w:r>
      <w:r>
        <w:rPr>
          <w:rFonts w:hint="eastAsia" w:ascii="宋体" w:hAnsi="宋体" w:eastAsia="宋体" w:cs="宋体"/>
          <w:sz w:val="24"/>
          <w:szCs w:val="24"/>
          <w:u w:val="single"/>
        </w:rPr>
        <w:t>有限公司西部检修试验分公司</w:t>
      </w:r>
    </w:p>
    <w:perm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ermEnd w:id="1"/>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sz w:val="24"/>
        </w:rPr>
      </w:pPr>
      <w:permStart w:id="2" w:edGrp="everyone"/>
      <w:r>
        <w:rPr>
          <w:rFonts w:hint="eastAsia" w:ascii="仿宋_GB2312" w:hAnsi="宋体" w:eastAsia="仿宋_GB2312" w:cs="Times New Roman"/>
          <w:sz w:val="32"/>
          <w:szCs w:val="32"/>
          <w:lang w:val="en-US" w:eastAsia="zh-CN"/>
        </w:rPr>
        <w:t xml:space="preserve">   </w:t>
      </w:r>
      <w:permEnd w:id="2"/>
    </w:p>
    <w:p>
      <w:pPr>
        <w:spacing w:line="470" w:lineRule="exact"/>
        <w:ind w:firstLine="480" w:firstLineChars="200"/>
        <w:rPr>
          <w:rFonts w:hint="eastAsia"/>
          <w:sz w:val="24"/>
        </w:rPr>
      </w:pPr>
    </w:p>
    <w:p>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3" w:edGrp="everyone"/>
      <w:r>
        <w:rPr>
          <w:rFonts w:hint="eastAsia"/>
          <w:sz w:val="24"/>
          <w:lang w:val="en-US" w:eastAsia="zh-CN"/>
        </w:rPr>
        <w:t xml:space="preserve">         </w:t>
      </w:r>
      <w:permEnd w:id="3"/>
      <w:r>
        <w:rPr>
          <w:rFonts w:hint="eastAsia"/>
          <w:sz w:val="24"/>
        </w:rPr>
        <w:t>合同的附件，具有同等的法律效力。</w:t>
      </w:r>
    </w:p>
    <w:p>
      <w:pPr>
        <w:spacing w:line="470" w:lineRule="exact"/>
        <w:ind w:firstLine="482" w:firstLineChars="200"/>
        <w:rPr>
          <w:rFonts w:hint="eastAsia"/>
          <w:b/>
          <w:sz w:val="24"/>
        </w:rPr>
      </w:pPr>
      <w:r>
        <w:rPr>
          <w:rFonts w:hint="eastAsia"/>
          <w:b/>
          <w:sz w:val="24"/>
        </w:rPr>
        <w:t>第一条  甲方安全责任</w:t>
      </w:r>
    </w:p>
    <w:p>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pPr>
        <w:spacing w:line="470" w:lineRule="exact"/>
        <w:ind w:firstLine="480" w:firstLineChars="200"/>
        <w:rPr>
          <w:rFonts w:hint="eastAsia"/>
          <w:sz w:val="24"/>
        </w:rPr>
      </w:pPr>
      <w:r>
        <w:rPr>
          <w:rFonts w:hint="eastAsia"/>
          <w:sz w:val="24"/>
        </w:rPr>
        <w:t>2、甲方应按合同支付建设工程安全文明施工措施费用。</w:t>
      </w:r>
    </w:p>
    <w:p>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pPr>
        <w:spacing w:line="470" w:lineRule="exact"/>
        <w:ind w:firstLine="482" w:firstLineChars="200"/>
        <w:rPr>
          <w:rFonts w:hint="eastAsia"/>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rFonts w:hint="eastAsia"/>
          <w:sz w:val="24"/>
        </w:rPr>
      </w:pPr>
      <w:r>
        <w:rPr>
          <w:rFonts w:hint="eastAsia"/>
          <w:sz w:val="24"/>
        </w:rPr>
        <w:t>9、乙方对安全文明施工措施费用，应当按以下范围使用，不得挪作他用。</w:t>
      </w:r>
    </w:p>
    <w:p>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pPr>
        <w:spacing w:line="470" w:lineRule="exact"/>
        <w:ind w:firstLine="480" w:firstLineChars="200"/>
        <w:rPr>
          <w:rFonts w:hint="eastAsia"/>
          <w:sz w:val="24"/>
        </w:rPr>
      </w:pPr>
      <w:r>
        <w:rPr>
          <w:rFonts w:hint="eastAsia"/>
          <w:sz w:val="24"/>
        </w:rPr>
        <w:t>(1)  基坑支护工程；</w:t>
      </w:r>
    </w:p>
    <w:p>
      <w:pPr>
        <w:spacing w:line="470" w:lineRule="exact"/>
        <w:ind w:firstLine="480" w:firstLineChars="200"/>
        <w:rPr>
          <w:rFonts w:hint="eastAsia"/>
          <w:sz w:val="24"/>
        </w:rPr>
      </w:pPr>
      <w:r>
        <w:rPr>
          <w:rFonts w:hint="eastAsia"/>
          <w:sz w:val="24"/>
        </w:rPr>
        <w:t>(2) 土石方开挖工程；</w:t>
      </w:r>
    </w:p>
    <w:p>
      <w:pPr>
        <w:spacing w:line="470" w:lineRule="exact"/>
        <w:ind w:firstLine="480" w:firstLineChars="200"/>
        <w:rPr>
          <w:rFonts w:hint="eastAsia"/>
          <w:sz w:val="24"/>
        </w:rPr>
      </w:pPr>
      <w:r>
        <w:rPr>
          <w:rFonts w:hint="eastAsia"/>
          <w:sz w:val="24"/>
        </w:rPr>
        <w:t>(3) 模板工程；</w:t>
      </w:r>
    </w:p>
    <w:p>
      <w:pPr>
        <w:spacing w:line="470" w:lineRule="exact"/>
        <w:ind w:firstLine="480" w:firstLineChars="200"/>
        <w:rPr>
          <w:rFonts w:hint="eastAsia"/>
          <w:sz w:val="24"/>
        </w:rPr>
      </w:pPr>
      <w:r>
        <w:rPr>
          <w:rFonts w:hint="eastAsia"/>
          <w:sz w:val="24"/>
        </w:rPr>
        <w:t>(4) 起重吊装工程；</w:t>
      </w:r>
    </w:p>
    <w:p>
      <w:pPr>
        <w:spacing w:line="470" w:lineRule="exact"/>
        <w:ind w:firstLine="480" w:firstLineChars="200"/>
        <w:rPr>
          <w:rFonts w:hint="eastAsia"/>
          <w:sz w:val="24"/>
        </w:rPr>
      </w:pPr>
      <w:r>
        <w:rPr>
          <w:rFonts w:hint="eastAsia"/>
          <w:sz w:val="24"/>
        </w:rPr>
        <w:t>(5) 脚手架工程；</w:t>
      </w:r>
    </w:p>
    <w:p>
      <w:pPr>
        <w:spacing w:line="470" w:lineRule="exact"/>
        <w:ind w:firstLine="480" w:firstLineChars="200"/>
        <w:rPr>
          <w:rFonts w:hint="eastAsia"/>
          <w:sz w:val="24"/>
        </w:rPr>
      </w:pPr>
      <w:r>
        <w:rPr>
          <w:rFonts w:hint="eastAsia"/>
          <w:sz w:val="24"/>
        </w:rPr>
        <w:t>(6) 其他危险性较大的工程。</w:t>
      </w:r>
    </w:p>
    <w:p>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rFonts w:hint="eastAsia"/>
          <w:sz w:val="24"/>
        </w:rPr>
      </w:pPr>
      <w:r>
        <w:rPr>
          <w:rFonts w:hint="eastAsia"/>
          <w:sz w:val="24"/>
        </w:rPr>
        <w:t>26、乙方不得使用国家明令淘汰、禁止使用的危及生产安全的材料、工艺、设备。</w:t>
      </w:r>
    </w:p>
    <w:p>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pPr>
        <w:spacing w:line="470" w:lineRule="exact"/>
        <w:ind w:firstLine="480" w:firstLineChars="200"/>
        <w:rPr>
          <w:rFonts w:hint="eastAsia"/>
          <w:sz w:val="24"/>
        </w:rPr>
      </w:pPr>
      <w:r>
        <w:rPr>
          <w:rFonts w:hint="eastAsia"/>
          <w:sz w:val="24"/>
        </w:rPr>
        <w:t>32、负责法律法规及施工合同中规定的由乙方承担的其他安全生产责任。</w:t>
      </w:r>
    </w:p>
    <w:p>
      <w:pPr>
        <w:spacing w:line="470" w:lineRule="exact"/>
        <w:ind w:firstLine="482" w:firstLineChars="200"/>
        <w:rPr>
          <w:rFonts w:hint="eastAsia"/>
          <w:b/>
          <w:sz w:val="24"/>
        </w:rPr>
      </w:pPr>
      <w:r>
        <w:rPr>
          <w:rFonts w:hint="eastAsia"/>
          <w:b/>
          <w:sz w:val="24"/>
        </w:rPr>
        <w:t>第三条  违约责任</w:t>
      </w:r>
    </w:p>
    <w:p>
      <w:pPr>
        <w:spacing w:line="470" w:lineRule="exact"/>
        <w:ind w:firstLine="480" w:firstLineChars="200"/>
        <w:rPr>
          <w:rFonts w:hint="eastAsia"/>
          <w:sz w:val="24"/>
        </w:rPr>
      </w:pPr>
      <w:r>
        <w:rPr>
          <w:rFonts w:hint="eastAsia"/>
          <w:sz w:val="24"/>
        </w:rPr>
        <w:t>1、甲方未尽到本方安全责任，造成的损失由甲方承担。</w:t>
      </w:r>
    </w:p>
    <w:p>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rFonts w:hint="eastAsia"/>
          <w:b/>
          <w:sz w:val="24"/>
        </w:rPr>
      </w:pPr>
      <w:r>
        <w:rPr>
          <w:rFonts w:hint="eastAsia"/>
          <w:b/>
          <w:sz w:val="24"/>
        </w:rPr>
        <w:t>第四条  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rFonts w:hint="eastAsia"/>
          <w:b/>
          <w:sz w:val="24"/>
        </w:rPr>
      </w:pPr>
      <w:r>
        <w:rPr>
          <w:rFonts w:hint="eastAsia"/>
          <w:b/>
          <w:sz w:val="24"/>
        </w:rPr>
        <w:t>第五条  其他</w:t>
      </w:r>
    </w:p>
    <w:p>
      <w:pPr>
        <w:spacing w:line="470" w:lineRule="exact"/>
        <w:ind w:firstLine="480" w:firstLineChars="200"/>
        <w:rPr>
          <w:rFonts w:hint="eastAsia"/>
          <w:sz w:val="24"/>
        </w:rPr>
      </w:pPr>
      <w:r>
        <w:rPr>
          <w:rFonts w:hint="eastAsia"/>
          <w:sz w:val="24"/>
        </w:rPr>
        <w:t>1、本协议作为承包合同的有效组成部分，与承包合同同时生效和终止。</w:t>
      </w:r>
    </w:p>
    <w:p>
      <w:pPr>
        <w:spacing w:line="470" w:lineRule="exact"/>
        <w:ind w:firstLine="480" w:firstLineChars="200"/>
        <w:rPr>
          <w:rFonts w:hint="eastAsia"/>
          <w:sz w:val="24"/>
        </w:rPr>
      </w:pPr>
      <w:r>
        <w:rPr>
          <w:rFonts w:hint="eastAsia"/>
          <w:sz w:val="24"/>
        </w:rPr>
        <w:t>2、本协议如有争议，争议解决办法与合同争议解决办法相同。</w:t>
      </w:r>
    </w:p>
    <w:p>
      <w:pPr>
        <w:spacing w:line="470" w:lineRule="exact"/>
        <w:ind w:firstLine="480" w:firstLineChars="200"/>
        <w:rPr>
          <w:rFonts w:hint="eastAsia"/>
          <w:sz w:val="24"/>
        </w:rPr>
      </w:pPr>
      <w:r>
        <w:rPr>
          <w:rFonts w:hint="eastAsia"/>
          <w:sz w:val="24"/>
        </w:rPr>
        <w:t>3、本协议未尽事宜，双方协商解决。</w:t>
      </w:r>
    </w:p>
    <w:p>
      <w:pPr>
        <w:spacing w:line="470" w:lineRule="exact"/>
        <w:ind w:firstLine="480" w:firstLineChars="200"/>
        <w:rPr>
          <w:rFonts w:hint="eastAsia"/>
          <w:sz w:val="24"/>
        </w:rPr>
      </w:pPr>
      <w:r>
        <w:rPr>
          <w:rFonts w:hint="eastAsia"/>
          <w:sz w:val="24"/>
        </w:rPr>
        <w:t>4、如有与国家和地方有关规定相悖的，按国家和地方有关规定执行。</w:t>
      </w:r>
    </w:p>
    <w:p>
      <w:pPr>
        <w:spacing w:line="470" w:lineRule="exact"/>
        <w:ind w:firstLine="480" w:firstLineChars="200"/>
        <w:rPr>
          <w:rFonts w:hint="eastAsia"/>
          <w:sz w:val="24"/>
        </w:rPr>
      </w:pPr>
      <w:r>
        <w:rPr>
          <w:rFonts w:hint="eastAsia"/>
          <w:sz w:val="24"/>
        </w:rPr>
        <w:t>5、本协议一式</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三</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sz w:val="24"/>
          <w:lang w:val="en-US" w:eastAsia="zh-CN"/>
        </w:rPr>
        <w:t>各方</w:t>
      </w:r>
      <w:r>
        <w:rPr>
          <w:rFonts w:hint="eastAsia"/>
          <w:sz w:val="24"/>
        </w:rPr>
        <w:t>各执</w:t>
      </w:r>
      <w:permStart w:id="5" w:edGrp="everyone"/>
      <w:r>
        <w:rPr>
          <w:rFonts w:hint="eastAsia" w:ascii="宋体" w:hAnsi="宋体" w:eastAsia="宋体" w:cs="宋体"/>
          <w:color w:val="auto"/>
          <w:sz w:val="24"/>
          <w:shd w:val="clear" w:color="auto" w:fill="auto"/>
        </w:rPr>
        <w:t xml:space="preserve"> </w:t>
      </w:r>
      <w:r>
        <w:rPr>
          <w:rFonts w:hint="eastAsia" w:ascii="Times New Roman" w:hAnsi="Times New Roman" w:cs="Times New Roman"/>
          <w:sz w:val="24"/>
          <w:lang w:val="en-US" w:eastAsia="zh-CN"/>
        </w:rPr>
        <w:t>买方执二份，卖方执一份</w:t>
      </w:r>
      <w:r>
        <w:rPr>
          <w:rFonts w:hint="eastAsia" w:ascii="宋体" w:hAnsi="宋体" w:eastAsia="宋体" w:cs="宋体"/>
          <w:color w:val="auto"/>
          <w:sz w:val="24"/>
          <w:shd w:val="clear" w:color="auto" w:fill="auto"/>
        </w:rPr>
        <w:t xml:space="preserve"> </w:t>
      </w:r>
      <w:permEnd w:id="5"/>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pPr>
        <w:pStyle w:val="2"/>
        <w:rPr>
          <w:rFonts w:hint="default"/>
          <w:b w:val="0"/>
          <w:bCs w:val="0"/>
          <w:lang w:val="en-US" w:eastAsia="zh-CN"/>
        </w:rPr>
      </w:pPr>
      <w:r>
        <w:rPr>
          <w:rFonts w:hint="eastAsia"/>
          <w:b w:val="0"/>
          <w:bCs w:val="0"/>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p>
      <w:pPr>
        <w:spacing w:line="470" w:lineRule="exact"/>
        <w:ind w:firstLine="480" w:firstLineChars="200"/>
        <w:rPr>
          <w:rFonts w:hint="eastAsia" w:ascii="Times New Roman" w:hAnsi="Times New Roman" w:eastAsia="宋体" w:cs="Times New Roman"/>
          <w:sz w:val="24"/>
        </w:rPr>
      </w:pPr>
      <w:permStart w:id="6" w:edGrp="everyone"/>
      <w:r>
        <w:rPr>
          <w:rFonts w:hint="eastAsia" w:ascii="Times New Roman" w:hAnsi="Times New Roman" w:eastAsia="宋体" w:cs="Times New Roman"/>
          <w:sz w:val="24"/>
        </w:rPr>
        <w:t xml:space="preserve"> </w:t>
      </w:r>
      <w:permEnd w:id="6"/>
    </w:p>
    <w:p>
      <w:r>
        <w:br w:type="page"/>
      </w:r>
    </w:p>
    <w:p>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pPr>
        <w:pStyle w:val="5"/>
        <w:spacing w:line="360" w:lineRule="auto"/>
        <w:ind w:firstLine="240"/>
        <w:rPr>
          <w:i/>
          <w:sz w:val="24"/>
          <w:szCs w:val="24"/>
        </w:rPr>
      </w:pPr>
    </w:p>
    <w:p>
      <w:pPr>
        <w:adjustRightInd w:val="0"/>
        <w:spacing w:line="470" w:lineRule="exact"/>
        <w:ind w:firstLine="522" w:firstLineChars="200"/>
        <w:jc w:val="left"/>
        <w:outlineLvl w:val="1"/>
        <w:rPr>
          <w:rFonts w:hint="eastAsia" w:ascii="宋体" w:hAnsi="宋体"/>
          <w:b/>
          <w:spacing w:val="10"/>
          <w:sz w:val="24"/>
        </w:rPr>
      </w:pPr>
      <w:bookmarkStart w:id="0" w:name="_Toc301180784"/>
      <w:bookmarkStart w:id="1" w:name="_Toc256713128"/>
      <w:r>
        <w:rPr>
          <w:rFonts w:hint="eastAsia" w:ascii="宋体" w:hAnsi="宋体"/>
          <w:b/>
          <w:spacing w:val="10"/>
          <w:sz w:val="24"/>
        </w:rPr>
        <w:t>一、说明</w:t>
      </w:r>
      <w:bookmarkEnd w:id="0"/>
      <w:bookmarkEnd w:id="1"/>
    </w:p>
    <w:p>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w:t>
      </w:r>
      <w:r>
        <w:rPr>
          <w:rFonts w:hint="eastAsia" w:ascii="宋体" w:hAnsi="宋体"/>
          <w:bCs/>
          <w:sz w:val="24"/>
          <w:lang w:val="en-US" w:eastAsia="zh-CN"/>
        </w:rPr>
        <w:t>2000</w:t>
      </w:r>
      <w:r>
        <w:rPr>
          <w:rFonts w:hint="eastAsia" w:ascii="宋体" w:hAnsi="宋体"/>
          <w:bCs/>
          <w:sz w:val="24"/>
        </w:rPr>
        <w:t>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w:t>
      </w:r>
      <w:r>
        <w:rPr>
          <w:rFonts w:hint="eastAsia" w:ascii="宋体" w:hAnsi="宋体"/>
          <w:bCs/>
          <w:sz w:val="24"/>
          <w:lang w:val="en-US" w:eastAsia="zh-CN"/>
        </w:rPr>
        <w:t>20000</w:t>
      </w:r>
      <w:r>
        <w:rPr>
          <w:rFonts w:hint="eastAsia" w:ascii="宋体" w:hAnsi="宋体"/>
          <w:bCs/>
          <w:sz w:val="24"/>
        </w:rPr>
        <w:t>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w:t>
      </w:r>
      <w:r>
        <w:rPr>
          <w:rFonts w:hint="eastAsia" w:ascii="宋体" w:hAnsi="宋体"/>
          <w:bCs/>
          <w:sz w:val="24"/>
          <w:lang w:val="en-US" w:eastAsia="zh-CN"/>
        </w:rPr>
        <w:t>5000</w:t>
      </w:r>
      <w:r>
        <w:rPr>
          <w:rFonts w:hint="eastAsia" w:ascii="宋体" w:hAnsi="宋体"/>
          <w:bCs/>
          <w:sz w:val="24"/>
        </w:rPr>
        <w:t>元罚款（有人身伤亡的按上述款项并处）。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罚款1000元。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8、汽车肇事一次，罚款500元，并根据各方责任大小承担，无场内通行手续的，交由公安交警处理。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9、因违反项目建设部制定的《10KV系统用电管理办法》及相关的用电管理规定，造成停电事故或电气设备受损坏的，除赔偿全部经济损失外，处以1000元的罚款。</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10、爆破作业中，因安全防护措施不到位，损坏高压电线等公用设施，除赔偿全部经济损失外，另处2000元的罚款（有人身伤亡的按上述人身伤亡事故处罚款项并处）。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11、汽车压坏电缆盖板，损坏电缆、光纤，应赔偿全部经济损失。</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12、乙方隐瞒事故的按照国家相关法律法规要求，报送上级单位及政府主管部门处理。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13、对甲方以《施工现场安全整改通知单》、检查通报、检查会议纪要等形式提出的整改要求；乙方逾期不整改或拒绝整改的，酌情给予罚款1000元；依然不能满足管理要求的，甲方有权要求乙方更换责任人员，甚至停工整改。</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14、工程建设过程中，乙方的管理人员对甲方管理人员提出的合理安全管理要求，不予配合，甚至采取谩骂、威胁等行为的，甲方有权要求乙方清退、更换责任人员，并处罚款</w:t>
      </w:r>
      <w:r>
        <w:rPr>
          <w:rFonts w:hint="eastAsia" w:ascii="宋体" w:hAnsi="宋体"/>
          <w:bCs/>
          <w:sz w:val="24"/>
          <w:lang w:val="en-US" w:eastAsia="zh-CN"/>
        </w:rPr>
        <w:t>2500</w:t>
      </w:r>
      <w:r>
        <w:rPr>
          <w:rFonts w:hint="eastAsia" w:ascii="宋体" w:hAnsi="宋体"/>
          <w:bCs/>
          <w:sz w:val="24"/>
        </w:rPr>
        <w:t>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15、现场因安全、职业健康、环境保护管理不到位或违章违法行为等原因，被甲方、监理单位下发停工令的，给予罚款5000元/起。</w:t>
      </w:r>
    </w:p>
    <w:p>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pPr>
        <w:spacing w:line="360" w:lineRule="auto"/>
        <w:rPr>
          <w:rFonts w:ascii="宋体" w:hAnsi="宋体"/>
          <w:b/>
          <w:bCs/>
          <w:kern w:val="0"/>
          <w:sz w:val="24"/>
        </w:rPr>
      </w:pPr>
      <w:r>
        <w:rPr>
          <w:rFonts w:hint="eastAsia" w:ascii="宋体" w:hAnsi="宋体"/>
          <w:b/>
          <w:bCs/>
          <w:kern w:val="0"/>
          <w:sz w:val="24"/>
        </w:rPr>
        <w:t>1、施工项目部安全文明管理（检查评价表13）</w:t>
      </w:r>
    </w:p>
    <w:p>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lang w:val="en-US" w:eastAsia="zh-CN"/>
        </w:rPr>
        <w:t>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4、分包单位安全文明管理（检查评价表16）</w:t>
      </w:r>
    </w:p>
    <w:p>
      <w:pPr>
        <w:spacing w:line="360" w:lineRule="auto"/>
        <w:ind w:firstLine="480" w:firstLineChars="200"/>
        <w:rPr>
          <w:rFonts w:ascii="宋体" w:hAnsi="宋体"/>
          <w:bCs/>
          <w:kern w:val="0"/>
          <w:sz w:val="24"/>
        </w:rPr>
      </w:pPr>
      <w:r>
        <w:rPr>
          <w:rFonts w:hint="eastAsia" w:ascii="宋体" w:hAnsi="宋体"/>
          <w:bCs/>
          <w:kern w:val="0"/>
          <w:sz w:val="24"/>
        </w:rPr>
        <w:t>（1）对分包单位管理不规范，未经资质审查或资质审查不合格的外包队伍，违反《建设工程安全生产管理条例》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（5）对新进人员不开展入场安全教育或不进行安全培训及考试，教育培训记录不完整的，罚款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（7）安排没有取得特种作业操作资格证书人员进行作业的，可责令停止作业，并视情况罚款300元/人次。</w:t>
      </w:r>
    </w:p>
    <w:p>
      <w:pPr>
        <w:spacing w:line="360" w:lineRule="auto"/>
        <w:ind w:firstLine="480" w:firstLineChars="200"/>
        <w:rPr>
          <w:rFonts w:ascii="宋体" w:hAnsi="宋体"/>
          <w:bCs/>
          <w:kern w:val="0"/>
          <w:sz w:val="24"/>
        </w:rPr>
      </w:pPr>
      <w:r>
        <w:rPr>
          <w:rFonts w:hint="eastAsia" w:ascii="宋体" w:hAnsi="宋体"/>
          <w:bCs/>
          <w:kern w:val="0"/>
          <w:sz w:val="24"/>
        </w:rPr>
        <w:t>（8）未对进场施工机械和设备进行验收，未定期对施工机械和设备进行检验，施工中使用不安全的（如运转部位的防护部件没有或缺失）加工机械和设备的，可责令进行整改，并视情况罚款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（9）安全设施、安全用品、用具（如：劳保用品、脚手架材料、安全网等）工具装备未经验收合格或验收不合格即投入使用，可责令停止使用，并视情况罚款</w:t>
      </w:r>
      <w:r>
        <w:rPr>
          <w:rFonts w:ascii="宋体" w:hAnsi="宋体"/>
          <w:bCs/>
          <w:kern w:val="0"/>
          <w:sz w:val="24"/>
        </w:rPr>
        <w:t>1</w:t>
      </w:r>
      <w:r>
        <w:rPr>
          <w:rFonts w:hint="eastAsia" w:ascii="宋体" w:hAnsi="宋体"/>
          <w:bCs/>
          <w:kern w:val="0"/>
          <w:sz w:val="24"/>
          <w:lang w:val="en-US" w:eastAsia="zh-CN"/>
        </w:rPr>
        <w:t>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（11）未为施工人员购买工伤保险或意外保险的，罚款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5、应急预案与响应（检查评价表17）</w:t>
      </w:r>
    </w:p>
    <w:p>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6、危险源辨识及风险评价（检查评价表18）</w:t>
      </w:r>
    </w:p>
    <w:p>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hint="eastAsia" w:ascii="宋体" w:hAnsi="宋体"/>
          <w:bCs/>
          <w:kern w:val="0"/>
          <w:sz w:val="24"/>
          <w:lang w:val="en-US" w:eastAsia="zh-CN"/>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7、施工项目部安全文明检查管理（检查评价表</w:t>
      </w:r>
      <w:r>
        <w:rPr>
          <w:rFonts w:ascii="宋体" w:hAnsi="宋体"/>
          <w:b/>
          <w:bCs/>
          <w:kern w:val="0"/>
          <w:sz w:val="24"/>
        </w:rPr>
        <w:t>19</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8、安全教育培训（检查评价表20）</w:t>
      </w:r>
    </w:p>
    <w:p>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9、安全工作例会（检查评价表21）</w:t>
      </w:r>
    </w:p>
    <w:p>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10、安全文明施工奖励和处罚（检查评价表22）</w:t>
      </w:r>
    </w:p>
    <w:p>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11、特种作业人员管理（检查评价表23）</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w:t>
      </w:r>
      <w:r>
        <w:rPr>
          <w:rFonts w:hint="eastAsia" w:ascii="宋体" w:hAnsi="宋体"/>
          <w:bCs/>
          <w:kern w:val="0"/>
          <w:sz w:val="24"/>
          <w:lang w:val="en-US" w:eastAsia="zh-CN"/>
        </w:rPr>
        <w:t>500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hint="eastAsia" w:ascii="宋体" w:hAnsi="宋体"/>
          <w:bCs/>
          <w:kern w:val="0"/>
          <w:sz w:val="24"/>
          <w:lang w:val="en-US" w:eastAsia="zh-CN"/>
        </w:rPr>
        <w:t>300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12、安全技术措施计划（检查评价表24）</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13、作业指导书（专项方案）（检查评价表25）</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hint="eastAsia" w:ascii="宋体" w:hAnsi="宋体"/>
          <w:bCs/>
          <w:kern w:val="0"/>
          <w:sz w:val="24"/>
          <w:lang w:val="en-US" w:eastAsia="zh-CN"/>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（5）重大的起重、运输作业、特殊高处作业等危险性作业项目，未办理安全施工作业票，未指定监护人的，罚款</w:t>
      </w:r>
      <w:r>
        <w:rPr>
          <w:rFonts w:hint="eastAsia" w:ascii="宋体" w:hAnsi="宋体"/>
          <w:bCs/>
          <w:kern w:val="0"/>
          <w:sz w:val="24"/>
          <w:lang w:val="en-US" w:eastAsia="zh-CN"/>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14、安全施工作业票（检查评价表26）</w:t>
      </w:r>
    </w:p>
    <w:p>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hint="eastAsia" w:ascii="宋体" w:hAnsi="宋体"/>
          <w:bCs/>
          <w:kern w:val="0"/>
          <w:sz w:val="24"/>
          <w:lang w:val="en-US" w:eastAsia="zh-CN"/>
        </w:rPr>
        <w:t>300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15、施工队（班组）安全文明管理（检查评价表27）</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16、施工机械设备、安全工器具管理（检查评价表28）</w:t>
      </w:r>
    </w:p>
    <w:p>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17、运输车辆安全管理（检查评价表29）</w:t>
      </w:r>
    </w:p>
    <w:p>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18、个人安全防护用品（检查评价表30～33）</w:t>
      </w:r>
    </w:p>
    <w:p>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19、临时提示遮栏及防护栏杆（检查评价表34）</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w:t>
      </w:r>
      <w:r>
        <w:rPr>
          <w:rFonts w:hint="eastAsia" w:ascii="宋体" w:hAnsi="宋体"/>
          <w:bCs/>
          <w:kern w:val="0"/>
          <w:sz w:val="24"/>
          <w:lang w:val="en-US" w:eastAsia="zh-CN"/>
        </w:rPr>
        <w:t>400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Cs/>
          <w:kern w:val="0"/>
          <w:sz w:val="24"/>
        </w:rPr>
      </w:pPr>
      <w:r>
        <w:rPr>
          <w:rFonts w:hint="eastAsia" w:ascii="宋体" w:hAnsi="宋体"/>
          <w:b/>
          <w:bCs/>
          <w:kern w:val="0"/>
          <w:sz w:val="24"/>
        </w:rPr>
        <w:t>20、孔洞盖板（检查评价表35）</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hint="eastAsia" w:ascii="宋体" w:hAnsi="宋体"/>
          <w:bCs/>
          <w:kern w:val="0"/>
          <w:sz w:val="24"/>
          <w:lang w:val="en-US" w:eastAsia="zh-CN"/>
        </w:rPr>
        <w:t>300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（3）未按要求规范设置盖板的，视情况罚款</w:t>
      </w:r>
      <w:r>
        <w:rPr>
          <w:rFonts w:hint="eastAsia" w:ascii="宋体" w:hAnsi="宋体"/>
          <w:bCs/>
          <w:kern w:val="0"/>
          <w:sz w:val="24"/>
          <w:lang w:val="en-US" w:eastAsia="zh-CN"/>
        </w:rPr>
        <w:t>300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21、安全网（检查评价表36）</w:t>
      </w:r>
    </w:p>
    <w:p>
      <w:pPr>
        <w:spacing w:line="360" w:lineRule="auto"/>
        <w:ind w:firstLine="480" w:firstLineChars="200"/>
        <w:rPr>
          <w:rFonts w:ascii="宋体" w:hAnsi="宋体"/>
          <w:bCs/>
          <w:kern w:val="0"/>
          <w:sz w:val="24"/>
        </w:rPr>
      </w:pPr>
      <w:r>
        <w:rPr>
          <w:rFonts w:hint="eastAsia" w:ascii="宋体" w:hAnsi="宋体"/>
          <w:bCs/>
          <w:kern w:val="0"/>
          <w:sz w:val="24"/>
        </w:rPr>
        <w:t>（1）安全网未经验收或验收不合格即投入使用，可责令责任单位停止使用，并情况罚款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（2）安全网未按规范要求设置的，罚款</w:t>
      </w:r>
      <w:r>
        <w:rPr>
          <w:rFonts w:hint="eastAsia" w:ascii="宋体" w:hAnsi="宋体"/>
          <w:bCs/>
          <w:kern w:val="0"/>
          <w:sz w:val="24"/>
          <w:lang w:val="en-US" w:eastAsia="zh-CN"/>
        </w:rPr>
        <w:t>300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22、隔离设施（检查评价表38）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pPr>
        <w:spacing w:line="360" w:lineRule="auto"/>
        <w:ind w:firstLine="480" w:firstLineChars="200"/>
        <w:rPr>
          <w:rFonts w:ascii="宋体" w:hAnsi="宋体"/>
          <w:bCs/>
          <w:kern w:val="0"/>
          <w:sz w:val="24"/>
        </w:rPr>
      </w:pPr>
      <w:r>
        <w:rPr>
          <w:rFonts w:hint="eastAsia" w:ascii="宋体" w:hAnsi="宋体"/>
          <w:bCs/>
          <w:kern w:val="0"/>
          <w:sz w:val="24"/>
        </w:rPr>
        <w:t>（2）高处危险作业的平台、走道、斜道等处未装设防护栏杆或未设防护立网，罚款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（3）施工现场、高处作业区域的孔洞无牢固的标准盖板或围栏，罚款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（4）深沟、深坑四周无安全警戒线或围栏、夜间无警告红灯，罚款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（5）高处交叉作业、拆除工程等危险作业，四周无安全警戒标志旗绳，罚款</w:t>
      </w:r>
      <w:r>
        <w:rPr>
          <w:rFonts w:hint="eastAsia" w:ascii="宋体" w:hAnsi="宋体"/>
          <w:bCs/>
          <w:kern w:val="0"/>
          <w:sz w:val="24"/>
          <w:lang w:val="en-US" w:eastAsia="zh-CN"/>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（6）高处作业临边未设防护栏杆和踢脚板，罚款</w:t>
      </w:r>
      <w:r>
        <w:rPr>
          <w:rFonts w:hint="eastAsia" w:ascii="宋体" w:hAnsi="宋体"/>
          <w:bCs/>
          <w:kern w:val="0"/>
          <w:sz w:val="24"/>
          <w:lang w:val="en-US" w:eastAsia="zh-CN"/>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pPr>
        <w:spacing w:line="360" w:lineRule="auto"/>
        <w:rPr>
          <w:rFonts w:ascii="宋体" w:hAnsi="宋体"/>
          <w:b/>
          <w:bCs/>
          <w:kern w:val="0"/>
          <w:sz w:val="24"/>
        </w:rPr>
      </w:pPr>
      <w:r>
        <w:rPr>
          <w:rFonts w:hint="eastAsia" w:ascii="宋体" w:hAnsi="宋体"/>
          <w:b/>
          <w:bCs/>
          <w:kern w:val="0"/>
          <w:sz w:val="24"/>
        </w:rPr>
        <w:t>23、防火、防爆设施（检查评价表40）</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（1）易燃、易爆区、重点防火区、消防器材配备不齐，不符合消防规程的要求，无警示标志，罚款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ascii="宋体" w:hAnsi="宋体"/>
          <w:bCs/>
          <w:kern w:val="0"/>
          <w:sz w:val="24"/>
        </w:rPr>
      </w:pPr>
      <w:r>
        <w:rPr>
          <w:rFonts w:hint="eastAsia" w:ascii="宋体" w:hAnsi="宋体"/>
          <w:bCs/>
          <w:kern w:val="0"/>
          <w:sz w:val="24"/>
        </w:rPr>
        <w:t>(2)消防器材、设施未指定专人负责管理，或管理责任人未到位，管理人员未开展定期检查，罚款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（3）没有在其施工区域内的危险场所或部位设置明显的安全警示标志或使用不符合国家标准或行业标准的安全警示标志的，视情况扣款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（5）在施工道路以及主干道上堆放设备、材料、物品，罚款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（6）随意堵塞消防通道或取用消防水，罚款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（8）未按规定要求进行动火、爆破作业的，罚款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24、施工用电管理（检查评价表41）</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w:t>
      </w:r>
      <w:r>
        <w:rPr>
          <w:rFonts w:hint="eastAsia" w:ascii="宋体" w:hAnsi="宋体"/>
          <w:bCs/>
          <w:kern w:val="0"/>
          <w:sz w:val="24"/>
          <w:lang w:val="en-US" w:eastAsia="zh-CN"/>
        </w:rPr>
        <w:t>500</w:t>
      </w:r>
      <w:r>
        <w:rPr>
          <w:rFonts w:hint="eastAsia" w:ascii="宋体" w:hAnsi="宋体"/>
          <w:bCs/>
          <w:kern w:val="0"/>
          <w:sz w:val="24"/>
        </w:rPr>
        <w:t>元/人次。</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w:t>
      </w:r>
      <w:r>
        <w:rPr>
          <w:rFonts w:hint="eastAsia" w:ascii="宋体" w:hAnsi="宋体"/>
          <w:bCs/>
          <w:kern w:val="0"/>
          <w:sz w:val="24"/>
        </w:rPr>
        <w:t>元。</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25、施工用电设施（检查评价表42）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（1）架空线路不符合架设规范要求的，罚款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（2）电缆敷设不符合敷设规范要求的，罚款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（3）变压器安装不符合敷设规范要求的，罚款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（4）配电箱安装不符合敷设规范要求的，罚款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26、接零（接地）保护（检查评价表43）</w:t>
      </w:r>
    </w:p>
    <w:p>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27</w:t>
      </w:r>
      <w:r>
        <w:rPr>
          <w:rFonts w:hint="eastAsia" w:ascii="宋体" w:hAnsi="宋体"/>
          <w:b/>
          <w:bCs/>
          <w:kern w:val="0"/>
          <w:sz w:val="24"/>
        </w:rPr>
        <w:t>、手扳（链条）葫芦（检查评价表</w:t>
      </w:r>
      <w:r>
        <w:rPr>
          <w:rFonts w:ascii="宋体" w:hAnsi="宋体"/>
          <w:b/>
          <w:bCs/>
          <w:kern w:val="0"/>
          <w:sz w:val="24"/>
        </w:rPr>
        <w:t xml:space="preserve"> </w:t>
      </w:r>
      <w:r>
        <w:rPr>
          <w:rFonts w:hint="eastAsia" w:ascii="宋体" w:hAnsi="宋体"/>
          <w:b/>
          <w:bCs/>
          <w:kern w:val="0"/>
          <w:sz w:val="24"/>
        </w:rPr>
        <w:t>51）</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（1）使用不合格或有缺陷的手扳（链条）葫芦，罚款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（2）手扳（链条）葫芦未定期进行检查试验并保存相关记录的，罚款5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（3）超负荷使用手扳（链条）葫芦或起吊作业时操作、指挥不符合规范要求的，罚款500元。</w:t>
      </w:r>
    </w:p>
    <w:p>
      <w:pPr>
        <w:spacing w:line="360" w:lineRule="auto"/>
        <w:rPr>
          <w:rFonts w:ascii="宋体" w:hAnsi="宋体"/>
          <w:b/>
          <w:bCs/>
          <w:kern w:val="0"/>
          <w:sz w:val="24"/>
        </w:rPr>
      </w:pPr>
      <w:r>
        <w:rPr>
          <w:rFonts w:hint="eastAsia" w:ascii="宋体" w:hAnsi="宋体"/>
          <w:b/>
          <w:bCs/>
          <w:kern w:val="0"/>
          <w:sz w:val="24"/>
          <w:lang w:val="en-US" w:eastAsia="zh-CN"/>
        </w:rPr>
        <w:t>28</w:t>
      </w:r>
      <w:r>
        <w:rPr>
          <w:rFonts w:hint="eastAsia" w:ascii="宋体" w:hAnsi="宋体"/>
          <w:b/>
          <w:bCs/>
          <w:kern w:val="0"/>
          <w:sz w:val="24"/>
        </w:rPr>
        <w:t>、钢丝绳（检查评价表52）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（1）使用不合格或有缺陷的钢丝绳，罚款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（2）使用的钢丝绳不能满足起吊作业要求或使用方法不当的，罚款5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29</w:t>
      </w:r>
      <w:r>
        <w:rPr>
          <w:rFonts w:hint="eastAsia" w:ascii="宋体" w:hAnsi="宋体"/>
          <w:b/>
          <w:bCs/>
          <w:kern w:val="0"/>
          <w:sz w:val="24"/>
        </w:rPr>
        <w:t>、切割机（检查评价表55）</w:t>
      </w:r>
    </w:p>
    <w:p>
      <w:pPr>
        <w:spacing w:line="360" w:lineRule="auto"/>
        <w:ind w:firstLine="480" w:firstLineChars="200"/>
        <w:rPr>
          <w:rFonts w:ascii="宋体" w:hAnsi="宋体"/>
          <w:bCs/>
          <w:kern w:val="0"/>
          <w:sz w:val="24"/>
        </w:rPr>
      </w:pPr>
      <w:r>
        <w:rPr>
          <w:rFonts w:hint="eastAsia" w:ascii="宋体" w:hAnsi="宋体"/>
          <w:bCs/>
          <w:kern w:val="0"/>
          <w:sz w:val="24"/>
        </w:rPr>
        <w:t>（1）未切割机操作规程违章作业的，罚款3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（2）切割机性能不满足安全用电要求或存在缺陷的，罚款5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w:t>
      </w:r>
      <w:r>
        <w:rPr>
          <w:rFonts w:hint="eastAsia" w:ascii="宋体" w:hAnsi="宋体"/>
          <w:b/>
          <w:bCs/>
          <w:kern w:val="0"/>
          <w:sz w:val="24"/>
          <w:lang w:val="en-US" w:eastAsia="zh-CN"/>
        </w:rPr>
        <w:t>0</w:t>
      </w:r>
      <w:r>
        <w:rPr>
          <w:rFonts w:hint="eastAsia" w:ascii="宋体" w:hAnsi="宋体"/>
          <w:b/>
          <w:bCs/>
          <w:kern w:val="0"/>
          <w:sz w:val="24"/>
        </w:rPr>
        <w:t>、高处作业平台（检查评价表59）</w:t>
      </w:r>
    </w:p>
    <w:p>
      <w:pPr>
        <w:spacing w:line="360" w:lineRule="auto"/>
        <w:ind w:firstLine="480" w:firstLineChars="200"/>
        <w:rPr>
          <w:rFonts w:hint="eastAsia" w:ascii="宋体" w:hAnsi="宋体"/>
          <w:bCs/>
          <w:kern w:val="0"/>
          <w:sz w:val="24"/>
        </w:rPr>
      </w:pPr>
      <w:r>
        <w:rPr>
          <w:rFonts w:hint="eastAsia" w:ascii="宋体" w:hAnsi="宋体"/>
          <w:bCs/>
          <w:kern w:val="0"/>
          <w:sz w:val="24"/>
        </w:rPr>
        <w:t>（1）使用不牢固或未经检查试验的高处作业平台，罚款5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（2）超负荷使用高处作业平台的，罚款5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（3）高处平台作业作业人员未系安全带的，罚款</w:t>
      </w:r>
      <w:r>
        <w:rPr>
          <w:rFonts w:ascii="宋体" w:hAnsi="宋体"/>
          <w:bCs/>
          <w:kern w:val="0"/>
          <w:sz w:val="24"/>
        </w:rPr>
        <w:t>300</w:t>
      </w:r>
      <w:r>
        <w:rPr>
          <w:rFonts w:hint="eastAsia" w:ascii="宋体" w:hAnsi="宋体"/>
          <w:bCs/>
          <w:kern w:val="0"/>
          <w:sz w:val="24"/>
        </w:rPr>
        <w:t>元/人次。</w:t>
      </w:r>
    </w:p>
    <w:p>
      <w:pPr>
        <w:spacing w:line="360" w:lineRule="auto"/>
        <w:rPr>
          <w:rFonts w:ascii="宋体" w:hAnsi="宋体"/>
          <w:b/>
          <w:bCs/>
          <w:kern w:val="0"/>
          <w:sz w:val="24"/>
        </w:rPr>
      </w:pPr>
      <w:r>
        <w:rPr>
          <w:rFonts w:hint="eastAsia" w:ascii="宋体" w:hAnsi="宋体"/>
          <w:b/>
          <w:bCs/>
          <w:kern w:val="0"/>
          <w:sz w:val="24"/>
        </w:rPr>
        <w:t>3</w:t>
      </w:r>
      <w:r>
        <w:rPr>
          <w:rFonts w:hint="eastAsia" w:ascii="宋体" w:hAnsi="宋体"/>
          <w:b/>
          <w:bCs/>
          <w:kern w:val="0"/>
          <w:sz w:val="24"/>
          <w:lang w:val="en-US" w:eastAsia="zh-CN"/>
        </w:rPr>
        <w:t>1</w:t>
      </w:r>
      <w:r>
        <w:rPr>
          <w:rFonts w:hint="eastAsia" w:ascii="宋体" w:hAnsi="宋体"/>
          <w:b/>
          <w:bCs/>
          <w:kern w:val="0"/>
          <w:sz w:val="24"/>
        </w:rPr>
        <w:t>、手持电动工具（检查评价表61）</w:t>
      </w:r>
    </w:p>
    <w:p>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32</w:t>
      </w:r>
      <w:r>
        <w:rPr>
          <w:rFonts w:hint="eastAsia" w:ascii="宋体" w:hAnsi="宋体"/>
          <w:b/>
          <w:bCs/>
          <w:kern w:val="0"/>
          <w:sz w:val="24"/>
        </w:rPr>
        <w:t>、钢管脚手架（检查评价表81）</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（6）安全设施、安全用品、用具（如：劳保用品、脚手架材料、安全网等）工具装备未经验收合格或验收不合格即投入使用，可责令停止使用，并视情况罚款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（7）脚手架未经检查验收就投入使用的，罚款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（8）未按规范要求搭设竹脚手架的，罚款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（9）没有在其施工区域内的危险场所或部位设置明显的安全警示标志或使用不符合国家标准或行业标准的安全警示标志的，视情况罚款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lang w:val="en-US" w:eastAsia="zh-CN"/>
        </w:rPr>
        <w:t>33</w:t>
      </w:r>
      <w:r>
        <w:rPr>
          <w:rFonts w:hint="eastAsia" w:ascii="宋体" w:hAnsi="宋体"/>
          <w:b/>
          <w:bCs/>
          <w:kern w:val="0"/>
          <w:sz w:val="24"/>
        </w:rPr>
        <w:t>、移动式梯子（检查评价表</w:t>
      </w:r>
      <w:r>
        <w:rPr>
          <w:rFonts w:ascii="宋体" w:hAnsi="宋体"/>
          <w:b/>
          <w:bCs/>
          <w:kern w:val="0"/>
          <w:sz w:val="24"/>
        </w:rPr>
        <w:t>84</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34</w:t>
      </w:r>
      <w:r>
        <w:rPr>
          <w:rFonts w:hint="eastAsia" w:ascii="宋体" w:hAnsi="宋体"/>
          <w:b/>
          <w:bCs/>
          <w:kern w:val="0"/>
          <w:sz w:val="24"/>
        </w:rPr>
        <w:t>、高处作业(检查评价表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（2）违反职业禁忌症的有关规定，安排不符合身体健康要求的人员上岗作业，罚款500元/人。</w:t>
      </w:r>
    </w:p>
    <w:p>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（5）夜间高处作业照明不足的，罚款300元。</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pPr>
        <w:spacing w:line="360" w:lineRule="auto"/>
        <w:rPr>
          <w:rFonts w:hint="eastAsia" w:ascii="宋体" w:hAnsi="宋体"/>
          <w:b/>
          <w:bCs/>
          <w:kern w:val="0"/>
          <w:sz w:val="24"/>
        </w:rPr>
      </w:pPr>
      <w:r>
        <w:rPr>
          <w:rFonts w:hint="eastAsia" w:ascii="宋体" w:hAnsi="宋体"/>
          <w:b/>
          <w:bCs/>
          <w:kern w:val="0"/>
          <w:sz w:val="24"/>
          <w:lang w:val="en-US" w:eastAsia="zh-CN"/>
        </w:rPr>
        <w:t>35</w:t>
      </w:r>
      <w:r>
        <w:rPr>
          <w:rFonts w:hint="eastAsia" w:ascii="宋体" w:hAnsi="宋体"/>
          <w:b/>
          <w:bCs/>
          <w:kern w:val="0"/>
          <w:sz w:val="24"/>
        </w:rPr>
        <w:t>、交叉作业（检查评价表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（6）交叉作业施工负责单位未明确各自责任、未告知可能存在的危险源及控制措施的，罚款500元。</w:t>
      </w:r>
    </w:p>
    <w:p>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（7）交叉作业过程中未设专人监护或未按操作规程违章作业的，罚款2</w:t>
      </w:r>
      <w:r>
        <w:rPr>
          <w:rFonts w:ascii="宋体" w:hAnsi="宋体"/>
          <w:bCs/>
          <w:kern w:val="0"/>
          <w:sz w:val="24"/>
        </w:rPr>
        <w:t>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36</w:t>
      </w:r>
      <w:r>
        <w:rPr>
          <w:rFonts w:hint="eastAsia" w:ascii="宋体" w:hAnsi="宋体"/>
          <w:b/>
          <w:bCs/>
          <w:kern w:val="0"/>
          <w:sz w:val="24"/>
        </w:rPr>
        <w:t>、焊接、切割作业（检查评价表</w:t>
      </w:r>
      <w:r>
        <w:rPr>
          <w:rFonts w:ascii="宋体" w:hAnsi="宋体"/>
          <w:b/>
          <w:bCs/>
          <w:kern w:val="0"/>
          <w:sz w:val="24"/>
        </w:rPr>
        <w:t>95</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（2）现场作业人员没有按规定和要求正确佩戴和使用劳动防护用品，罚款100元/人次。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（3）焊接、切割工作前未清理周围的易燃物，工作结束后未检查清理遗留物，以致留下火灾隐患，罚款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（4）易燃、易爆区、重点防火区、消防器材配备不齐，不符合消防规程的要求，无警示标志的，罚款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37</w:t>
      </w:r>
      <w:r>
        <w:rPr>
          <w:rFonts w:hint="eastAsia" w:ascii="宋体" w:hAnsi="宋体"/>
          <w:b/>
          <w:bCs/>
          <w:kern w:val="0"/>
          <w:sz w:val="24"/>
        </w:rPr>
        <w:t>、起重作业（检查评价表</w:t>
      </w:r>
      <w:r>
        <w:rPr>
          <w:rFonts w:ascii="宋体" w:hAnsi="宋体"/>
          <w:b/>
          <w:bCs/>
          <w:kern w:val="0"/>
          <w:sz w:val="24"/>
        </w:rPr>
        <w:t>96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（6）使用有缺陷的起重机械设备进行起重作业的，罚款1000元。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（7）未按安全操作规程违章作业的，罚款200元。</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（8）起重工作无统一明确的指挥信号，盲目指挥的，罚款200元。</w:t>
      </w:r>
    </w:p>
    <w:p>
      <w:pPr>
        <w:spacing w:line="360" w:lineRule="auto"/>
        <w:ind w:firstLine="480" w:firstLineChars="200"/>
        <w:rPr>
          <w:rFonts w:ascii="宋体" w:hAnsi="宋体"/>
          <w:bCs/>
          <w:kern w:val="0"/>
          <w:sz w:val="24"/>
        </w:rPr>
      </w:pPr>
      <w:r>
        <w:rPr>
          <w:rFonts w:hint="eastAsia" w:ascii="宋体" w:hAnsi="宋体"/>
          <w:bCs/>
          <w:kern w:val="0"/>
          <w:sz w:val="24"/>
        </w:rPr>
        <w:t>（9）工作地点风力达到六级及以上时安排进行起吊作业，或遇有大雪、大雾、雷雨等恶劣天气，或照明不足指挥人员看不清工作地点，操作人员看不见指挥信号时进行起吊作业，罚款</w:t>
      </w:r>
      <w:r>
        <w:rPr>
          <w:rFonts w:ascii="宋体" w:hAnsi="宋体"/>
          <w:bCs/>
          <w:kern w:val="0"/>
          <w:sz w:val="24"/>
        </w:rPr>
        <w:t>500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38</w:t>
      </w:r>
      <w:r>
        <w:rPr>
          <w:rFonts w:hint="eastAsia" w:ascii="宋体" w:hAnsi="宋体"/>
          <w:b/>
          <w:bCs/>
          <w:kern w:val="0"/>
          <w:sz w:val="24"/>
        </w:rPr>
        <w:t>、高压试验（检查评价表</w:t>
      </w:r>
      <w:r>
        <w:rPr>
          <w:rFonts w:ascii="宋体" w:hAnsi="宋体"/>
          <w:b/>
          <w:bCs/>
          <w:kern w:val="0"/>
          <w:sz w:val="24"/>
        </w:rPr>
        <w:t>98</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（2）高压试验（设备耐压、局部放电、空载试验）没有编制试验方案，或未报工程监理、业主方审批、存档备查而擅自开工的，可责令停工并罚款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（6）高压试验过程中未设专人监护或未按安全操作规程违章作业的，罚款2</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（7）雷雨、6级以上（含6级）大风天气或恶劣气候进行高压试验的，罚款500元。</w:t>
      </w:r>
    </w:p>
    <w:p>
      <w:pPr>
        <w:spacing w:line="360" w:lineRule="auto"/>
        <w:rPr>
          <w:rFonts w:hint="eastAsia" w:ascii="宋体" w:hAnsi="宋体"/>
          <w:b/>
          <w:bCs/>
          <w:kern w:val="0"/>
          <w:sz w:val="24"/>
        </w:rPr>
      </w:pPr>
      <w:r>
        <w:rPr>
          <w:rFonts w:hint="eastAsia" w:ascii="宋体" w:hAnsi="宋体"/>
          <w:b/>
          <w:bCs/>
          <w:kern w:val="0"/>
          <w:sz w:val="24"/>
          <w:lang w:val="en-US" w:eastAsia="zh-CN"/>
        </w:rPr>
        <w:t>39</w:t>
      </w:r>
      <w:r>
        <w:rPr>
          <w:rFonts w:hint="eastAsia" w:ascii="宋体" w:hAnsi="宋体"/>
          <w:b/>
          <w:bCs/>
          <w:kern w:val="0"/>
          <w:sz w:val="24"/>
        </w:rPr>
        <w:t>、人员作业行为（检查评价表</w:t>
      </w:r>
      <w:r>
        <w:rPr>
          <w:rFonts w:ascii="宋体" w:hAnsi="宋体"/>
          <w:b/>
          <w:bCs/>
          <w:kern w:val="0"/>
          <w:sz w:val="24"/>
        </w:rPr>
        <w:t>101</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40</w:t>
      </w:r>
      <w:r>
        <w:rPr>
          <w:rFonts w:hint="eastAsia" w:ascii="宋体" w:hAnsi="宋体"/>
          <w:b/>
          <w:bCs/>
          <w:kern w:val="0"/>
          <w:sz w:val="24"/>
        </w:rPr>
        <w:t>、办公区域文明施工管理（检查评价表</w:t>
      </w:r>
      <w:r>
        <w:rPr>
          <w:rFonts w:ascii="宋体" w:hAnsi="宋体"/>
          <w:b/>
          <w:bCs/>
          <w:kern w:val="0"/>
          <w:sz w:val="24"/>
        </w:rPr>
        <w:t>102</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（1）办公区域未挂项目部铭牌的，罚款500元。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（3）办公区域未设置安全、文明、学习宣传专栏的，罚款500元。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（4）办公室、会议室等布置不合理或办公设备、材料不齐全的，罚款300元/处。</w:t>
      </w:r>
    </w:p>
    <w:p>
      <w:pPr>
        <w:spacing w:line="360" w:lineRule="auto"/>
        <w:rPr>
          <w:rFonts w:ascii="宋体" w:hAnsi="宋体"/>
          <w:b/>
          <w:bCs/>
          <w:kern w:val="0"/>
          <w:sz w:val="24"/>
        </w:rPr>
      </w:pPr>
      <w:r>
        <w:rPr>
          <w:rFonts w:hint="eastAsia" w:ascii="宋体" w:hAnsi="宋体"/>
          <w:b/>
          <w:bCs/>
          <w:kern w:val="0"/>
          <w:sz w:val="24"/>
          <w:lang w:val="en-US" w:eastAsia="zh-CN"/>
        </w:rPr>
        <w:t>41</w:t>
      </w:r>
      <w:r>
        <w:rPr>
          <w:rFonts w:hint="eastAsia" w:ascii="宋体" w:hAnsi="宋体"/>
          <w:b/>
          <w:bCs/>
          <w:kern w:val="0"/>
          <w:sz w:val="24"/>
        </w:rPr>
        <w:t>、生活区域文明施工管理（检查评价表</w:t>
      </w:r>
      <w:r>
        <w:rPr>
          <w:rFonts w:ascii="宋体" w:hAnsi="宋体"/>
          <w:b/>
          <w:bCs/>
          <w:kern w:val="0"/>
          <w:sz w:val="24"/>
        </w:rPr>
        <w:t>103</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（1）员工宿舍布置不合理或通风、卫生条件差的，罚款300元/处。</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（3）任意排放生活废水的，罚款1000元。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（4）安排未经体检合格或体检不合格的人员从事炊事饮食作业的，罚款1000元/人次。</w:t>
      </w:r>
    </w:p>
    <w:p>
      <w:pPr>
        <w:spacing w:line="360" w:lineRule="auto"/>
        <w:ind w:firstLine="480" w:firstLineChars="200"/>
        <w:rPr>
          <w:rFonts w:ascii="宋体" w:hAnsi="宋体"/>
          <w:bCs/>
          <w:kern w:val="0"/>
          <w:sz w:val="24"/>
        </w:rPr>
      </w:pPr>
      <w:r>
        <w:rPr>
          <w:rFonts w:hint="eastAsia" w:ascii="宋体" w:hAnsi="宋体"/>
          <w:bCs/>
          <w:kern w:val="0"/>
          <w:sz w:val="24"/>
        </w:rPr>
        <w:t>（5）生活用电不满足安全用电要求的，罚款500元。</w:t>
      </w:r>
    </w:p>
    <w:p>
      <w:pPr>
        <w:spacing w:line="360" w:lineRule="auto"/>
        <w:rPr>
          <w:rFonts w:hint="eastAsia" w:ascii="宋体" w:hAnsi="宋体"/>
          <w:b/>
          <w:bCs/>
          <w:kern w:val="0"/>
          <w:sz w:val="24"/>
        </w:rPr>
      </w:pPr>
      <w:r>
        <w:rPr>
          <w:rFonts w:hint="eastAsia" w:ascii="宋体" w:hAnsi="宋体"/>
          <w:b/>
          <w:bCs/>
          <w:kern w:val="0"/>
          <w:sz w:val="24"/>
          <w:lang w:val="en-US" w:eastAsia="zh-CN"/>
        </w:rPr>
        <w:t>42</w:t>
      </w:r>
      <w:r>
        <w:rPr>
          <w:rFonts w:hint="eastAsia" w:ascii="宋体" w:hAnsi="宋体"/>
          <w:b/>
          <w:bCs/>
          <w:kern w:val="0"/>
          <w:sz w:val="24"/>
        </w:rPr>
        <w:t>、文明施工整体视觉形象（检查评价表</w:t>
      </w:r>
      <w:r>
        <w:rPr>
          <w:rFonts w:ascii="宋体" w:hAnsi="宋体"/>
          <w:b/>
          <w:bCs/>
          <w:kern w:val="0"/>
          <w:sz w:val="24"/>
        </w:rPr>
        <w:t>109</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（5）施工场地不平整、排水设施不通畅、道路或作业面有积水及施工废料的，视情况罚款200元/处。</w:t>
      </w:r>
    </w:p>
    <w:p>
      <w:pPr>
        <w:spacing w:line="360" w:lineRule="auto"/>
        <w:ind w:firstLine="480" w:firstLineChars="200"/>
      </w:pPr>
      <w:r>
        <w:rPr>
          <w:rFonts w:hint="eastAsia" w:ascii="宋体" w:hAnsi="宋体"/>
          <w:bCs/>
          <w:kern w:val="0"/>
          <w:sz w:val="24"/>
        </w:rPr>
        <w:t>（6）材料、工器具未分类、分区域规范堆放的，罚款200元/处。</w:t>
      </w: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00000000"/>
    <w:rsid w:val="0F204CAE"/>
    <w:rsid w:val="12D13E0C"/>
    <w:rsid w:val="12DA130F"/>
    <w:rsid w:val="13BF0F0B"/>
    <w:rsid w:val="15365553"/>
    <w:rsid w:val="166D647B"/>
    <w:rsid w:val="1A5678D5"/>
    <w:rsid w:val="1D125575"/>
    <w:rsid w:val="1D6F4B57"/>
    <w:rsid w:val="1E0D37EE"/>
    <w:rsid w:val="278F0DF5"/>
    <w:rsid w:val="288A7090"/>
    <w:rsid w:val="2BE91167"/>
    <w:rsid w:val="2E3B7BEF"/>
    <w:rsid w:val="3082251D"/>
    <w:rsid w:val="350C2516"/>
    <w:rsid w:val="35345F08"/>
    <w:rsid w:val="35C806CA"/>
    <w:rsid w:val="37C05A95"/>
    <w:rsid w:val="37ED4E9A"/>
    <w:rsid w:val="3A8606FA"/>
    <w:rsid w:val="3B253F1D"/>
    <w:rsid w:val="3E511A75"/>
    <w:rsid w:val="3F116155"/>
    <w:rsid w:val="3F146093"/>
    <w:rsid w:val="42E13110"/>
    <w:rsid w:val="44792CB3"/>
    <w:rsid w:val="4A4B656A"/>
    <w:rsid w:val="4CEB38DC"/>
    <w:rsid w:val="4DCC70D3"/>
    <w:rsid w:val="4FF6654C"/>
    <w:rsid w:val="55A76BA7"/>
    <w:rsid w:val="5A653D34"/>
    <w:rsid w:val="5EE40830"/>
    <w:rsid w:val="619F2D1C"/>
    <w:rsid w:val="66D44BE9"/>
    <w:rsid w:val="6A1D28E8"/>
    <w:rsid w:val="6B877B93"/>
    <w:rsid w:val="6C1444AB"/>
    <w:rsid w:val="6D801206"/>
    <w:rsid w:val="6DB8775A"/>
    <w:rsid w:val="6ECB1154"/>
    <w:rsid w:val="6FA910D6"/>
    <w:rsid w:val="7082472B"/>
    <w:rsid w:val="72D2296A"/>
    <w:rsid w:val="755D6E26"/>
    <w:rsid w:val="77F9645C"/>
    <w:rsid w:val="79ED078C"/>
    <w:rsid w:val="7EEB7B54"/>
    <w:rsid w:val="7F906B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Office_11.8.2.12085_F1E327BC-269C-435d-A152-05C5408002CA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张超超</cp:lastModifiedBy>
  <dcterms:modified xsi:type="dcterms:W3CDTF">2024-04-20T14:23:36Z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705A2B87398641FF9B67D21E454C74B4</vt:lpwstr>
  </property>
</Properties>
</file>