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0"/>
        <w:spacing w:line="360" w:lineRule="auto"/>
        <w:rPr>
          <w:rFonts w:ascii="Times New Roman" w:cs="Times New Roman"/>
          <w:color w:val="auto"/>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5"/>
        <w:spacing w:after="0" w:line="360" w:lineRule="auto"/>
        <w:jc w:val="center"/>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广西电网</w:t>
      </w:r>
      <w:r>
        <w:rPr>
          <w:rFonts w:hint="eastAsia" w:ascii="方正小标宋_GBK" w:hAnsi="方正小标宋_GBK" w:eastAsia="方正小标宋_GBK" w:cs="方正小标宋_GBK"/>
          <w:sz w:val="52"/>
          <w:szCs w:val="52"/>
          <w:lang w:eastAsia="zh-CN"/>
        </w:rPr>
        <w:t>公司</w:t>
      </w:r>
      <w:r>
        <w:rPr>
          <w:rFonts w:hint="eastAsia" w:ascii="方正小标宋_GBK" w:hAnsi="方正小标宋_GBK" w:eastAsia="方正小标宋_GBK" w:cs="方正小标宋_GBK"/>
          <w:sz w:val="52"/>
          <w:szCs w:val="52"/>
          <w:lang w:val="en-US" w:eastAsia="zh-CN"/>
        </w:rPr>
        <w:t>北海供电局</w:t>
      </w:r>
      <w:r>
        <w:rPr>
          <w:rFonts w:hint="eastAsia" w:ascii="方正小标宋_GBK" w:hAnsi="方正小标宋_GBK" w:eastAsia="方正小标宋_GBK" w:cs="方正小标宋_GBK"/>
          <w:sz w:val="52"/>
          <w:szCs w:val="52"/>
        </w:rPr>
        <w:t>科技项目经费审查技术规范书</w:t>
      </w: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both"/>
        <w:rPr>
          <w:rFonts w:ascii="Times New Roman" w:cs="Times New Roman"/>
          <w:color w:val="auto"/>
          <w:sz w:val="48"/>
          <w:szCs w:val="48"/>
        </w:rPr>
      </w:pPr>
    </w:p>
    <w:p>
      <w:pPr>
        <w:pStyle w:val="30"/>
        <w:jc w:val="center"/>
        <w:rPr>
          <w:rFonts w:hint="default" w:ascii="Times New Roman" w:eastAsia="黑体" w:cs="Times New Roman"/>
          <w:color w:val="auto"/>
          <w:sz w:val="28"/>
          <w:szCs w:val="28"/>
          <w:lang w:val="en-US" w:eastAsia="zh-CN"/>
        </w:rPr>
      </w:pPr>
      <w:r>
        <w:rPr>
          <w:rFonts w:ascii="Times New Roman" w:cs="Times New Roman"/>
          <w:color w:val="auto"/>
          <w:sz w:val="28"/>
          <w:szCs w:val="28"/>
        </w:rPr>
        <w:t>广西电网</w:t>
      </w:r>
      <w:r>
        <w:rPr>
          <w:rFonts w:hint="eastAsia" w:ascii="Times New Roman" w:cs="Times New Roman"/>
          <w:color w:val="auto"/>
          <w:sz w:val="28"/>
          <w:szCs w:val="28"/>
        </w:rPr>
        <w:t>有限责任</w:t>
      </w:r>
      <w:r>
        <w:rPr>
          <w:rFonts w:ascii="Times New Roman" w:cs="Times New Roman"/>
          <w:color w:val="auto"/>
          <w:sz w:val="28"/>
          <w:szCs w:val="28"/>
        </w:rPr>
        <w:t>公司</w:t>
      </w:r>
      <w:r>
        <w:rPr>
          <w:rFonts w:hint="eastAsia" w:ascii="Times New Roman" w:cs="Times New Roman"/>
          <w:color w:val="auto"/>
          <w:sz w:val="28"/>
          <w:szCs w:val="28"/>
          <w:lang w:val="en-US" w:eastAsia="zh-CN"/>
        </w:rPr>
        <w:t>北海供电局</w:t>
      </w:r>
    </w:p>
    <w:p>
      <w:pPr>
        <w:pStyle w:val="35"/>
        <w:adjustRightInd/>
        <w:spacing w:after="0" w:line="360" w:lineRule="auto"/>
        <w:jc w:val="center"/>
        <w:rPr>
          <w:rFonts w:ascii="Times New Roman"/>
          <w:sz w:val="28"/>
          <w:szCs w:val="28"/>
        </w:rPr>
      </w:pPr>
      <w:r>
        <w:rPr>
          <w:rFonts w:ascii="Times New Roman"/>
          <w:sz w:val="28"/>
          <w:szCs w:val="28"/>
        </w:rPr>
        <w:t>20</w:t>
      </w:r>
      <w:r>
        <w:rPr>
          <w:rFonts w:hint="eastAsia" w:ascii="Times New Roman"/>
          <w:sz w:val="28"/>
          <w:szCs w:val="28"/>
          <w:lang w:val="en-US" w:eastAsia="zh-CN"/>
        </w:rPr>
        <w:t>24</w:t>
      </w:r>
      <w:r>
        <w:rPr>
          <w:rFonts w:ascii="Times New Roman"/>
          <w:sz w:val="28"/>
          <w:szCs w:val="28"/>
        </w:rPr>
        <w:t>年</w:t>
      </w:r>
      <w:r>
        <w:rPr>
          <w:rFonts w:hint="eastAsia" w:ascii="Times New Roman"/>
          <w:sz w:val="28"/>
          <w:szCs w:val="28"/>
          <w:lang w:val="en-US" w:eastAsia="zh-CN"/>
        </w:rPr>
        <w:t>5</w:t>
      </w:r>
      <w:r>
        <w:rPr>
          <w:rFonts w:ascii="Times New Roman"/>
          <w:sz w:val="28"/>
          <w:szCs w:val="28"/>
        </w:rPr>
        <w:t>月</w:t>
      </w:r>
    </w:p>
    <w:p>
      <w:pPr>
        <w:pStyle w:val="30"/>
        <w:rPr>
          <w:rFonts w:hint="eastAsia"/>
        </w:rPr>
      </w:pPr>
    </w:p>
    <w:p>
      <w:pPr>
        <w:pStyle w:val="30"/>
        <w:rPr>
          <w:rFonts w:hint="eastAsia"/>
        </w:rPr>
      </w:pPr>
    </w:p>
    <w:p>
      <w:pPr>
        <w:pStyle w:val="30"/>
        <w:rPr>
          <w:rFonts w:hint="eastAsia"/>
        </w:rPr>
      </w:pPr>
    </w:p>
    <w:p>
      <w:pPr>
        <w:spacing w:line="360" w:lineRule="auto"/>
        <w:jc w:val="center"/>
        <w:rPr>
          <w:rFonts w:hint="eastAsia" w:ascii="方正小标宋_GBK" w:hAnsi="方正小标宋_GBK" w:eastAsia="方正小标宋_GBK" w:cs="方正小标宋_GBK"/>
          <w:bCs/>
          <w:sz w:val="44"/>
          <w:szCs w:val="44"/>
        </w:rPr>
      </w:pPr>
      <w:bookmarkStart w:id="0" w:name="_Toc18842"/>
      <w:bookmarkStart w:id="1" w:name="_Toc317801713"/>
    </w:p>
    <w:p>
      <w:pPr>
        <w:spacing w:line="360" w:lineRule="auto"/>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第三方科技项目</w:t>
      </w:r>
      <w:r>
        <w:rPr>
          <w:rFonts w:hint="eastAsia" w:ascii="方正小标宋_GBK" w:hAnsi="方正小标宋_GBK" w:eastAsia="方正小标宋_GBK" w:cs="方正小标宋_GBK"/>
          <w:bCs/>
          <w:sz w:val="44"/>
          <w:szCs w:val="44"/>
          <w:lang w:eastAsia="zh-CN"/>
        </w:rPr>
        <w:t>（应用技术研究类）</w:t>
      </w:r>
      <w:r>
        <w:rPr>
          <w:rFonts w:hint="eastAsia" w:ascii="方正小标宋_GBK" w:hAnsi="方正小标宋_GBK" w:eastAsia="方正小标宋_GBK" w:cs="方正小标宋_GBK"/>
          <w:bCs/>
          <w:sz w:val="44"/>
          <w:szCs w:val="44"/>
        </w:rPr>
        <w:t>经费审查技术规范书</w:t>
      </w:r>
      <w:bookmarkEnd w:id="0"/>
    </w:p>
    <w:p>
      <w:pPr>
        <w:pStyle w:val="3"/>
        <w:numPr>
          <w:ilvl w:val="0"/>
          <w:numId w:val="3"/>
        </w:numPr>
        <w:spacing w:before="0" w:after="0" w:line="360" w:lineRule="auto"/>
        <w:rPr>
          <w:rFonts w:ascii="Times New Roman" w:hAnsi="Times New Roman"/>
          <w:sz w:val="28"/>
          <w:szCs w:val="28"/>
        </w:rPr>
      </w:pPr>
      <w:bookmarkStart w:id="2" w:name="_Toc16739"/>
      <w:bookmarkStart w:id="3" w:name="_Toc3674"/>
      <w:r>
        <w:rPr>
          <w:rFonts w:ascii="Times New Roman"/>
          <w:sz w:val="28"/>
          <w:szCs w:val="28"/>
        </w:rPr>
        <w:t>总则</w:t>
      </w:r>
      <w:bookmarkEnd w:id="1"/>
      <w:bookmarkEnd w:id="2"/>
      <w:bookmarkEnd w:id="3"/>
    </w:p>
    <w:p>
      <w:pPr>
        <w:pStyle w:val="4"/>
        <w:numPr>
          <w:ilvl w:val="0"/>
          <w:numId w:val="0"/>
        </w:numPr>
        <w:spacing w:before="0" w:after="0" w:line="360" w:lineRule="auto"/>
        <w:rPr>
          <w:rFonts w:ascii="Times New Roman" w:hAnsi="Times New Roman"/>
          <w:sz w:val="24"/>
          <w:szCs w:val="21"/>
        </w:rPr>
      </w:pPr>
      <w:bookmarkStart w:id="4" w:name="_Toc8295"/>
      <w:bookmarkStart w:id="5" w:name="_Toc29835"/>
      <w:bookmarkStart w:id="6" w:name="_Toc268991603"/>
      <w:r>
        <w:rPr>
          <w:rFonts w:ascii="Times New Roman" w:hAnsi="Times New Roman"/>
          <w:sz w:val="24"/>
          <w:szCs w:val="21"/>
        </w:rPr>
        <w:t>1.1一般规定</w:t>
      </w:r>
      <w:bookmarkEnd w:id="4"/>
      <w:bookmarkEnd w:id="5"/>
      <w:bookmarkEnd w:id="6"/>
    </w:p>
    <w:p>
      <w:pPr>
        <w:pStyle w:val="37"/>
        <w:numPr>
          <w:ilvl w:val="0"/>
          <w:numId w:val="0"/>
        </w:numPr>
        <w:spacing w:line="360" w:lineRule="auto"/>
        <w:ind w:firstLine="480" w:firstLineChars="200"/>
        <w:rPr>
          <w:color w:val="000000"/>
          <w:szCs w:val="24"/>
        </w:rPr>
      </w:pPr>
      <w:bookmarkStart w:id="7" w:name="_Toc258845426"/>
      <w:bookmarkStart w:id="8" w:name="_Toc143401294"/>
      <w:r>
        <w:rPr>
          <w:color w:val="000000"/>
          <w:szCs w:val="24"/>
        </w:rPr>
        <w:t>1.1.1 本技术规范书提出了</w:t>
      </w:r>
      <w:r>
        <w:rPr>
          <w:rFonts w:hint="eastAsia"/>
          <w:color w:val="000000"/>
          <w:szCs w:val="24"/>
        </w:rPr>
        <w:t>“</w:t>
      </w:r>
      <w:r>
        <w:rPr>
          <w:rFonts w:hint="eastAsia"/>
        </w:rPr>
        <w:t>第三方科技项目</w:t>
      </w:r>
      <w:r>
        <w:rPr>
          <w:rFonts w:hint="eastAsia"/>
          <w:lang w:eastAsia="zh-CN"/>
        </w:rPr>
        <w:t>（</w:t>
      </w:r>
      <w:r>
        <w:rPr>
          <w:rFonts w:hint="eastAsia" w:ascii="宋体" w:hAnsi="宋体" w:cs="宋体"/>
          <w:sz w:val="24"/>
          <w:szCs w:val="24"/>
          <w:lang w:eastAsia="zh-CN"/>
        </w:rPr>
        <w:t>应用技术研究类</w:t>
      </w:r>
      <w:r>
        <w:rPr>
          <w:rFonts w:hint="eastAsia"/>
          <w:lang w:eastAsia="zh-CN"/>
        </w:rPr>
        <w:t>）</w:t>
      </w:r>
      <w:r>
        <w:rPr>
          <w:rFonts w:hint="eastAsia"/>
        </w:rPr>
        <w:t>经费审查</w:t>
      </w:r>
      <w:r>
        <w:rPr>
          <w:rFonts w:hint="eastAsia"/>
          <w:color w:val="000000"/>
          <w:szCs w:val="24"/>
        </w:rPr>
        <w:t>”</w:t>
      </w:r>
      <w:r>
        <w:rPr>
          <w:color w:val="000000"/>
          <w:szCs w:val="24"/>
        </w:rPr>
        <w:t>等方面的技术要求。</w:t>
      </w:r>
    </w:p>
    <w:p>
      <w:pPr>
        <w:pStyle w:val="37"/>
        <w:numPr>
          <w:ilvl w:val="0"/>
          <w:numId w:val="0"/>
        </w:numPr>
        <w:spacing w:line="360" w:lineRule="auto"/>
        <w:ind w:firstLine="480" w:firstLineChars="200"/>
        <w:rPr>
          <w:color w:val="000000"/>
          <w:szCs w:val="24"/>
        </w:rPr>
      </w:pPr>
      <w:r>
        <w:rPr>
          <w:color w:val="000000"/>
          <w:szCs w:val="24"/>
        </w:rPr>
        <w:t xml:space="preserve">1.1.2 </w:t>
      </w:r>
      <w:r>
        <w:rPr>
          <w:rFonts w:hAnsi="宋体"/>
          <w:color w:val="000000"/>
          <w:szCs w:val="24"/>
        </w:rPr>
        <w:t>本技术规范提出的是最低限度的技术要求，并未对一切技术细节做出规定，也未充分引述有关标准和规范的条文，</w:t>
      </w:r>
      <w:r>
        <w:rPr>
          <w:rFonts w:hint="eastAsia" w:hAnsi="宋体"/>
          <w:color w:val="000000"/>
          <w:szCs w:val="24"/>
        </w:rPr>
        <w:t>投标方</w:t>
      </w:r>
      <w:r>
        <w:rPr>
          <w:rFonts w:hAnsi="宋体"/>
          <w:color w:val="000000"/>
          <w:szCs w:val="24"/>
        </w:rPr>
        <w:t>应提供符合本技术规范引用标准的最新版本标准和本招标文件技术要求的全新产品，如果所引用的标准之间不一致或本招标文件所使用的标准如与</w:t>
      </w:r>
      <w:r>
        <w:rPr>
          <w:rFonts w:hint="eastAsia" w:hAnsi="宋体"/>
          <w:color w:val="000000"/>
          <w:szCs w:val="24"/>
        </w:rPr>
        <w:t>投标方</w:t>
      </w:r>
      <w:r>
        <w:rPr>
          <w:rFonts w:hAnsi="宋体"/>
          <w:color w:val="000000"/>
          <w:szCs w:val="24"/>
        </w:rPr>
        <w:t>所执行的标准不一致时，按要求较高的标准执行。</w:t>
      </w:r>
    </w:p>
    <w:p>
      <w:pPr>
        <w:pStyle w:val="37"/>
        <w:numPr>
          <w:ilvl w:val="0"/>
          <w:numId w:val="0"/>
        </w:numPr>
        <w:spacing w:line="360" w:lineRule="auto"/>
        <w:ind w:firstLine="480" w:firstLineChars="200"/>
        <w:rPr>
          <w:color w:val="000000"/>
          <w:szCs w:val="24"/>
        </w:rPr>
      </w:pPr>
      <w:r>
        <w:rPr>
          <w:color w:val="000000"/>
          <w:szCs w:val="24"/>
        </w:rPr>
        <w:t xml:space="preserve">1.1.3 </w:t>
      </w:r>
      <w:r>
        <w:rPr>
          <w:rFonts w:hint="eastAsia" w:hAnsi="宋体"/>
          <w:color w:val="000000"/>
          <w:szCs w:val="24"/>
        </w:rPr>
        <w:t>投标方</w:t>
      </w:r>
      <w:r>
        <w:rPr>
          <w:rFonts w:hAnsi="宋体"/>
          <w:color w:val="000000"/>
          <w:szCs w:val="24"/>
        </w:rPr>
        <w:t>须仔细阅读包括本技术规范阐述的全部条款。</w:t>
      </w:r>
      <w:r>
        <w:rPr>
          <w:rFonts w:hint="eastAsia" w:hAnsi="宋体"/>
          <w:color w:val="000000"/>
          <w:szCs w:val="24"/>
        </w:rPr>
        <w:t>投标方</w:t>
      </w:r>
      <w:r>
        <w:rPr>
          <w:rFonts w:hAnsi="宋体"/>
          <w:color w:val="000000"/>
          <w:szCs w:val="24"/>
        </w:rPr>
        <w:t>提供的</w:t>
      </w:r>
      <w:r>
        <w:rPr>
          <w:rFonts w:hint="eastAsia" w:hAnsi="宋体"/>
          <w:color w:val="000000"/>
          <w:szCs w:val="24"/>
        </w:rPr>
        <w:t>服务</w:t>
      </w:r>
      <w:r>
        <w:rPr>
          <w:rFonts w:hAnsi="宋体"/>
          <w:color w:val="000000"/>
          <w:szCs w:val="24"/>
        </w:rPr>
        <w:t>应符合招标文件所规定的要求，每一条款必须逐条作出明确答复，并列出具体技术数据和指标。如有必要，也可以在技术投标文件中以</w:t>
      </w:r>
      <w:r>
        <w:rPr>
          <w:color w:val="000000"/>
          <w:szCs w:val="24"/>
        </w:rPr>
        <w:t>“</w:t>
      </w:r>
      <w:r>
        <w:rPr>
          <w:rFonts w:hAnsi="宋体"/>
          <w:color w:val="000000"/>
          <w:szCs w:val="24"/>
        </w:rPr>
        <w:t>对规范书的意见和同规范书的差异</w:t>
      </w:r>
      <w:r>
        <w:rPr>
          <w:color w:val="000000"/>
          <w:szCs w:val="24"/>
        </w:rPr>
        <w:t>”</w:t>
      </w:r>
      <w:r>
        <w:rPr>
          <w:rFonts w:hAnsi="宋体"/>
          <w:color w:val="000000"/>
          <w:szCs w:val="24"/>
        </w:rPr>
        <w:t>为标题的专门章节加以详细描述。</w:t>
      </w:r>
    </w:p>
    <w:p>
      <w:pPr>
        <w:pStyle w:val="37"/>
        <w:numPr>
          <w:ilvl w:val="0"/>
          <w:numId w:val="0"/>
        </w:numPr>
        <w:spacing w:line="360" w:lineRule="auto"/>
        <w:ind w:firstLine="480" w:firstLineChars="200"/>
        <w:rPr>
          <w:color w:val="000000"/>
          <w:szCs w:val="24"/>
        </w:rPr>
      </w:pPr>
      <w:r>
        <w:rPr>
          <w:color w:val="000000"/>
          <w:szCs w:val="24"/>
        </w:rPr>
        <w:t xml:space="preserve">1.1.4 </w:t>
      </w:r>
      <w:r>
        <w:rPr>
          <w:rFonts w:hAnsi="宋体"/>
          <w:color w:val="000000"/>
          <w:szCs w:val="24"/>
        </w:rPr>
        <w:t>如果</w:t>
      </w:r>
      <w:r>
        <w:rPr>
          <w:rFonts w:hint="eastAsia" w:hAnsi="宋体"/>
          <w:color w:val="000000"/>
          <w:szCs w:val="24"/>
        </w:rPr>
        <w:t>投标方</w:t>
      </w:r>
      <w:r>
        <w:rPr>
          <w:rFonts w:hAnsi="宋体"/>
          <w:color w:val="000000"/>
          <w:szCs w:val="24"/>
        </w:rPr>
        <w:t>没有以书面形式对本招标文件技术规范的条文提出差异，则意味着</w:t>
      </w:r>
      <w:r>
        <w:rPr>
          <w:rFonts w:hint="eastAsia" w:hAnsi="宋体"/>
          <w:color w:val="000000"/>
          <w:szCs w:val="24"/>
        </w:rPr>
        <w:t>投标方</w:t>
      </w:r>
      <w:r>
        <w:rPr>
          <w:rFonts w:hAnsi="宋体"/>
          <w:color w:val="000000"/>
          <w:szCs w:val="24"/>
        </w:rPr>
        <w:t>提供的</w:t>
      </w:r>
      <w:r>
        <w:rPr>
          <w:rFonts w:hint="eastAsia" w:hAnsi="宋体"/>
          <w:color w:val="000000"/>
          <w:szCs w:val="24"/>
        </w:rPr>
        <w:t>服务</w:t>
      </w:r>
      <w:r>
        <w:rPr>
          <w:rFonts w:hAnsi="宋体"/>
          <w:color w:val="000000"/>
          <w:szCs w:val="24"/>
        </w:rPr>
        <w:t>完全符合本招标文件的要求。若有与本招标文件要求不一致的地方，必须逐项在</w:t>
      </w:r>
      <w:r>
        <w:rPr>
          <w:color w:val="000000"/>
          <w:szCs w:val="24"/>
        </w:rPr>
        <w:t>“</w:t>
      </w:r>
      <w:r>
        <w:rPr>
          <w:rFonts w:hAnsi="宋体"/>
          <w:color w:val="000000"/>
          <w:szCs w:val="24"/>
        </w:rPr>
        <w:t>技术差异表</w:t>
      </w:r>
      <w:r>
        <w:rPr>
          <w:color w:val="000000"/>
          <w:szCs w:val="24"/>
        </w:rPr>
        <w:t>”</w:t>
      </w:r>
      <w:r>
        <w:rPr>
          <w:rFonts w:hAnsi="宋体"/>
          <w:color w:val="000000"/>
          <w:szCs w:val="24"/>
        </w:rPr>
        <w:t>中列出。</w:t>
      </w:r>
    </w:p>
    <w:p>
      <w:pPr>
        <w:pStyle w:val="37"/>
        <w:numPr>
          <w:ilvl w:val="0"/>
          <w:numId w:val="0"/>
        </w:numPr>
        <w:spacing w:line="360" w:lineRule="auto"/>
        <w:ind w:firstLine="480" w:firstLineChars="200"/>
        <w:rPr>
          <w:color w:val="000000"/>
          <w:szCs w:val="24"/>
        </w:rPr>
      </w:pPr>
      <w:r>
        <w:rPr>
          <w:color w:val="000000"/>
          <w:szCs w:val="24"/>
        </w:rPr>
        <w:t xml:space="preserve">1.1.5 </w:t>
      </w:r>
      <w:r>
        <w:rPr>
          <w:rFonts w:hAnsi="宋体"/>
          <w:color w:val="000000"/>
          <w:szCs w:val="24"/>
        </w:rPr>
        <w:t>本技术规范书经招、投标双方确认后作为订合同的技术附件，与合同正文具有同等的法律效力。</w:t>
      </w:r>
    </w:p>
    <w:p>
      <w:pPr>
        <w:pStyle w:val="37"/>
        <w:numPr>
          <w:ilvl w:val="0"/>
          <w:numId w:val="0"/>
        </w:numPr>
        <w:spacing w:line="360" w:lineRule="auto"/>
        <w:ind w:firstLine="480" w:firstLineChars="200"/>
        <w:rPr>
          <w:color w:val="000000"/>
          <w:szCs w:val="24"/>
        </w:rPr>
      </w:pPr>
      <w:r>
        <w:rPr>
          <w:color w:val="000000"/>
          <w:szCs w:val="24"/>
        </w:rPr>
        <w:t xml:space="preserve">1.1.6 </w:t>
      </w:r>
      <w:r>
        <w:rPr>
          <w:rFonts w:hAnsi="宋体"/>
          <w:color w:val="000000"/>
          <w:szCs w:val="24"/>
        </w:rPr>
        <w:t>本技术规范书未尽事宜，由招、</w:t>
      </w:r>
      <w:r>
        <w:rPr>
          <w:rFonts w:hint="eastAsia" w:hAnsi="宋体"/>
          <w:color w:val="000000"/>
          <w:szCs w:val="24"/>
        </w:rPr>
        <w:t>投标方</w:t>
      </w:r>
      <w:r>
        <w:rPr>
          <w:rFonts w:hAnsi="宋体"/>
          <w:color w:val="000000"/>
          <w:szCs w:val="24"/>
        </w:rPr>
        <w:t>双方协商确定。</w:t>
      </w:r>
    </w:p>
    <w:p>
      <w:pPr>
        <w:pStyle w:val="4"/>
        <w:numPr>
          <w:ilvl w:val="0"/>
          <w:numId w:val="0"/>
        </w:numPr>
        <w:spacing w:before="0" w:after="0" w:line="360" w:lineRule="auto"/>
        <w:rPr>
          <w:rFonts w:ascii="Times New Roman" w:hAnsi="Times New Roman"/>
          <w:sz w:val="24"/>
          <w:szCs w:val="21"/>
        </w:rPr>
      </w:pPr>
      <w:bookmarkStart w:id="9" w:name="_Toc30362"/>
      <w:bookmarkStart w:id="10" w:name="_Toc268991605"/>
      <w:bookmarkStart w:id="11" w:name="_Toc31753"/>
      <w:r>
        <w:rPr>
          <w:rFonts w:ascii="Times New Roman" w:hAnsi="Times New Roman"/>
          <w:sz w:val="24"/>
          <w:szCs w:val="21"/>
        </w:rPr>
        <w:t>1.</w:t>
      </w:r>
      <w:r>
        <w:rPr>
          <w:rFonts w:hint="eastAsia" w:ascii="Times New Roman" w:hAnsi="Times New Roman"/>
          <w:sz w:val="24"/>
          <w:szCs w:val="21"/>
        </w:rPr>
        <w:t>2</w:t>
      </w:r>
      <w:r>
        <w:rPr>
          <w:rFonts w:ascii="Times New Roman" w:hAnsi="Times New Roman"/>
          <w:sz w:val="24"/>
          <w:szCs w:val="21"/>
        </w:rPr>
        <w:t>工作范围和进度</w:t>
      </w:r>
      <w:bookmarkEnd w:id="9"/>
      <w:bookmarkEnd w:id="10"/>
      <w:bookmarkEnd w:id="11"/>
    </w:p>
    <w:p>
      <w:pPr>
        <w:spacing w:line="360" w:lineRule="auto"/>
        <w:ind w:firstLine="480" w:firstLineChars="200"/>
        <w:rPr>
          <w:rFonts w:hint="eastAsia" w:hAnsi="宋体"/>
          <w:color w:val="000000"/>
          <w:sz w:val="24"/>
        </w:rPr>
      </w:pPr>
      <w:r>
        <w:rPr>
          <w:color w:val="000000"/>
          <w:sz w:val="24"/>
        </w:rPr>
        <w:t>1.</w:t>
      </w:r>
      <w:r>
        <w:rPr>
          <w:rFonts w:hint="eastAsia" w:hAnsi="宋体"/>
          <w:color w:val="000000"/>
          <w:sz w:val="24"/>
        </w:rPr>
        <w:t>2.1本次服务内容：</w:t>
      </w:r>
      <w:r>
        <w:rPr>
          <w:rFonts w:hint="eastAsia" w:hAnsi="宋体"/>
          <w:color w:val="000000"/>
          <w:sz w:val="24"/>
          <w:highlight w:val="yellow"/>
          <w:lang w:val="en-US" w:eastAsia="zh-CN"/>
        </w:rPr>
        <w:t>北海供电局2024年</w:t>
      </w:r>
      <w:r>
        <w:rPr>
          <w:rFonts w:hint="eastAsia" w:hAnsi="宋体"/>
          <w:color w:val="000000"/>
          <w:sz w:val="24"/>
        </w:rPr>
        <w:t>第三方</w:t>
      </w:r>
      <w:r>
        <w:rPr>
          <w:rFonts w:hint="eastAsia" w:hAnsi="宋体"/>
          <w:color w:val="000000"/>
          <w:sz w:val="24"/>
          <w:lang w:eastAsia="zh-CN"/>
        </w:rPr>
        <w:t>科技项目</w:t>
      </w:r>
      <w:r>
        <w:rPr>
          <w:rFonts w:hint="eastAsia" w:hAnsi="宋体"/>
          <w:color w:val="000000"/>
          <w:sz w:val="24"/>
          <w:lang w:val="en-US" w:eastAsia="zh-CN"/>
        </w:rPr>
        <w:t>科技项目验收经费审查</w:t>
      </w:r>
      <w:r>
        <w:rPr>
          <w:rFonts w:hint="eastAsia" w:hAnsi="宋体"/>
          <w:color w:val="000000"/>
          <w:sz w:val="24"/>
        </w:rPr>
        <w:t>。</w:t>
      </w:r>
    </w:p>
    <w:p>
      <w:pPr>
        <w:spacing w:line="360" w:lineRule="auto"/>
        <w:ind w:firstLine="480" w:firstLineChars="200"/>
        <w:rPr>
          <w:rFonts w:hint="eastAsia" w:hAnsi="宋体"/>
          <w:color w:val="000000"/>
          <w:sz w:val="24"/>
        </w:rPr>
      </w:pPr>
      <w:r>
        <w:rPr>
          <w:rFonts w:hAnsi="宋体"/>
          <w:color w:val="000000"/>
          <w:sz w:val="24"/>
        </w:rPr>
        <w:t>1.</w:t>
      </w:r>
      <w:r>
        <w:rPr>
          <w:rFonts w:hint="eastAsia" w:hAnsi="宋体"/>
          <w:color w:val="000000"/>
          <w:sz w:val="24"/>
        </w:rPr>
        <w:t>2</w:t>
      </w:r>
      <w:r>
        <w:rPr>
          <w:rFonts w:hAnsi="宋体"/>
          <w:color w:val="000000"/>
          <w:sz w:val="24"/>
        </w:rPr>
        <w:t>.</w:t>
      </w:r>
      <w:r>
        <w:rPr>
          <w:rFonts w:hint="eastAsia" w:hAnsi="宋体"/>
          <w:color w:val="000000"/>
          <w:sz w:val="24"/>
        </w:rPr>
        <w:t>2服务期限</w:t>
      </w:r>
      <w:r>
        <w:rPr>
          <w:rFonts w:hAnsi="宋体"/>
          <w:color w:val="000000"/>
          <w:sz w:val="24"/>
        </w:rPr>
        <w:t>：</w:t>
      </w:r>
      <w:r>
        <w:rPr>
          <w:rFonts w:hint="eastAsia" w:hAnsi="宋体"/>
          <w:color w:val="000000"/>
          <w:sz w:val="24"/>
        </w:rPr>
        <w:t>合同</w:t>
      </w:r>
      <w:r>
        <w:rPr>
          <w:rFonts w:hint="eastAsia" w:hAnsi="宋体"/>
          <w:color w:val="000000"/>
          <w:sz w:val="24"/>
          <w:lang w:eastAsia="zh-CN"/>
        </w:rPr>
        <w:t>约定</w:t>
      </w:r>
      <w:r>
        <w:rPr>
          <w:rFonts w:hint="eastAsia" w:hAnsi="宋体"/>
          <w:color w:val="000000"/>
          <w:sz w:val="24"/>
        </w:rPr>
        <w:t>之日起至20</w:t>
      </w:r>
      <w:r>
        <w:rPr>
          <w:rFonts w:hint="eastAsia" w:hAnsi="宋体"/>
          <w:color w:val="000000"/>
          <w:sz w:val="24"/>
          <w:lang w:val="en-US" w:eastAsia="zh-CN"/>
        </w:rPr>
        <w:t>24</w:t>
      </w:r>
      <w:r>
        <w:rPr>
          <w:rFonts w:hint="eastAsia" w:hAnsi="宋体"/>
          <w:color w:val="000000"/>
          <w:sz w:val="24"/>
        </w:rPr>
        <w:t>年</w:t>
      </w:r>
      <w:r>
        <w:rPr>
          <w:rFonts w:hint="eastAsia" w:hAnsi="宋体"/>
          <w:color w:val="000000"/>
          <w:sz w:val="24"/>
          <w:lang w:val="en-US" w:eastAsia="zh-CN"/>
        </w:rPr>
        <w:t>11</w:t>
      </w:r>
      <w:r>
        <w:rPr>
          <w:rFonts w:hint="eastAsia" w:hAnsi="宋体"/>
          <w:color w:val="000000"/>
          <w:sz w:val="24"/>
        </w:rPr>
        <w:t>月3</w:t>
      </w:r>
      <w:r>
        <w:rPr>
          <w:rFonts w:hint="eastAsia" w:hAnsi="宋体"/>
          <w:color w:val="000000"/>
          <w:sz w:val="24"/>
          <w:lang w:val="en-US" w:eastAsia="zh-CN"/>
        </w:rPr>
        <w:t>0</w:t>
      </w:r>
      <w:r>
        <w:rPr>
          <w:rFonts w:hint="eastAsia" w:hAnsi="宋体"/>
          <w:color w:val="000000"/>
          <w:sz w:val="24"/>
        </w:rPr>
        <w:t>日。</w:t>
      </w:r>
    </w:p>
    <w:bookmarkEnd w:id="7"/>
    <w:p>
      <w:pPr>
        <w:pStyle w:val="4"/>
        <w:numPr>
          <w:ilvl w:val="0"/>
          <w:numId w:val="0"/>
        </w:numPr>
        <w:spacing w:before="0" w:after="0" w:line="360" w:lineRule="auto"/>
        <w:rPr>
          <w:rFonts w:ascii="Times New Roman" w:hAnsi="Times New Roman"/>
          <w:sz w:val="24"/>
          <w:szCs w:val="21"/>
        </w:rPr>
      </w:pPr>
      <w:bookmarkStart w:id="12" w:name="_Toc268991606"/>
      <w:bookmarkStart w:id="13" w:name="_Toc19146"/>
      <w:bookmarkStart w:id="14" w:name="_Toc23479"/>
      <w:r>
        <w:rPr>
          <w:rFonts w:ascii="Times New Roman" w:hAnsi="Times New Roman"/>
          <w:sz w:val="24"/>
          <w:szCs w:val="21"/>
        </w:rPr>
        <w:t>1.</w:t>
      </w:r>
      <w:r>
        <w:rPr>
          <w:rFonts w:hint="eastAsia" w:ascii="Times New Roman" w:hAnsi="Times New Roman"/>
          <w:sz w:val="24"/>
          <w:szCs w:val="21"/>
        </w:rPr>
        <w:t>3</w:t>
      </w:r>
      <w:r>
        <w:rPr>
          <w:rFonts w:ascii="Times New Roman" w:hAnsi="Times New Roman"/>
          <w:sz w:val="24"/>
          <w:szCs w:val="21"/>
        </w:rPr>
        <w:t>标准规范</w:t>
      </w:r>
      <w:bookmarkEnd w:id="12"/>
      <w:bookmarkEnd w:id="13"/>
      <w:bookmarkEnd w:id="14"/>
      <w:bookmarkStart w:id="56" w:name="_GoBack"/>
      <w:bookmarkEnd w:id="56"/>
    </w:p>
    <w:p>
      <w:pPr>
        <w:spacing w:line="360" w:lineRule="auto"/>
        <w:ind w:right="9" w:firstLine="480" w:firstLineChars="200"/>
        <w:rPr>
          <w:color w:val="000000"/>
          <w:sz w:val="24"/>
        </w:rPr>
      </w:pPr>
      <w:r>
        <w:rPr>
          <w:color w:val="000000"/>
          <w:sz w:val="24"/>
        </w:rPr>
        <w:t>1.</w:t>
      </w:r>
      <w:r>
        <w:rPr>
          <w:rFonts w:hint="eastAsia"/>
          <w:color w:val="000000"/>
          <w:sz w:val="24"/>
        </w:rPr>
        <w:t>3</w:t>
      </w:r>
      <w:r>
        <w:rPr>
          <w:color w:val="000000"/>
          <w:sz w:val="24"/>
        </w:rPr>
        <w:t>.1 应遵循的主要现行标准</w:t>
      </w:r>
    </w:p>
    <w:p>
      <w:pPr>
        <w:pStyle w:val="37"/>
        <w:numPr>
          <w:ilvl w:val="0"/>
          <w:numId w:val="0"/>
        </w:numPr>
        <w:spacing w:line="360" w:lineRule="auto"/>
        <w:ind w:firstLine="480" w:firstLineChars="200"/>
        <w:rPr>
          <w:color w:val="000000"/>
          <w:szCs w:val="24"/>
        </w:rPr>
      </w:pPr>
      <w:r>
        <w:rPr>
          <w:color w:val="000000"/>
          <w:szCs w:val="24"/>
        </w:rPr>
        <w:t>本规范书提出了最低限度的</w:t>
      </w:r>
      <w:r>
        <w:rPr>
          <w:rFonts w:hint="eastAsia"/>
          <w:color w:val="000000"/>
          <w:szCs w:val="24"/>
        </w:rPr>
        <w:t>服务</w:t>
      </w:r>
      <w:r>
        <w:rPr>
          <w:color w:val="000000"/>
          <w:szCs w:val="24"/>
        </w:rPr>
        <w:t>要求，并未规定所有的</w:t>
      </w:r>
      <w:r>
        <w:rPr>
          <w:rFonts w:hint="eastAsia"/>
          <w:color w:val="000000"/>
          <w:szCs w:val="24"/>
        </w:rPr>
        <w:t>服务</w:t>
      </w:r>
      <w:r>
        <w:rPr>
          <w:color w:val="000000"/>
          <w:szCs w:val="24"/>
        </w:rPr>
        <w:t>要求和适用的标准，对国家有关的强制性标准，必须满足其要求。</w:t>
      </w:r>
      <w:r>
        <w:rPr>
          <w:rFonts w:hint="eastAsia"/>
          <w:color w:val="000000"/>
          <w:szCs w:val="24"/>
        </w:rPr>
        <w:t>如以下规定：</w:t>
      </w:r>
    </w:p>
    <w:p>
      <w:pPr>
        <w:pStyle w:val="37"/>
        <w:numPr>
          <w:ilvl w:val="0"/>
          <w:numId w:val="0"/>
        </w:numPr>
        <w:spacing w:line="360" w:lineRule="auto"/>
        <w:ind w:firstLine="480" w:firstLineChars="200"/>
        <w:rPr>
          <w:rFonts w:hint="eastAsia"/>
          <w:color w:val="000000"/>
          <w:szCs w:val="24"/>
        </w:rPr>
      </w:pPr>
      <w:r>
        <w:rPr>
          <w:rFonts w:hint="eastAsia"/>
          <w:color w:val="000000"/>
          <w:szCs w:val="24"/>
        </w:rPr>
        <w:t>《关于印发&lt;科技部科技计划课题预算评估评审规范&gt;的通知》 （国科发财字[2006]99号）</w:t>
      </w:r>
    </w:p>
    <w:p>
      <w:pPr>
        <w:pStyle w:val="37"/>
        <w:numPr>
          <w:ilvl w:val="0"/>
          <w:numId w:val="0"/>
        </w:numPr>
        <w:spacing w:line="360" w:lineRule="auto"/>
        <w:ind w:firstLine="480" w:firstLineChars="200"/>
        <w:rPr>
          <w:rFonts w:hint="eastAsia"/>
          <w:color w:val="000000"/>
          <w:szCs w:val="24"/>
        </w:rPr>
      </w:pPr>
      <w:r>
        <w:rPr>
          <w:rFonts w:hint="eastAsia"/>
          <w:color w:val="000000"/>
          <w:szCs w:val="24"/>
        </w:rPr>
        <w:t>《关于印发&lt;科技部科技计划课题预算评估评审实施细则&gt;（暂行）的通知》 （国科发财字[2006]405号）</w:t>
      </w:r>
    </w:p>
    <w:p>
      <w:pPr>
        <w:pStyle w:val="37"/>
        <w:numPr>
          <w:ilvl w:val="0"/>
          <w:numId w:val="0"/>
        </w:numPr>
        <w:spacing w:line="360" w:lineRule="auto"/>
        <w:ind w:firstLine="480" w:firstLineChars="200"/>
        <w:rPr>
          <w:rFonts w:hint="eastAsia"/>
          <w:color w:val="000000"/>
          <w:szCs w:val="24"/>
        </w:rPr>
      </w:pPr>
      <w:r>
        <w:rPr>
          <w:rFonts w:hint="eastAsia"/>
          <w:color w:val="000000"/>
          <w:szCs w:val="24"/>
        </w:rPr>
        <w:t>《财政部关于企业加强研发费用财务管理的若干意见》（财企[2007]194号）</w:t>
      </w:r>
    </w:p>
    <w:p>
      <w:pPr>
        <w:pStyle w:val="37"/>
        <w:numPr>
          <w:ilvl w:val="0"/>
          <w:numId w:val="0"/>
        </w:numPr>
        <w:spacing w:line="360" w:lineRule="auto"/>
        <w:ind w:left="420" w:leftChars="200"/>
        <w:rPr>
          <w:rFonts w:hint="eastAsia" w:ascii="Times New Roman" w:hAnsi="Times New Roman" w:cs="Times New Roman"/>
          <w:color w:val="000000"/>
          <w:szCs w:val="24"/>
        </w:rPr>
      </w:pPr>
      <w:r>
        <w:rPr>
          <w:rFonts w:hint="eastAsia" w:ascii="Times New Roman" w:hAnsi="Times New Roman" w:cs="Times New Roman"/>
          <w:color w:val="000000"/>
          <w:szCs w:val="24"/>
        </w:rPr>
        <w:t>《中国南方电网有限责任公司科技项目管理办法》</w:t>
      </w:r>
    </w:p>
    <w:p>
      <w:pPr>
        <w:pStyle w:val="37"/>
        <w:numPr>
          <w:ilvl w:val="0"/>
          <w:numId w:val="0"/>
        </w:numPr>
        <w:spacing w:line="360" w:lineRule="auto"/>
        <w:ind w:left="420" w:leftChars="200"/>
        <w:rPr>
          <w:rFonts w:hint="eastAsia" w:ascii="Times New Roman" w:hAnsi="Times New Roman" w:cs="Times New Roman"/>
          <w:color w:val="000000"/>
          <w:szCs w:val="24"/>
          <w:highlight w:val="none"/>
          <w:lang w:eastAsia="zh-CN"/>
        </w:rPr>
      </w:pPr>
      <w:r>
        <w:rPr>
          <w:rFonts w:hint="eastAsia" w:ascii="Times New Roman" w:hAnsi="Times New Roman" w:cs="Times New Roman"/>
          <w:color w:val="000000"/>
          <w:szCs w:val="24"/>
          <w:highlight w:val="none"/>
          <w:lang w:eastAsia="zh-CN"/>
        </w:rPr>
        <w:t>《广西电网有限责任公司科技项目管理细则》</w:t>
      </w:r>
    </w:p>
    <w:p>
      <w:pPr>
        <w:spacing w:line="360" w:lineRule="auto"/>
        <w:ind w:right="9" w:firstLine="480" w:firstLineChars="200"/>
        <w:rPr>
          <w:color w:val="000000"/>
          <w:sz w:val="24"/>
        </w:rPr>
      </w:pPr>
      <w:r>
        <w:rPr>
          <w:color w:val="000000"/>
          <w:sz w:val="24"/>
        </w:rPr>
        <w:t>1.</w:t>
      </w:r>
      <w:r>
        <w:rPr>
          <w:rFonts w:hint="eastAsia"/>
          <w:color w:val="000000"/>
          <w:sz w:val="24"/>
        </w:rPr>
        <w:t>3</w:t>
      </w:r>
      <w:r>
        <w:rPr>
          <w:color w:val="000000"/>
          <w:sz w:val="24"/>
        </w:rPr>
        <w:t>.2上述标准和规范仅规定了通用要求，只要</w:t>
      </w:r>
      <w:r>
        <w:rPr>
          <w:rFonts w:hint="eastAsia"/>
          <w:color w:val="000000"/>
          <w:sz w:val="24"/>
        </w:rPr>
        <w:t>投标方</w:t>
      </w:r>
      <w:r>
        <w:rPr>
          <w:color w:val="000000"/>
          <w:sz w:val="24"/>
        </w:rPr>
        <w:t>认为有必要且经</w:t>
      </w:r>
      <w:r>
        <w:rPr>
          <w:rFonts w:hint="eastAsia"/>
          <w:color w:val="000000"/>
          <w:sz w:val="24"/>
        </w:rPr>
        <w:t>招标方</w:t>
      </w:r>
      <w:r>
        <w:rPr>
          <w:color w:val="000000"/>
          <w:sz w:val="24"/>
        </w:rPr>
        <w:t>认可，即可超越这些标准，采用更好、更经济</w:t>
      </w:r>
      <w:r>
        <w:rPr>
          <w:rFonts w:hint="eastAsia"/>
          <w:color w:val="000000"/>
          <w:sz w:val="24"/>
        </w:rPr>
        <w:t>的方式</w:t>
      </w:r>
      <w:r>
        <w:rPr>
          <w:color w:val="000000"/>
          <w:sz w:val="24"/>
        </w:rPr>
        <w:t>，使</w:t>
      </w:r>
      <w:r>
        <w:rPr>
          <w:rFonts w:hint="eastAsia"/>
          <w:color w:val="000000"/>
          <w:sz w:val="24"/>
        </w:rPr>
        <w:t>投标方</w:t>
      </w:r>
      <w:r>
        <w:rPr>
          <w:color w:val="000000"/>
          <w:sz w:val="24"/>
        </w:rPr>
        <w:t>的</w:t>
      </w:r>
      <w:r>
        <w:rPr>
          <w:rFonts w:hint="eastAsia"/>
          <w:color w:val="000000"/>
          <w:sz w:val="24"/>
        </w:rPr>
        <w:t>服务</w:t>
      </w:r>
      <w:r>
        <w:rPr>
          <w:color w:val="000000"/>
          <w:sz w:val="24"/>
        </w:rPr>
        <w:t>持续稳定地运行。</w:t>
      </w:r>
    </w:p>
    <w:p>
      <w:pPr>
        <w:pStyle w:val="4"/>
        <w:numPr>
          <w:ilvl w:val="0"/>
          <w:numId w:val="0"/>
        </w:numPr>
        <w:spacing w:before="0" w:after="0" w:line="360" w:lineRule="auto"/>
        <w:rPr>
          <w:rFonts w:ascii="Times New Roman" w:hAnsi="Times New Roman"/>
          <w:sz w:val="24"/>
          <w:szCs w:val="21"/>
        </w:rPr>
      </w:pPr>
      <w:bookmarkStart w:id="15" w:name="_Toc30805"/>
      <w:bookmarkStart w:id="16" w:name="_Toc11552"/>
      <w:bookmarkStart w:id="17" w:name="_Toc302649463"/>
      <w:r>
        <w:rPr>
          <w:rFonts w:ascii="Times New Roman" w:hAnsi="Times New Roman"/>
          <w:sz w:val="24"/>
          <w:szCs w:val="21"/>
        </w:rPr>
        <w:t>1.</w:t>
      </w:r>
      <w:r>
        <w:rPr>
          <w:rFonts w:hint="eastAsia" w:ascii="Times New Roman" w:hAnsi="Times New Roman"/>
          <w:sz w:val="24"/>
          <w:szCs w:val="21"/>
        </w:rPr>
        <w:t>4</w:t>
      </w:r>
      <w:r>
        <w:rPr>
          <w:rFonts w:ascii="Times New Roman" w:hAnsi="Times New Roman"/>
          <w:sz w:val="24"/>
          <w:szCs w:val="21"/>
        </w:rPr>
        <w:t>技术投标书内容</w:t>
      </w:r>
      <w:bookmarkEnd w:id="15"/>
      <w:bookmarkEnd w:id="16"/>
      <w:bookmarkEnd w:id="17"/>
    </w:p>
    <w:p>
      <w:pPr>
        <w:pStyle w:val="37"/>
        <w:numPr>
          <w:ilvl w:val="0"/>
          <w:numId w:val="0"/>
        </w:numPr>
        <w:spacing w:line="360" w:lineRule="auto"/>
        <w:ind w:firstLine="480" w:firstLineChars="200"/>
        <w:rPr>
          <w:color w:val="000000"/>
          <w:szCs w:val="24"/>
        </w:rPr>
      </w:pPr>
      <w:r>
        <w:rPr>
          <w:rFonts w:hint="eastAsia" w:hAnsi="宋体"/>
          <w:color w:val="000000"/>
          <w:szCs w:val="24"/>
        </w:rPr>
        <w:t>投标方</w:t>
      </w:r>
      <w:r>
        <w:rPr>
          <w:rFonts w:hAnsi="宋体"/>
          <w:color w:val="000000"/>
          <w:szCs w:val="24"/>
        </w:rPr>
        <w:t>请按照以下章节划分要求准备技术投标文件，同时在文件中充分清晰地应答本招标文件所有要求：</w:t>
      </w:r>
    </w:p>
    <w:p>
      <w:pPr>
        <w:pStyle w:val="37"/>
        <w:numPr>
          <w:ilvl w:val="0"/>
          <w:numId w:val="0"/>
        </w:numPr>
        <w:spacing w:line="360" w:lineRule="auto"/>
        <w:ind w:firstLine="480" w:firstLineChars="200"/>
        <w:rPr>
          <w:rFonts w:hAnsi="宋体"/>
          <w:color w:val="000000"/>
          <w:szCs w:val="24"/>
        </w:rPr>
      </w:pPr>
      <w:r>
        <w:rPr>
          <w:rFonts w:hAnsi="宋体"/>
          <w:color w:val="000000"/>
          <w:szCs w:val="24"/>
        </w:rPr>
        <w:t>1.</w:t>
      </w:r>
      <w:r>
        <w:rPr>
          <w:rFonts w:hint="eastAsia" w:hAnsi="宋体"/>
          <w:color w:val="000000"/>
          <w:szCs w:val="24"/>
        </w:rPr>
        <w:t>4</w:t>
      </w:r>
      <w:r>
        <w:rPr>
          <w:rFonts w:hAnsi="宋体"/>
          <w:color w:val="000000"/>
          <w:szCs w:val="24"/>
        </w:rPr>
        <w:t>.1总述</w:t>
      </w:r>
    </w:p>
    <w:p>
      <w:pPr>
        <w:pStyle w:val="37"/>
        <w:numPr>
          <w:ilvl w:val="0"/>
          <w:numId w:val="0"/>
        </w:numPr>
        <w:spacing w:line="360" w:lineRule="auto"/>
        <w:ind w:firstLine="480" w:firstLineChars="200"/>
        <w:rPr>
          <w:rFonts w:hAnsi="宋体"/>
          <w:color w:val="000000"/>
          <w:szCs w:val="24"/>
        </w:rPr>
      </w:pPr>
      <w:r>
        <w:rPr>
          <w:rFonts w:hAnsi="宋体"/>
          <w:color w:val="000000"/>
          <w:szCs w:val="24"/>
        </w:rPr>
        <w:t>对本项目的理解分析，以及建设背景，目标说明等。</w:t>
      </w:r>
    </w:p>
    <w:p>
      <w:pPr>
        <w:pStyle w:val="37"/>
        <w:numPr>
          <w:ilvl w:val="0"/>
          <w:numId w:val="0"/>
        </w:numPr>
        <w:spacing w:line="360" w:lineRule="auto"/>
        <w:ind w:firstLine="480" w:firstLineChars="200"/>
        <w:rPr>
          <w:rFonts w:hint="eastAsia" w:hAnsi="宋体"/>
          <w:color w:val="000000"/>
          <w:szCs w:val="24"/>
        </w:rPr>
      </w:pPr>
      <w:r>
        <w:rPr>
          <w:rFonts w:hAnsi="宋体"/>
          <w:color w:val="000000"/>
          <w:szCs w:val="24"/>
        </w:rPr>
        <w:t>1.</w:t>
      </w:r>
      <w:r>
        <w:rPr>
          <w:rFonts w:hint="eastAsia" w:hAnsi="宋体"/>
          <w:color w:val="000000"/>
          <w:szCs w:val="24"/>
        </w:rPr>
        <w:t>4</w:t>
      </w:r>
      <w:r>
        <w:rPr>
          <w:rFonts w:hAnsi="宋体"/>
          <w:color w:val="000000"/>
          <w:szCs w:val="24"/>
        </w:rPr>
        <w:t>.2</w:t>
      </w:r>
      <w:r>
        <w:rPr>
          <w:rFonts w:hint="eastAsia" w:hAnsi="宋体"/>
          <w:color w:val="000000"/>
          <w:szCs w:val="24"/>
        </w:rPr>
        <w:t>服务结构</w:t>
      </w:r>
    </w:p>
    <w:p>
      <w:pPr>
        <w:pStyle w:val="37"/>
        <w:numPr>
          <w:ilvl w:val="0"/>
          <w:numId w:val="0"/>
        </w:numPr>
        <w:spacing w:line="360" w:lineRule="auto"/>
        <w:ind w:firstLine="480" w:firstLineChars="200"/>
        <w:rPr>
          <w:rFonts w:hint="eastAsia" w:ascii="宋体" w:hAnsi="宋体"/>
          <w:szCs w:val="24"/>
        </w:rPr>
      </w:pPr>
      <w:r>
        <w:rPr>
          <w:rFonts w:hint="eastAsia" w:hAnsi="宋体"/>
          <w:color w:val="000000"/>
          <w:szCs w:val="24"/>
        </w:rPr>
        <w:t>具体说明公司规模以及结构，以及拟指派服务投标方的业务负责人、团队的资质简历状况。</w:t>
      </w:r>
    </w:p>
    <w:p>
      <w:pPr>
        <w:pStyle w:val="37"/>
        <w:numPr>
          <w:ilvl w:val="0"/>
          <w:numId w:val="0"/>
        </w:numPr>
        <w:spacing w:line="360" w:lineRule="auto"/>
        <w:ind w:firstLine="480" w:firstLineChars="200"/>
        <w:rPr>
          <w:rFonts w:hint="eastAsia" w:hAnsi="宋体"/>
          <w:color w:val="000000"/>
          <w:szCs w:val="24"/>
        </w:rPr>
      </w:pPr>
      <w:r>
        <w:rPr>
          <w:rFonts w:hAnsi="宋体"/>
          <w:color w:val="000000"/>
          <w:szCs w:val="24"/>
        </w:rPr>
        <w:t>1.</w:t>
      </w:r>
      <w:r>
        <w:rPr>
          <w:rFonts w:hint="eastAsia" w:hAnsi="宋体"/>
          <w:color w:val="000000"/>
          <w:szCs w:val="24"/>
        </w:rPr>
        <w:t>4</w:t>
      </w:r>
      <w:r>
        <w:rPr>
          <w:rFonts w:hAnsi="宋体"/>
          <w:color w:val="000000"/>
          <w:szCs w:val="24"/>
        </w:rPr>
        <w:t>.</w:t>
      </w:r>
      <w:r>
        <w:rPr>
          <w:rFonts w:hint="eastAsia" w:hAnsi="宋体"/>
          <w:color w:val="000000"/>
          <w:szCs w:val="24"/>
          <w:lang w:val="en-US" w:eastAsia="zh-CN"/>
        </w:rPr>
        <w:t>3</w:t>
      </w:r>
      <w:r>
        <w:rPr>
          <w:rFonts w:hint="eastAsia" w:hAnsi="宋体"/>
          <w:color w:val="000000"/>
          <w:szCs w:val="24"/>
        </w:rPr>
        <w:t>服务承诺及优惠条件</w:t>
      </w:r>
    </w:p>
    <w:p>
      <w:pPr>
        <w:pStyle w:val="37"/>
        <w:numPr>
          <w:ilvl w:val="0"/>
          <w:numId w:val="0"/>
        </w:numPr>
        <w:spacing w:line="360" w:lineRule="auto"/>
        <w:ind w:firstLine="480" w:firstLineChars="200"/>
        <w:rPr>
          <w:rFonts w:hint="eastAsia" w:hAnsi="宋体"/>
          <w:color w:val="000000"/>
          <w:szCs w:val="24"/>
        </w:rPr>
      </w:pPr>
      <w:r>
        <w:rPr>
          <w:rFonts w:hint="eastAsia" w:hAnsi="宋体"/>
          <w:color w:val="000000"/>
          <w:szCs w:val="24"/>
        </w:rPr>
        <w:t>提出业务处理启动时间、一般事务处理时长等相关承诺，重点是接到审查委托及合同送审资料后启动审查报告编制的时间，一般多少工作日可以完成初稿等信息，中间文件处理时间，重点为审查报告完成时间等信息。</w:t>
      </w:r>
    </w:p>
    <w:p>
      <w:pPr>
        <w:ind w:firstLine="480" w:firstLineChars="200"/>
        <w:rPr>
          <w:rFonts w:hint="eastAsia" w:hAnsi="宋体"/>
          <w:color w:val="000000"/>
          <w:kern w:val="0"/>
          <w:sz w:val="24"/>
          <w:szCs w:val="24"/>
        </w:rPr>
      </w:pPr>
      <w:r>
        <w:rPr>
          <w:rFonts w:hint="eastAsia" w:hAnsi="宋体"/>
          <w:color w:val="000000"/>
          <w:kern w:val="0"/>
          <w:sz w:val="24"/>
          <w:szCs w:val="24"/>
        </w:rPr>
        <w:t>提出是否开具增值税专用发票的承诺。</w:t>
      </w:r>
    </w:p>
    <w:p>
      <w:pPr>
        <w:pStyle w:val="37"/>
        <w:numPr>
          <w:ilvl w:val="0"/>
          <w:numId w:val="0"/>
        </w:numPr>
        <w:spacing w:line="360" w:lineRule="auto"/>
        <w:ind w:firstLine="480" w:firstLineChars="200"/>
        <w:rPr>
          <w:rFonts w:hAnsi="宋体"/>
          <w:color w:val="000000"/>
          <w:szCs w:val="24"/>
        </w:rPr>
      </w:pPr>
      <w:r>
        <w:rPr>
          <w:rFonts w:hAnsi="宋体"/>
          <w:color w:val="000000"/>
          <w:szCs w:val="24"/>
        </w:rPr>
        <w:t>1.</w:t>
      </w:r>
      <w:r>
        <w:rPr>
          <w:rFonts w:hint="eastAsia" w:hAnsi="宋体"/>
          <w:color w:val="000000"/>
          <w:szCs w:val="24"/>
        </w:rPr>
        <w:t>4</w:t>
      </w:r>
      <w:r>
        <w:rPr>
          <w:rFonts w:hAnsi="宋体"/>
          <w:color w:val="000000"/>
          <w:szCs w:val="24"/>
        </w:rPr>
        <w:t>.</w:t>
      </w:r>
      <w:r>
        <w:rPr>
          <w:rFonts w:hint="eastAsia" w:hAnsi="宋体"/>
          <w:color w:val="000000"/>
          <w:szCs w:val="24"/>
          <w:lang w:val="en-US" w:eastAsia="zh-CN"/>
        </w:rPr>
        <w:t>4</w:t>
      </w:r>
      <w:r>
        <w:rPr>
          <w:rFonts w:hAnsi="宋体"/>
          <w:color w:val="000000"/>
          <w:szCs w:val="24"/>
        </w:rPr>
        <w:t>风险与对策</w:t>
      </w:r>
    </w:p>
    <w:p>
      <w:pPr>
        <w:pStyle w:val="37"/>
        <w:numPr>
          <w:ilvl w:val="0"/>
          <w:numId w:val="0"/>
        </w:numPr>
        <w:spacing w:line="360" w:lineRule="auto"/>
        <w:ind w:firstLine="480" w:firstLineChars="200"/>
        <w:rPr>
          <w:rFonts w:hAnsi="宋体"/>
          <w:color w:val="000000"/>
          <w:szCs w:val="24"/>
        </w:rPr>
      </w:pPr>
      <w:r>
        <w:rPr>
          <w:rFonts w:hAnsi="宋体"/>
          <w:color w:val="000000"/>
          <w:szCs w:val="24"/>
        </w:rPr>
        <w:t>若</w:t>
      </w:r>
      <w:r>
        <w:rPr>
          <w:rFonts w:hint="eastAsia" w:hAnsi="宋体"/>
          <w:color w:val="000000"/>
          <w:szCs w:val="24"/>
        </w:rPr>
        <w:t>投标方</w:t>
      </w:r>
      <w:r>
        <w:rPr>
          <w:rFonts w:hAnsi="宋体"/>
          <w:color w:val="000000"/>
          <w:szCs w:val="24"/>
        </w:rPr>
        <w:t>认为实现本文件的相关内容存在技术类或其它类风险，请详细说明，并提供相应的对策；</w:t>
      </w:r>
    </w:p>
    <w:p>
      <w:pPr>
        <w:pStyle w:val="37"/>
        <w:numPr>
          <w:ilvl w:val="0"/>
          <w:numId w:val="0"/>
        </w:numPr>
        <w:spacing w:line="360" w:lineRule="auto"/>
        <w:ind w:firstLine="480" w:firstLineChars="200"/>
        <w:rPr>
          <w:rFonts w:hint="eastAsia" w:hAnsi="宋体"/>
          <w:color w:val="000000"/>
          <w:szCs w:val="24"/>
        </w:rPr>
      </w:pPr>
      <w:r>
        <w:rPr>
          <w:rFonts w:hint="eastAsia" w:hAnsi="宋体"/>
          <w:color w:val="000000"/>
          <w:szCs w:val="24"/>
        </w:rPr>
        <w:t>1.4.</w:t>
      </w:r>
      <w:r>
        <w:rPr>
          <w:rFonts w:hint="eastAsia" w:hAnsi="宋体"/>
          <w:color w:val="000000"/>
          <w:szCs w:val="24"/>
          <w:lang w:val="en-US" w:eastAsia="zh-CN"/>
        </w:rPr>
        <w:t>5</w:t>
      </w:r>
      <w:r>
        <w:rPr>
          <w:rFonts w:hAnsi="宋体"/>
          <w:color w:val="000000"/>
          <w:szCs w:val="24"/>
        </w:rPr>
        <w:t>其他说明</w:t>
      </w:r>
    </w:p>
    <w:p>
      <w:pPr>
        <w:pStyle w:val="37"/>
        <w:numPr>
          <w:ilvl w:val="0"/>
          <w:numId w:val="0"/>
        </w:numPr>
        <w:spacing w:line="360" w:lineRule="auto"/>
        <w:ind w:firstLine="480" w:firstLineChars="200"/>
        <w:rPr>
          <w:color w:val="000000"/>
          <w:szCs w:val="24"/>
        </w:rPr>
      </w:pPr>
      <w:r>
        <w:rPr>
          <w:rFonts w:hint="eastAsia" w:hAnsi="宋体"/>
          <w:color w:val="000000"/>
          <w:szCs w:val="24"/>
        </w:rPr>
        <w:t>投标方</w:t>
      </w:r>
      <w:r>
        <w:rPr>
          <w:rFonts w:hAnsi="宋体"/>
          <w:color w:val="000000"/>
          <w:szCs w:val="24"/>
        </w:rPr>
        <w:t>认为需要为本项目提供的其它任何资料信息。</w:t>
      </w:r>
    </w:p>
    <w:bookmarkEnd w:id="8"/>
    <w:p>
      <w:pPr>
        <w:pStyle w:val="3"/>
        <w:numPr>
          <w:ilvl w:val="0"/>
          <w:numId w:val="3"/>
        </w:numPr>
        <w:spacing w:before="0" w:after="0" w:line="360" w:lineRule="auto"/>
        <w:rPr>
          <w:rFonts w:ascii="Times New Roman"/>
          <w:sz w:val="28"/>
          <w:szCs w:val="28"/>
        </w:rPr>
      </w:pPr>
      <w:bookmarkStart w:id="18" w:name="_Toc317801715"/>
      <w:bookmarkStart w:id="19" w:name="_Toc20219"/>
      <w:bookmarkStart w:id="20" w:name="_Toc1492"/>
      <w:r>
        <w:rPr>
          <w:rFonts w:ascii="Times New Roman"/>
          <w:sz w:val="28"/>
          <w:szCs w:val="28"/>
        </w:rPr>
        <w:t>要求</w:t>
      </w:r>
      <w:bookmarkEnd w:id="18"/>
      <w:bookmarkEnd w:id="19"/>
      <w:bookmarkEnd w:id="20"/>
    </w:p>
    <w:p>
      <w:pPr>
        <w:pStyle w:val="4"/>
        <w:numPr>
          <w:ilvl w:val="0"/>
          <w:numId w:val="0"/>
        </w:numPr>
        <w:spacing w:before="0" w:after="0" w:line="360" w:lineRule="auto"/>
        <w:rPr>
          <w:rFonts w:ascii="Times New Roman" w:hAnsi="Times New Roman"/>
          <w:color w:val="0000FF"/>
          <w:sz w:val="24"/>
          <w:szCs w:val="21"/>
        </w:rPr>
      </w:pPr>
      <w:bookmarkStart w:id="21" w:name="_Toc12503"/>
      <w:bookmarkStart w:id="22" w:name="_Toc7588"/>
      <w:r>
        <w:rPr>
          <w:rFonts w:hint="eastAsia" w:ascii="Times New Roman" w:hAnsi="Times New Roman"/>
          <w:color w:val="0000FF"/>
          <w:sz w:val="24"/>
          <w:szCs w:val="21"/>
        </w:rPr>
        <w:t>2.1</w:t>
      </w:r>
      <w:r>
        <w:rPr>
          <w:rFonts w:ascii="Times New Roman" w:hAnsi="Times New Roman"/>
          <w:color w:val="0000FF"/>
          <w:sz w:val="24"/>
          <w:szCs w:val="21"/>
        </w:rPr>
        <w:t>总体要求</w:t>
      </w:r>
      <w:bookmarkEnd w:id="21"/>
      <w:bookmarkEnd w:id="22"/>
    </w:p>
    <w:p>
      <w:pPr>
        <w:pStyle w:val="37"/>
        <w:numPr>
          <w:ilvl w:val="0"/>
          <w:numId w:val="0"/>
        </w:numPr>
        <w:spacing w:line="360" w:lineRule="auto"/>
        <w:ind w:firstLine="480" w:firstLineChars="200"/>
        <w:rPr>
          <w:rFonts w:hint="eastAsia" w:hAnsi="宋体"/>
          <w:color w:val="000000"/>
          <w:szCs w:val="24"/>
          <w:lang w:val="en-US" w:eastAsia="zh-CN"/>
        </w:rPr>
      </w:pPr>
      <w:r>
        <w:rPr>
          <w:rFonts w:hint="eastAsia" w:hAnsi="宋体"/>
          <w:color w:val="000000"/>
          <w:szCs w:val="24"/>
          <w:lang w:val="en-US" w:eastAsia="zh-CN"/>
        </w:rPr>
        <w:t>2.1.1应当按照规范的程序和要求，坚持“依法依规、从实从紧”“花小钱办大事”等理念；专业机构应当坚持独立、客观、公正、科学的原则，遵循“目标相关性、政策相符性和经济合理性”的原则，对项目申报预算、经费支出、项目验收进行审查并出具审查报告。</w:t>
      </w:r>
    </w:p>
    <w:p>
      <w:pPr>
        <w:pStyle w:val="37"/>
        <w:numPr>
          <w:ilvl w:val="0"/>
          <w:numId w:val="0"/>
        </w:numPr>
        <w:spacing w:line="360" w:lineRule="auto"/>
        <w:ind w:firstLine="480" w:firstLineChars="200"/>
        <w:rPr>
          <w:rFonts w:hint="eastAsia" w:hAnsi="宋体"/>
          <w:color w:val="000000"/>
          <w:szCs w:val="24"/>
        </w:rPr>
      </w:pPr>
      <w:r>
        <w:rPr>
          <w:rFonts w:hint="eastAsia" w:hAnsi="宋体"/>
          <w:color w:val="000000"/>
          <w:szCs w:val="24"/>
        </w:rPr>
        <w:t>2.</w:t>
      </w:r>
      <w:r>
        <w:rPr>
          <w:rFonts w:hint="eastAsia" w:hAnsi="宋体"/>
          <w:color w:val="000000"/>
          <w:szCs w:val="24"/>
          <w:lang w:val="en-US" w:eastAsia="zh-CN"/>
        </w:rPr>
        <w:t>1</w:t>
      </w:r>
      <w:r>
        <w:rPr>
          <w:rFonts w:hint="eastAsia" w:hAnsi="宋体"/>
          <w:color w:val="000000"/>
          <w:szCs w:val="24"/>
        </w:rPr>
        <w:t>.</w:t>
      </w:r>
      <w:r>
        <w:rPr>
          <w:rFonts w:hint="eastAsia" w:hAnsi="宋体"/>
          <w:color w:val="000000"/>
          <w:szCs w:val="24"/>
          <w:lang w:val="en-US" w:eastAsia="zh-CN"/>
        </w:rPr>
        <w:t>2</w:t>
      </w:r>
      <w:r>
        <w:rPr>
          <w:rFonts w:hint="eastAsia" w:hAnsi="宋体"/>
          <w:color w:val="000000"/>
          <w:szCs w:val="24"/>
        </w:rPr>
        <w:t>执行国家科技部、财政部及南方电网公司科技项目经费管理办法进行审查。部分取费标准各相关管理规定不一致时，按照从严控制原则审查。</w:t>
      </w:r>
    </w:p>
    <w:p>
      <w:pPr>
        <w:pStyle w:val="37"/>
        <w:numPr>
          <w:ilvl w:val="0"/>
          <w:numId w:val="0"/>
        </w:numPr>
        <w:spacing w:line="360" w:lineRule="auto"/>
        <w:ind w:firstLine="480" w:firstLineChars="200"/>
        <w:rPr>
          <w:rFonts w:hint="eastAsia" w:hAnsi="宋体"/>
          <w:color w:val="0000FF"/>
          <w:szCs w:val="24"/>
          <w:lang w:val="en-US" w:eastAsia="zh-CN"/>
        </w:rPr>
      </w:pPr>
      <w:r>
        <w:rPr>
          <w:rFonts w:hint="eastAsia" w:hAnsi="宋体"/>
          <w:color w:val="000000"/>
          <w:szCs w:val="24"/>
        </w:rPr>
        <w:t>2.</w:t>
      </w:r>
      <w:r>
        <w:rPr>
          <w:rFonts w:hint="eastAsia" w:hAnsi="宋体"/>
          <w:color w:val="000000"/>
          <w:szCs w:val="24"/>
          <w:lang w:val="en-US" w:eastAsia="zh-CN"/>
        </w:rPr>
        <w:t>1</w:t>
      </w:r>
      <w:r>
        <w:rPr>
          <w:rFonts w:hint="eastAsia" w:hAnsi="宋体"/>
          <w:color w:val="000000"/>
          <w:szCs w:val="24"/>
        </w:rPr>
        <w:t>.3南方电网公司科技经费管理办法未尽事宜按照从严控制原则审查。</w:t>
      </w:r>
    </w:p>
    <w:p>
      <w:pPr>
        <w:pStyle w:val="37"/>
        <w:numPr>
          <w:ilvl w:val="0"/>
          <w:numId w:val="0"/>
        </w:numPr>
        <w:spacing w:line="360" w:lineRule="auto"/>
        <w:outlineLvl w:val="1"/>
        <w:rPr>
          <w:rFonts w:hint="eastAsia" w:ascii="Times New Roman" w:hAnsi="Times New Roman" w:eastAsia="宋体" w:cs="Times New Roman"/>
          <w:b/>
          <w:bCs/>
          <w:color w:val="0000FF"/>
          <w:kern w:val="2"/>
          <w:sz w:val="24"/>
          <w:szCs w:val="21"/>
          <w:lang w:val="en-US" w:eastAsia="zh-CN" w:bidi="ar-SA"/>
        </w:rPr>
      </w:pPr>
      <w:bookmarkStart w:id="23" w:name="_Toc18190"/>
      <w:r>
        <w:rPr>
          <w:rFonts w:hint="eastAsia" w:ascii="Times New Roman" w:hAnsi="Times New Roman" w:eastAsia="宋体" w:cs="Times New Roman"/>
          <w:b/>
          <w:bCs/>
          <w:color w:val="0000FF"/>
          <w:kern w:val="2"/>
          <w:sz w:val="24"/>
          <w:szCs w:val="21"/>
          <w:lang w:val="en-US" w:eastAsia="zh-CN" w:bidi="ar-SA"/>
        </w:rPr>
        <w:t>2.</w:t>
      </w:r>
      <w:r>
        <w:rPr>
          <w:rFonts w:hint="eastAsia" w:cs="Times New Roman"/>
          <w:b/>
          <w:bCs/>
          <w:color w:val="0000FF"/>
          <w:kern w:val="2"/>
          <w:sz w:val="24"/>
          <w:szCs w:val="21"/>
          <w:lang w:val="en-US" w:eastAsia="zh-CN" w:bidi="ar-SA"/>
        </w:rPr>
        <w:t>2</w:t>
      </w:r>
      <w:r>
        <w:rPr>
          <w:rFonts w:hint="eastAsia" w:ascii="Times New Roman" w:hAnsi="Times New Roman" w:eastAsia="宋体" w:cs="Times New Roman"/>
          <w:b/>
          <w:bCs/>
          <w:color w:val="0000FF"/>
          <w:kern w:val="2"/>
          <w:sz w:val="24"/>
          <w:szCs w:val="21"/>
          <w:lang w:val="en-US" w:eastAsia="zh-CN" w:bidi="ar-SA"/>
        </w:rPr>
        <w:t>验收经费审查要求</w:t>
      </w:r>
      <w:bookmarkEnd w:id="23"/>
    </w:p>
    <w:p>
      <w:pPr>
        <w:pStyle w:val="37"/>
        <w:numPr>
          <w:ilvl w:val="0"/>
          <w:numId w:val="0"/>
        </w:numPr>
        <w:spacing w:line="360" w:lineRule="auto"/>
        <w:ind w:firstLine="480" w:firstLineChars="200"/>
        <w:rPr>
          <w:rFonts w:hint="eastAsia" w:hAnsi="宋体"/>
          <w:color w:val="000000"/>
          <w:szCs w:val="24"/>
          <w:highlight w:val="none"/>
          <w:lang w:eastAsia="zh-CN"/>
        </w:rPr>
      </w:pPr>
      <w:r>
        <w:rPr>
          <w:rFonts w:hint="eastAsia" w:ascii="宋体" w:hAnsi="宋体" w:cs="宋体"/>
          <w:sz w:val="24"/>
          <w:szCs w:val="24"/>
          <w:lang w:val="en-US" w:eastAsia="zh-CN"/>
        </w:rPr>
        <w:t>2.3.</w:t>
      </w:r>
      <w:r>
        <w:rPr>
          <w:rFonts w:hint="eastAsia" w:ascii="宋体" w:hAnsi="宋体" w:cs="宋体"/>
          <w:sz w:val="24"/>
          <w:szCs w:val="24"/>
          <w:highlight w:val="none"/>
          <w:lang w:val="en-US" w:eastAsia="zh-CN"/>
        </w:rPr>
        <w:t>1</w:t>
      </w:r>
      <w:r>
        <w:rPr>
          <w:rFonts w:hint="eastAsia" w:hAnsi="宋体"/>
          <w:color w:val="000000"/>
          <w:szCs w:val="24"/>
          <w:highlight w:val="none"/>
          <w:lang w:eastAsia="zh-CN"/>
        </w:rPr>
        <w:t>对</w:t>
      </w:r>
      <w:r>
        <w:rPr>
          <w:rFonts w:hint="eastAsia" w:hAnsi="宋体"/>
          <w:color w:val="000000"/>
          <w:szCs w:val="24"/>
          <w:highlight w:val="none"/>
        </w:rPr>
        <w:t>科技项目</w:t>
      </w:r>
      <w:r>
        <w:rPr>
          <w:rFonts w:hint="eastAsia" w:hAnsi="宋体"/>
          <w:color w:val="000000"/>
          <w:szCs w:val="24"/>
          <w:highlight w:val="none"/>
          <w:lang w:val="en-US" w:eastAsia="zh-CN"/>
        </w:rPr>
        <w:t>全过程管理的规范性、制度相符性进行审查</w:t>
      </w:r>
      <w:r>
        <w:rPr>
          <w:rFonts w:hint="eastAsia" w:hAnsi="宋体"/>
          <w:color w:val="000000"/>
          <w:szCs w:val="24"/>
          <w:highlight w:val="none"/>
          <w:lang w:eastAsia="zh-CN"/>
        </w:rPr>
        <w:t>。</w:t>
      </w:r>
    </w:p>
    <w:p>
      <w:pPr>
        <w:pStyle w:val="37"/>
        <w:numPr>
          <w:ilvl w:val="0"/>
          <w:numId w:val="0"/>
        </w:numPr>
        <w:spacing w:line="360" w:lineRule="auto"/>
        <w:ind w:firstLine="480" w:firstLineChars="200"/>
        <w:rPr>
          <w:rFonts w:hint="eastAsia" w:hAnsi="宋体"/>
          <w:color w:val="000000"/>
          <w:szCs w:val="24"/>
          <w:highlight w:val="yellow"/>
          <w:lang w:eastAsia="zh-CN"/>
        </w:rPr>
      </w:pPr>
      <w:r>
        <w:rPr>
          <w:rFonts w:hint="eastAsia" w:ascii="宋体" w:hAnsi="宋体" w:cs="宋体"/>
          <w:sz w:val="24"/>
          <w:szCs w:val="24"/>
          <w:lang w:val="en-US" w:eastAsia="zh-CN"/>
        </w:rPr>
        <w:t>2.3.2</w:t>
      </w:r>
      <w:r>
        <w:rPr>
          <w:rFonts w:ascii="宋体" w:hAnsi="宋体" w:eastAsia="宋体" w:cs="宋体"/>
          <w:sz w:val="24"/>
          <w:szCs w:val="24"/>
        </w:rPr>
        <w:t>审核项目经费的使用情况</w:t>
      </w:r>
      <w:r>
        <w:rPr>
          <w:rFonts w:hint="eastAsia" w:ascii="宋体" w:hAnsi="宋体" w:cs="宋体"/>
          <w:sz w:val="24"/>
          <w:szCs w:val="24"/>
          <w:lang w:eastAsia="zh-CN"/>
        </w:rPr>
        <w:t>，</w:t>
      </w:r>
      <w:r>
        <w:rPr>
          <w:rFonts w:ascii="宋体" w:hAnsi="宋体" w:eastAsia="宋体" w:cs="宋体"/>
          <w:sz w:val="24"/>
          <w:szCs w:val="24"/>
        </w:rPr>
        <w:t>核对项目经费的实际支出和预算是否一致，并分析差异的原因</w:t>
      </w:r>
      <w:r>
        <w:rPr>
          <w:rFonts w:hint="eastAsia" w:ascii="宋体" w:hAnsi="宋体" w:cs="宋体"/>
          <w:sz w:val="24"/>
          <w:szCs w:val="24"/>
          <w:lang w:eastAsia="zh-CN"/>
        </w:rPr>
        <w:t>，</w:t>
      </w:r>
      <w:r>
        <w:rPr>
          <w:rFonts w:ascii="宋体" w:hAnsi="宋体" w:eastAsia="宋体" w:cs="宋体"/>
          <w:sz w:val="24"/>
          <w:szCs w:val="24"/>
        </w:rPr>
        <w:t>审查经费使用是否符合财务管理规定和科研经费管理制度。</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2.3.3省部级科技项目要</w:t>
      </w:r>
      <w:r>
        <w:rPr>
          <w:rFonts w:ascii="宋体" w:hAnsi="宋体" w:eastAsia="宋体" w:cs="宋体"/>
          <w:sz w:val="24"/>
          <w:szCs w:val="24"/>
        </w:rPr>
        <w:t>审核项目经费的管理和核算</w:t>
      </w:r>
      <w:r>
        <w:rPr>
          <w:rFonts w:hint="eastAsia" w:ascii="宋体" w:hAnsi="宋体" w:cs="宋体"/>
          <w:sz w:val="24"/>
          <w:szCs w:val="24"/>
          <w:lang w:eastAsia="zh-CN"/>
        </w:rPr>
        <w:t>，</w:t>
      </w:r>
      <w:r>
        <w:rPr>
          <w:rFonts w:ascii="宋体" w:hAnsi="宋体" w:eastAsia="宋体" w:cs="宋体"/>
          <w:sz w:val="24"/>
          <w:szCs w:val="24"/>
        </w:rPr>
        <w:t>检查项目承担单位是否制定并执行了有效的财务管理办法，并建立完整的财务管理档案</w:t>
      </w:r>
      <w:r>
        <w:rPr>
          <w:rFonts w:hint="eastAsia" w:ascii="宋体" w:hAnsi="宋体" w:cs="宋体"/>
          <w:sz w:val="24"/>
          <w:szCs w:val="24"/>
          <w:lang w:eastAsia="zh-CN"/>
        </w:rPr>
        <w:t>，</w:t>
      </w:r>
      <w:r>
        <w:rPr>
          <w:rFonts w:ascii="宋体" w:hAnsi="宋体" w:eastAsia="宋体" w:cs="宋体"/>
          <w:sz w:val="24"/>
          <w:szCs w:val="24"/>
        </w:rPr>
        <w:t>审核项目承担单位是否按合同或任务书要求及时拨付合作单位经费，并建立单独的明细账进行单独核算。审核项目承担单位和合作单位的诚信状况</w:t>
      </w:r>
      <w:r>
        <w:rPr>
          <w:rFonts w:hint="eastAsia" w:ascii="宋体" w:hAnsi="宋体" w:cs="宋体"/>
          <w:sz w:val="24"/>
          <w:szCs w:val="24"/>
          <w:lang w:eastAsia="zh-CN"/>
        </w:rPr>
        <w:t>，</w:t>
      </w:r>
      <w:r>
        <w:rPr>
          <w:rFonts w:ascii="宋体" w:hAnsi="宋体" w:eastAsia="宋体" w:cs="宋体"/>
          <w:sz w:val="24"/>
          <w:szCs w:val="24"/>
        </w:rPr>
        <w:t>了解项目承担单位和合作单位的科研诚信状况，包括是否存在违规使用科研经费等问题。</w:t>
      </w:r>
    </w:p>
    <w:p>
      <w:pPr>
        <w:pStyle w:val="4"/>
        <w:numPr>
          <w:ilvl w:val="0"/>
          <w:numId w:val="0"/>
        </w:numPr>
        <w:spacing w:before="0" w:after="0" w:line="360" w:lineRule="auto"/>
        <w:rPr>
          <w:rFonts w:hint="eastAsia" w:ascii="Times New Roman" w:hAnsi="Times New Roman"/>
          <w:color w:val="0000FF"/>
          <w:sz w:val="24"/>
          <w:szCs w:val="21"/>
          <w:lang w:val="en-US" w:eastAsia="zh-CN"/>
        </w:rPr>
      </w:pPr>
      <w:bookmarkStart w:id="24" w:name="_Toc29071"/>
      <w:bookmarkStart w:id="25" w:name="_Toc21460"/>
      <w:r>
        <w:rPr>
          <w:rFonts w:hint="eastAsia" w:ascii="Times New Roman" w:hAnsi="Times New Roman"/>
          <w:color w:val="0000FF"/>
          <w:sz w:val="24"/>
          <w:szCs w:val="21"/>
        </w:rPr>
        <w:t>2.</w:t>
      </w:r>
      <w:bookmarkEnd w:id="24"/>
      <w:r>
        <w:rPr>
          <w:rFonts w:hint="eastAsia" w:ascii="Times New Roman" w:hAnsi="Times New Roman"/>
          <w:color w:val="0000FF"/>
          <w:sz w:val="24"/>
          <w:szCs w:val="21"/>
          <w:lang w:val="en-US" w:eastAsia="zh-CN"/>
        </w:rPr>
        <w:t>3审查报告的要求</w:t>
      </w:r>
      <w:bookmarkEnd w:id="25"/>
    </w:p>
    <w:p>
      <w:pPr>
        <w:spacing w:line="560" w:lineRule="exact"/>
        <w:ind w:firstLine="480" w:firstLineChars="200"/>
        <w:rPr>
          <w:rFonts w:hint="eastAsia" w:ascii="Times New Roman" w:hAnsi="宋体" w:eastAsia="宋体" w:cs="Times New Roman"/>
          <w:color w:val="000000"/>
          <w:kern w:val="0"/>
          <w:sz w:val="24"/>
          <w:szCs w:val="24"/>
          <w:lang w:val="en-US" w:eastAsia="zh-CN" w:bidi="ar-SA"/>
        </w:rPr>
      </w:pPr>
      <w:r>
        <w:rPr>
          <w:rFonts w:hint="eastAsia" w:ascii="Times New Roman" w:hAnsi="宋体" w:eastAsia="宋体" w:cs="Times New Roman"/>
          <w:color w:val="000000"/>
          <w:kern w:val="0"/>
          <w:sz w:val="24"/>
          <w:szCs w:val="24"/>
          <w:lang w:val="en-US" w:eastAsia="zh-CN" w:bidi="ar-SA"/>
        </w:rPr>
        <w:t>根据规定的程序开展预算审核工作，并撰写审核报告。审核报告内容应包括：评估总体结论及预算明细。评估结论应明确、严谨。</w:t>
      </w:r>
    </w:p>
    <w:p>
      <w:pPr>
        <w:rPr>
          <w:rFonts w:hint="default"/>
          <w:lang w:val="en-US" w:eastAsia="zh-CN"/>
        </w:rPr>
      </w:pPr>
    </w:p>
    <w:p>
      <w:pPr>
        <w:pStyle w:val="3"/>
        <w:numPr>
          <w:ilvl w:val="0"/>
          <w:numId w:val="3"/>
        </w:numPr>
        <w:spacing w:before="0" w:after="0" w:line="360" w:lineRule="auto"/>
        <w:rPr>
          <w:rFonts w:ascii="Times New Roman"/>
          <w:sz w:val="28"/>
          <w:szCs w:val="28"/>
        </w:rPr>
      </w:pPr>
      <w:bookmarkStart w:id="26" w:name="_Toc18763"/>
      <w:bookmarkStart w:id="27" w:name="_Toc385006573"/>
      <w:bookmarkStart w:id="28" w:name="_Toc25277"/>
      <w:bookmarkStart w:id="29" w:name="_Toc317801719"/>
      <w:bookmarkStart w:id="30" w:name="_Toc317230516"/>
      <w:bookmarkStart w:id="31" w:name="_Toc298317573"/>
      <w:bookmarkStart w:id="32" w:name="_Toc298252336"/>
      <w:bookmarkStart w:id="33" w:name="_Toc153700740"/>
      <w:r>
        <w:rPr>
          <w:rFonts w:hint="eastAsia" w:ascii="Times New Roman"/>
          <w:sz w:val="28"/>
          <w:szCs w:val="28"/>
        </w:rPr>
        <w:t>技术服务</w:t>
      </w:r>
      <w:bookmarkEnd w:id="26"/>
      <w:bookmarkEnd w:id="27"/>
      <w:bookmarkEnd w:id="28"/>
    </w:p>
    <w:p>
      <w:pPr>
        <w:pStyle w:val="4"/>
        <w:numPr>
          <w:ilvl w:val="0"/>
          <w:numId w:val="0"/>
        </w:numPr>
        <w:spacing w:before="0" w:after="0" w:line="360" w:lineRule="auto"/>
        <w:rPr>
          <w:rFonts w:ascii="宋体" w:hAnsi="Courier New"/>
          <w:sz w:val="24"/>
        </w:rPr>
      </w:pPr>
      <w:bookmarkStart w:id="34" w:name="_Toc385006574"/>
      <w:bookmarkStart w:id="35" w:name="_Toc340517219"/>
      <w:bookmarkStart w:id="36" w:name="_Toc15558"/>
      <w:bookmarkStart w:id="37" w:name="_Toc20068"/>
      <w:bookmarkStart w:id="38" w:name="_Toc325721150"/>
      <w:bookmarkStart w:id="39" w:name="_Toc294116571"/>
      <w:r>
        <w:rPr>
          <w:rFonts w:hint="eastAsia" w:ascii="宋体" w:hAnsi="Courier New"/>
          <w:sz w:val="24"/>
        </w:rPr>
        <w:t>3.1</w:t>
      </w:r>
      <w:r>
        <w:rPr>
          <w:rFonts w:ascii="宋体" w:hAnsi="Courier New"/>
          <w:sz w:val="24"/>
        </w:rPr>
        <w:t>技术配合</w:t>
      </w:r>
      <w:bookmarkEnd w:id="34"/>
      <w:bookmarkEnd w:id="35"/>
      <w:bookmarkEnd w:id="36"/>
      <w:bookmarkEnd w:id="37"/>
      <w:bookmarkEnd w:id="38"/>
    </w:p>
    <w:p>
      <w:pPr>
        <w:topLinePunct/>
        <w:spacing w:line="360" w:lineRule="auto"/>
        <w:rPr>
          <w:rFonts w:hint="eastAsia"/>
          <w:sz w:val="24"/>
          <w:szCs w:val="21"/>
        </w:rPr>
      </w:pPr>
      <w:r>
        <w:rPr>
          <w:rFonts w:hint="eastAsia"/>
          <w:sz w:val="24"/>
          <w:szCs w:val="21"/>
        </w:rPr>
        <w:t>3.1</w:t>
      </w:r>
      <w:r>
        <w:rPr>
          <w:sz w:val="24"/>
          <w:szCs w:val="21"/>
        </w:rPr>
        <w:t>.1</w:t>
      </w:r>
      <w:r>
        <w:rPr>
          <w:rFonts w:hint="eastAsia"/>
          <w:sz w:val="24"/>
          <w:szCs w:val="21"/>
        </w:rPr>
        <w:t xml:space="preserve"> </w:t>
      </w:r>
      <w:r>
        <w:rPr>
          <w:rFonts w:hint="eastAsia" w:hAnsi="宋体"/>
          <w:kern w:val="21"/>
          <w:sz w:val="24"/>
          <w:szCs w:val="21"/>
        </w:rPr>
        <w:t>合同签订后，</w:t>
      </w:r>
      <w:r>
        <w:rPr>
          <w:rFonts w:hint="eastAsia" w:hAnsi="宋体"/>
          <w:sz w:val="24"/>
          <w:szCs w:val="21"/>
        </w:rPr>
        <w:t>投标方</w:t>
      </w:r>
      <w:r>
        <w:rPr>
          <w:rFonts w:hint="eastAsia" w:hAnsi="宋体"/>
          <w:kern w:val="21"/>
          <w:sz w:val="24"/>
          <w:szCs w:val="21"/>
        </w:rPr>
        <w:t>应指定负责本服务的人员团队，负责</w:t>
      </w:r>
      <w:r>
        <w:rPr>
          <w:rFonts w:hint="eastAsia" w:hAnsi="宋体"/>
          <w:sz w:val="24"/>
          <w:szCs w:val="21"/>
        </w:rPr>
        <w:t>投标方</w:t>
      </w:r>
      <w:r>
        <w:rPr>
          <w:rFonts w:hint="eastAsia" w:hAnsi="宋体"/>
          <w:kern w:val="21"/>
          <w:sz w:val="24"/>
          <w:szCs w:val="21"/>
        </w:rPr>
        <w:t>在项目实施过程中的各项工作。</w:t>
      </w:r>
    </w:p>
    <w:p>
      <w:pPr>
        <w:spacing w:line="360" w:lineRule="auto"/>
        <w:rPr>
          <w:sz w:val="24"/>
          <w:szCs w:val="21"/>
        </w:rPr>
      </w:pPr>
      <w:r>
        <w:rPr>
          <w:rFonts w:hint="eastAsia"/>
          <w:sz w:val="24"/>
          <w:szCs w:val="21"/>
        </w:rPr>
        <w:t>3.1</w:t>
      </w:r>
      <w:r>
        <w:rPr>
          <w:sz w:val="24"/>
          <w:szCs w:val="21"/>
        </w:rPr>
        <w:t>.</w:t>
      </w:r>
      <w:r>
        <w:rPr>
          <w:rFonts w:hint="eastAsia"/>
          <w:sz w:val="24"/>
          <w:szCs w:val="21"/>
        </w:rPr>
        <w:t xml:space="preserve">2 </w:t>
      </w:r>
      <w:r>
        <w:rPr>
          <w:rFonts w:hAnsi="宋体"/>
          <w:sz w:val="24"/>
          <w:szCs w:val="21"/>
        </w:rPr>
        <w:t>其它约定的配合工作。</w:t>
      </w:r>
    </w:p>
    <w:p>
      <w:pPr>
        <w:pStyle w:val="4"/>
        <w:numPr>
          <w:ilvl w:val="0"/>
          <w:numId w:val="0"/>
        </w:numPr>
        <w:spacing w:before="0" w:after="0" w:line="360" w:lineRule="auto"/>
        <w:rPr>
          <w:rFonts w:hint="eastAsia" w:ascii="宋体" w:hAnsi="Courier New"/>
          <w:sz w:val="24"/>
        </w:rPr>
      </w:pPr>
      <w:bookmarkStart w:id="40" w:name="_Toc325721152"/>
      <w:bookmarkStart w:id="41" w:name="_Toc385006577"/>
      <w:bookmarkStart w:id="42" w:name="_Toc2550"/>
      <w:bookmarkStart w:id="43" w:name="_Toc340517221"/>
      <w:r>
        <w:rPr>
          <w:rFonts w:hint="eastAsia" w:ascii="宋体" w:hAnsi="Courier New"/>
          <w:sz w:val="24"/>
        </w:rPr>
        <w:t>3.2现场服务</w:t>
      </w:r>
      <w:bookmarkEnd w:id="40"/>
      <w:bookmarkEnd w:id="41"/>
      <w:bookmarkEnd w:id="42"/>
      <w:bookmarkEnd w:id="43"/>
    </w:p>
    <w:p>
      <w:pPr>
        <w:topLinePunct/>
        <w:spacing w:line="360" w:lineRule="auto"/>
        <w:rPr>
          <w:rFonts w:hint="eastAsia" w:hAnsi="宋体"/>
          <w:sz w:val="24"/>
          <w:szCs w:val="21"/>
          <w:lang w:val="zh-CN"/>
        </w:rPr>
      </w:pPr>
      <w:r>
        <w:rPr>
          <w:rFonts w:hint="eastAsia" w:hAnsi="宋体"/>
          <w:sz w:val="24"/>
          <w:szCs w:val="21"/>
        </w:rPr>
        <w:t>3</w:t>
      </w:r>
      <w:r>
        <w:rPr>
          <w:rFonts w:hint="eastAsia" w:hAnsi="宋体"/>
          <w:sz w:val="24"/>
          <w:szCs w:val="21"/>
          <w:lang w:val="zh-CN"/>
        </w:rPr>
        <w:t>.</w:t>
      </w:r>
      <w:r>
        <w:rPr>
          <w:rFonts w:hint="eastAsia" w:hAnsi="宋体"/>
          <w:sz w:val="24"/>
          <w:szCs w:val="21"/>
        </w:rPr>
        <w:t>2</w:t>
      </w:r>
      <w:r>
        <w:rPr>
          <w:rFonts w:hint="eastAsia" w:hAnsi="宋体"/>
          <w:sz w:val="24"/>
          <w:szCs w:val="21"/>
          <w:lang w:val="zh-CN"/>
        </w:rPr>
        <w:t>.1 在投标方需安排人员驻点在招标方单位做好服务，全程协助招标方开展科技项目立项及验收相关工作，现场驻点人员</w:t>
      </w:r>
      <w:r>
        <w:rPr>
          <w:rFonts w:hint="eastAsia" w:hAnsi="宋体"/>
          <w:sz w:val="24"/>
          <w:szCs w:val="21"/>
          <w:lang w:val="zh-CN" w:eastAsia="zh-CN"/>
        </w:rPr>
        <w:t>原则上</w:t>
      </w:r>
      <w:r>
        <w:rPr>
          <w:rFonts w:hint="eastAsia" w:hAnsi="宋体"/>
          <w:sz w:val="24"/>
          <w:szCs w:val="21"/>
          <w:lang w:val="zh-CN"/>
        </w:rPr>
        <w:t>应具有工程师及以上职称，熟练使用电脑办公软件，并满足招标方的工作要求。</w:t>
      </w:r>
    </w:p>
    <w:p>
      <w:pPr>
        <w:topLinePunct/>
        <w:spacing w:line="360" w:lineRule="auto"/>
        <w:rPr>
          <w:rFonts w:hint="eastAsia" w:hAnsi="宋体"/>
          <w:sz w:val="24"/>
          <w:szCs w:val="21"/>
          <w:lang w:val="zh-CN"/>
        </w:rPr>
      </w:pPr>
      <w:r>
        <w:rPr>
          <w:rFonts w:hint="eastAsia" w:hAnsi="宋体"/>
          <w:sz w:val="24"/>
          <w:szCs w:val="21"/>
          <w:lang w:val="en-US" w:eastAsia="zh-CN"/>
        </w:rPr>
        <w:t>3.2.2</w:t>
      </w:r>
      <w:r>
        <w:rPr>
          <w:rFonts w:hint="eastAsia" w:hAnsi="宋体"/>
          <w:sz w:val="24"/>
          <w:szCs w:val="21"/>
          <w:lang w:val="zh-CN"/>
        </w:rPr>
        <w:t>服务过程中视招标方工作情况投标方及时加派服务人员，以提供现场服务。</w:t>
      </w:r>
    </w:p>
    <w:p>
      <w:pPr>
        <w:topLinePunct/>
        <w:spacing w:line="360" w:lineRule="auto"/>
        <w:rPr>
          <w:rFonts w:hint="eastAsia" w:hAnsi="宋体"/>
          <w:sz w:val="24"/>
          <w:szCs w:val="21"/>
        </w:rPr>
      </w:pPr>
      <w:r>
        <w:rPr>
          <w:rFonts w:hint="eastAsia" w:hAnsi="宋体"/>
          <w:sz w:val="24"/>
          <w:szCs w:val="21"/>
        </w:rPr>
        <w:t>3</w:t>
      </w:r>
      <w:r>
        <w:rPr>
          <w:rFonts w:hint="eastAsia" w:hAnsi="宋体"/>
          <w:sz w:val="24"/>
          <w:szCs w:val="21"/>
          <w:lang w:val="zh-CN"/>
        </w:rPr>
        <w:t>.</w:t>
      </w:r>
      <w:r>
        <w:rPr>
          <w:rFonts w:hint="eastAsia" w:hAnsi="宋体"/>
          <w:sz w:val="24"/>
          <w:szCs w:val="21"/>
        </w:rPr>
        <w:t>2</w:t>
      </w:r>
      <w:r>
        <w:rPr>
          <w:rFonts w:hint="eastAsia" w:hAnsi="宋体"/>
          <w:sz w:val="24"/>
          <w:szCs w:val="21"/>
          <w:lang w:val="zh-CN"/>
        </w:rPr>
        <w:t>.</w:t>
      </w:r>
      <w:r>
        <w:rPr>
          <w:rFonts w:hint="eastAsia" w:hAnsi="宋体"/>
          <w:sz w:val="24"/>
          <w:szCs w:val="21"/>
          <w:lang w:val="en-US" w:eastAsia="zh-CN"/>
        </w:rPr>
        <w:t>3</w:t>
      </w:r>
      <w:r>
        <w:rPr>
          <w:rFonts w:hint="eastAsia" w:hAnsi="宋体"/>
          <w:sz w:val="24"/>
          <w:szCs w:val="21"/>
          <w:lang w:val="zh-CN"/>
        </w:rPr>
        <w:t xml:space="preserve"> 服务过程中发现的经费审查报告有疑问，投标方应及时无偿整理或更换，直至符合申请规范要求。申请期内材料出现不符合要求的，投标方亦应负责修改或更换。</w:t>
      </w:r>
    </w:p>
    <w:bookmarkEnd w:id="29"/>
    <w:bookmarkEnd w:id="30"/>
    <w:bookmarkEnd w:id="31"/>
    <w:bookmarkEnd w:id="32"/>
    <w:bookmarkEnd w:id="39"/>
    <w:p>
      <w:pPr>
        <w:pStyle w:val="3"/>
        <w:numPr>
          <w:ilvl w:val="0"/>
          <w:numId w:val="3"/>
        </w:numPr>
        <w:spacing w:before="0" w:after="0" w:line="360" w:lineRule="auto"/>
        <w:rPr>
          <w:rFonts w:ascii="Times New Roman"/>
          <w:sz w:val="28"/>
          <w:szCs w:val="28"/>
        </w:rPr>
      </w:pPr>
      <w:bookmarkStart w:id="44" w:name="_Toc261810257"/>
      <w:bookmarkStart w:id="45" w:name="_Toc293665089"/>
      <w:bookmarkStart w:id="46" w:name="_Toc12445"/>
      <w:bookmarkStart w:id="47" w:name="_Toc302649492"/>
      <w:bookmarkStart w:id="48" w:name="_Toc10484"/>
      <w:r>
        <w:rPr>
          <w:rFonts w:ascii="Times New Roman"/>
          <w:sz w:val="28"/>
          <w:szCs w:val="28"/>
        </w:rPr>
        <w:t>项目质量保证</w:t>
      </w:r>
      <w:bookmarkEnd w:id="44"/>
      <w:bookmarkEnd w:id="45"/>
      <w:bookmarkEnd w:id="46"/>
      <w:bookmarkEnd w:id="47"/>
      <w:bookmarkEnd w:id="48"/>
      <w:bookmarkStart w:id="49" w:name="_Toc293665090"/>
      <w:bookmarkStart w:id="50" w:name="_Toc302649493"/>
    </w:p>
    <w:bookmarkEnd w:id="49"/>
    <w:bookmarkEnd w:id="50"/>
    <w:p>
      <w:pPr>
        <w:autoSpaceDE w:val="0"/>
        <w:autoSpaceDN w:val="0"/>
        <w:adjustRightInd w:val="0"/>
        <w:spacing w:line="360" w:lineRule="auto"/>
        <w:ind w:firstLine="480" w:firstLineChars="200"/>
        <w:rPr>
          <w:rFonts w:hint="eastAsia"/>
          <w:sz w:val="24"/>
          <w:szCs w:val="21"/>
          <w:lang w:val="zh-CN"/>
        </w:rPr>
      </w:pPr>
      <w:r>
        <w:rPr>
          <w:rFonts w:hint="eastAsia" w:ascii="宋体" w:hAnsi="宋体"/>
          <w:sz w:val="24"/>
          <w:szCs w:val="21"/>
          <w:lang w:val="zh-CN"/>
        </w:rPr>
        <w:t>投标方</w:t>
      </w:r>
      <w:r>
        <w:rPr>
          <w:sz w:val="24"/>
          <w:szCs w:val="21"/>
          <w:lang w:val="zh-CN"/>
        </w:rPr>
        <w:t>提供的</w:t>
      </w:r>
      <w:r>
        <w:rPr>
          <w:rFonts w:hint="eastAsia"/>
          <w:sz w:val="24"/>
          <w:szCs w:val="21"/>
          <w:lang w:val="zh-CN"/>
        </w:rPr>
        <w:t>服务</w:t>
      </w:r>
      <w:r>
        <w:rPr>
          <w:sz w:val="24"/>
          <w:szCs w:val="21"/>
          <w:lang w:val="zh-CN"/>
        </w:rPr>
        <w:t>必须符合本技术规范书的各项要求和指标；</w:t>
      </w:r>
      <w:r>
        <w:rPr>
          <w:rFonts w:hint="eastAsia"/>
          <w:sz w:val="24"/>
          <w:szCs w:val="21"/>
          <w:lang w:val="zh-CN"/>
        </w:rPr>
        <w:t>但</w:t>
      </w:r>
      <w:r>
        <w:rPr>
          <w:sz w:val="24"/>
          <w:szCs w:val="21"/>
          <w:lang w:val="zh-CN"/>
        </w:rPr>
        <w:t>只要</w:t>
      </w:r>
      <w:r>
        <w:rPr>
          <w:rFonts w:hint="eastAsia" w:ascii="宋体" w:hAnsi="宋体"/>
          <w:sz w:val="24"/>
          <w:szCs w:val="21"/>
          <w:lang w:val="zh-CN"/>
        </w:rPr>
        <w:t>投标方</w:t>
      </w:r>
      <w:r>
        <w:rPr>
          <w:sz w:val="24"/>
          <w:szCs w:val="21"/>
          <w:lang w:val="zh-CN"/>
        </w:rPr>
        <w:t>认为有必要且经采购方认可，即可超越这些标准，采用更好、更经济的设计和</w:t>
      </w:r>
      <w:r>
        <w:rPr>
          <w:rFonts w:hint="eastAsia"/>
          <w:sz w:val="24"/>
          <w:szCs w:val="21"/>
          <w:lang w:val="zh-CN"/>
        </w:rPr>
        <w:t>材料</w:t>
      </w:r>
      <w:r>
        <w:rPr>
          <w:sz w:val="24"/>
          <w:szCs w:val="21"/>
          <w:lang w:val="zh-CN"/>
        </w:rPr>
        <w:t>，使</w:t>
      </w:r>
      <w:r>
        <w:rPr>
          <w:rFonts w:hint="eastAsia" w:ascii="宋体" w:hAnsi="宋体"/>
          <w:sz w:val="24"/>
          <w:szCs w:val="21"/>
          <w:lang w:val="zh-CN"/>
        </w:rPr>
        <w:t>投标方</w:t>
      </w:r>
      <w:r>
        <w:rPr>
          <w:sz w:val="24"/>
          <w:szCs w:val="21"/>
          <w:lang w:val="zh-CN"/>
        </w:rPr>
        <w:t>的</w:t>
      </w:r>
      <w:r>
        <w:rPr>
          <w:rFonts w:hint="eastAsia"/>
          <w:sz w:val="24"/>
          <w:szCs w:val="21"/>
          <w:lang w:val="zh-CN"/>
        </w:rPr>
        <w:t>服务</w:t>
      </w:r>
      <w:r>
        <w:rPr>
          <w:sz w:val="24"/>
          <w:szCs w:val="21"/>
          <w:lang w:val="zh-CN"/>
        </w:rPr>
        <w:t>持续稳定地运行。</w:t>
      </w:r>
    </w:p>
    <w:p>
      <w:pPr>
        <w:pStyle w:val="3"/>
        <w:numPr>
          <w:ilvl w:val="0"/>
          <w:numId w:val="3"/>
        </w:numPr>
        <w:spacing w:before="0" w:after="0" w:line="360" w:lineRule="auto"/>
        <w:rPr>
          <w:rFonts w:ascii="Times New Roman"/>
          <w:sz w:val="28"/>
          <w:szCs w:val="28"/>
        </w:rPr>
      </w:pPr>
      <w:bookmarkStart w:id="51" w:name="_Toc5748"/>
      <w:bookmarkStart w:id="52" w:name="_Toc317801721"/>
      <w:bookmarkStart w:id="53" w:name="_Toc32767"/>
      <w:r>
        <w:rPr>
          <w:rFonts w:ascii="Times New Roman"/>
          <w:sz w:val="28"/>
          <w:szCs w:val="28"/>
        </w:rPr>
        <w:t>附件</w:t>
      </w:r>
      <w:r>
        <w:rPr>
          <w:rFonts w:hint="eastAsia" w:ascii="Times New Roman"/>
          <w:sz w:val="28"/>
          <w:szCs w:val="28"/>
          <w:lang w:val="en-US" w:eastAsia="zh-CN"/>
        </w:rPr>
        <w:t>1</w:t>
      </w:r>
      <w:r>
        <w:rPr>
          <w:rFonts w:ascii="Times New Roman"/>
          <w:sz w:val="28"/>
          <w:szCs w:val="28"/>
        </w:rPr>
        <w:t xml:space="preserve">  技术差异表</w:t>
      </w:r>
      <w:bookmarkEnd w:id="33"/>
      <w:bookmarkEnd w:id="51"/>
      <w:bookmarkEnd w:id="52"/>
      <w:bookmarkEnd w:id="53"/>
    </w:p>
    <w:p>
      <w:pPr>
        <w:autoSpaceDE w:val="0"/>
        <w:autoSpaceDN w:val="0"/>
        <w:adjustRightInd w:val="0"/>
        <w:spacing w:line="360" w:lineRule="auto"/>
        <w:ind w:firstLine="480" w:firstLineChars="200"/>
        <w:rPr>
          <w:rFonts w:hint="eastAsia"/>
          <w:sz w:val="24"/>
          <w:szCs w:val="21"/>
        </w:rPr>
      </w:pPr>
      <w:r>
        <w:rPr>
          <w:rFonts w:hint="eastAsia"/>
          <w:sz w:val="24"/>
          <w:szCs w:val="21"/>
        </w:rPr>
        <w:t>投标方要将投标文件中与招标文件的差异、优于或劣于招标文件要求的条目，汇集成表。</w:t>
      </w:r>
    </w:p>
    <w:p>
      <w:pPr>
        <w:widowControl/>
        <w:spacing w:line="360" w:lineRule="auto"/>
        <w:ind w:firstLine="420" w:firstLineChars="200"/>
        <w:outlineLvl w:val="0"/>
      </w:pPr>
      <w:bookmarkStart w:id="54" w:name="_Toc18364"/>
      <w:r>
        <w:rPr>
          <w:rFonts w:hint="eastAsia" w:hAnsi="宋体"/>
        </w:rPr>
        <w:t>投标方</w:t>
      </w:r>
      <w:r>
        <w:rPr>
          <w:rFonts w:hAnsi="宋体"/>
        </w:rPr>
        <w:t>：</w:t>
      </w:r>
      <w:r>
        <w:rPr>
          <w:u w:val="single"/>
        </w:rPr>
        <w:t xml:space="preserve">             </w:t>
      </w:r>
      <w:r>
        <w:t xml:space="preserve">   </w:t>
      </w:r>
      <w:r>
        <w:rPr>
          <w:rFonts w:hAnsi="宋体"/>
        </w:rPr>
        <w:t>盖章：</w:t>
      </w:r>
      <w:bookmarkEnd w:id="54"/>
      <w:r>
        <w:rPr>
          <w:u w:val="single"/>
        </w:rPr>
        <w:t xml:space="preserve">               </w:t>
      </w:r>
      <w:r>
        <w:t xml:space="preserve"> </w:t>
      </w:r>
    </w:p>
    <w:p>
      <w:pPr>
        <w:widowControl/>
        <w:spacing w:line="360" w:lineRule="auto"/>
        <w:rPr>
          <w:b/>
          <w:sz w:val="28"/>
          <w:szCs w:val="28"/>
        </w:rPr>
      </w:pPr>
    </w:p>
    <w:p>
      <w:pPr>
        <w:widowControl/>
        <w:spacing w:line="360" w:lineRule="auto"/>
        <w:jc w:val="center"/>
        <w:outlineLvl w:val="0"/>
        <w:rPr>
          <w:sz w:val="28"/>
          <w:szCs w:val="28"/>
        </w:rPr>
      </w:pPr>
      <w:bookmarkStart w:id="55" w:name="_Toc3864"/>
      <w:r>
        <w:rPr>
          <w:b/>
          <w:sz w:val="28"/>
          <w:szCs w:val="28"/>
        </w:rPr>
        <w:t>技术差异表</w:t>
      </w:r>
      <w:bookmarkEnd w:id="55"/>
    </w:p>
    <w:tbl>
      <w:tblPr>
        <w:tblStyle w:val="22"/>
        <w:tblW w:w="9136" w:type="dxa"/>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2"/>
        <w:gridCol w:w="1157"/>
        <w:gridCol w:w="3238"/>
        <w:gridCol w:w="1040"/>
        <w:gridCol w:w="2889"/>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8" w:hRule="exact"/>
          <w:jc w:val="center"/>
        </w:trPr>
        <w:tc>
          <w:tcPr>
            <w:tcW w:w="812" w:type="dxa"/>
            <w:vMerge w:val="restart"/>
            <w:vAlign w:val="center"/>
          </w:tcPr>
          <w:p>
            <w:pPr>
              <w:jc w:val="center"/>
              <w:rPr>
                <w:bCs/>
                <w:caps/>
              </w:rPr>
            </w:pPr>
            <w:r>
              <w:rPr>
                <w:bCs/>
                <w:caps/>
              </w:rPr>
              <w:t>序号</w:t>
            </w:r>
          </w:p>
        </w:tc>
        <w:tc>
          <w:tcPr>
            <w:tcW w:w="4395" w:type="dxa"/>
            <w:gridSpan w:val="2"/>
            <w:vAlign w:val="center"/>
          </w:tcPr>
          <w:p>
            <w:pPr>
              <w:jc w:val="center"/>
              <w:rPr>
                <w:bCs/>
                <w:caps/>
              </w:rPr>
            </w:pPr>
            <w:r>
              <w:rPr>
                <w:bCs/>
                <w:caps/>
              </w:rPr>
              <w:t>招标文件</w:t>
            </w:r>
          </w:p>
        </w:tc>
        <w:tc>
          <w:tcPr>
            <w:tcW w:w="3929" w:type="dxa"/>
            <w:gridSpan w:val="2"/>
            <w:vAlign w:val="center"/>
          </w:tcPr>
          <w:p>
            <w:pPr>
              <w:jc w:val="center"/>
              <w:rPr>
                <w:bCs/>
                <w:caps/>
              </w:rPr>
            </w:pPr>
            <w:r>
              <w:rPr>
                <w:bCs/>
                <w:caps/>
              </w:rPr>
              <w:t>投标文件</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8" w:hRule="exact"/>
          <w:jc w:val="center"/>
        </w:trPr>
        <w:tc>
          <w:tcPr>
            <w:tcW w:w="812" w:type="dxa"/>
            <w:vMerge w:val="continue"/>
            <w:vAlign w:val="center"/>
          </w:tcPr>
          <w:p>
            <w:pPr>
              <w:jc w:val="center"/>
              <w:rPr>
                <w:bCs/>
              </w:rPr>
            </w:pPr>
          </w:p>
        </w:tc>
        <w:tc>
          <w:tcPr>
            <w:tcW w:w="1157" w:type="dxa"/>
            <w:vAlign w:val="center"/>
          </w:tcPr>
          <w:p>
            <w:pPr>
              <w:jc w:val="center"/>
              <w:rPr>
                <w:bCs/>
              </w:rPr>
            </w:pPr>
            <w:r>
              <w:rPr>
                <w:bCs/>
              </w:rPr>
              <w:t>条目</w:t>
            </w:r>
          </w:p>
        </w:tc>
        <w:tc>
          <w:tcPr>
            <w:tcW w:w="3238" w:type="dxa"/>
            <w:vAlign w:val="center"/>
          </w:tcPr>
          <w:p>
            <w:pPr>
              <w:jc w:val="center"/>
              <w:rPr>
                <w:bCs/>
              </w:rPr>
            </w:pPr>
            <w:r>
              <w:rPr>
                <w:bCs/>
              </w:rPr>
              <w:t>简要内容</w:t>
            </w:r>
          </w:p>
        </w:tc>
        <w:tc>
          <w:tcPr>
            <w:tcW w:w="1040" w:type="dxa"/>
            <w:vAlign w:val="center"/>
          </w:tcPr>
          <w:p>
            <w:pPr>
              <w:jc w:val="center"/>
              <w:rPr>
                <w:bCs/>
              </w:rPr>
            </w:pPr>
            <w:r>
              <w:rPr>
                <w:bCs/>
              </w:rPr>
              <w:t>条目</w:t>
            </w:r>
          </w:p>
        </w:tc>
        <w:tc>
          <w:tcPr>
            <w:tcW w:w="2889" w:type="dxa"/>
            <w:vAlign w:val="center"/>
          </w:tcPr>
          <w:p>
            <w:pPr>
              <w:jc w:val="center"/>
              <w:rPr>
                <w:bCs/>
              </w:rPr>
            </w:pPr>
            <w:r>
              <w:rPr>
                <w:bCs/>
              </w:rPr>
              <w:t>简要内容</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center"/>
          </w:tcPr>
          <w:p>
            <w:pPr>
              <w:jc w:val="center"/>
            </w:pPr>
          </w:p>
        </w:tc>
        <w:tc>
          <w:tcPr>
            <w:tcW w:w="1157" w:type="dxa"/>
            <w:vAlign w:val="center"/>
          </w:tcPr>
          <w:p>
            <w:pPr>
              <w:jc w:val="center"/>
            </w:pPr>
          </w:p>
        </w:tc>
        <w:tc>
          <w:tcPr>
            <w:tcW w:w="3238" w:type="dxa"/>
            <w:vAlign w:val="center"/>
          </w:tcPr>
          <w:p>
            <w:pPr>
              <w:jc w:val="center"/>
            </w:pPr>
          </w:p>
        </w:tc>
        <w:tc>
          <w:tcPr>
            <w:tcW w:w="1040" w:type="dxa"/>
            <w:vAlign w:val="center"/>
          </w:tcPr>
          <w:p>
            <w:pPr>
              <w:jc w:val="center"/>
            </w:pPr>
          </w:p>
        </w:tc>
        <w:tc>
          <w:tcPr>
            <w:tcW w:w="2889" w:type="dxa"/>
            <w:vAlign w:val="center"/>
          </w:tcPr>
          <w:p>
            <w:pPr>
              <w:jc w:val="cente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tc>
        <w:tc>
          <w:tcPr>
            <w:tcW w:w="1157" w:type="dxa"/>
            <w:vAlign w:val="top"/>
          </w:tcPr>
          <w:p/>
        </w:tc>
        <w:tc>
          <w:tcPr>
            <w:tcW w:w="3238" w:type="dxa"/>
            <w:vAlign w:val="top"/>
          </w:tcPr>
          <w:p/>
        </w:tc>
        <w:tc>
          <w:tcPr>
            <w:tcW w:w="1040" w:type="dxa"/>
            <w:vAlign w:val="top"/>
          </w:tcPr>
          <w:p/>
        </w:tc>
        <w:tc>
          <w:tcPr>
            <w:tcW w:w="2889" w:type="dxa"/>
            <w:vAlign w:val="top"/>
          </w:tc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tc>
        <w:tc>
          <w:tcPr>
            <w:tcW w:w="1157" w:type="dxa"/>
            <w:vAlign w:val="top"/>
          </w:tcPr>
          <w:p/>
        </w:tc>
        <w:tc>
          <w:tcPr>
            <w:tcW w:w="3238" w:type="dxa"/>
            <w:vAlign w:val="top"/>
          </w:tcPr>
          <w:p/>
        </w:tc>
        <w:tc>
          <w:tcPr>
            <w:tcW w:w="1040" w:type="dxa"/>
            <w:vAlign w:val="top"/>
          </w:tcPr>
          <w:p/>
        </w:tc>
        <w:tc>
          <w:tcPr>
            <w:tcW w:w="2889" w:type="dxa"/>
            <w:vAlign w:val="top"/>
          </w:tc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tc>
        <w:tc>
          <w:tcPr>
            <w:tcW w:w="1157" w:type="dxa"/>
            <w:vAlign w:val="top"/>
          </w:tcPr>
          <w:p/>
        </w:tc>
        <w:tc>
          <w:tcPr>
            <w:tcW w:w="3238" w:type="dxa"/>
            <w:vAlign w:val="top"/>
          </w:tcPr>
          <w:p/>
        </w:tc>
        <w:tc>
          <w:tcPr>
            <w:tcW w:w="1040" w:type="dxa"/>
            <w:vAlign w:val="top"/>
          </w:tcPr>
          <w:p/>
        </w:tc>
        <w:tc>
          <w:tcPr>
            <w:tcW w:w="2889" w:type="dxa"/>
            <w:vAlign w:val="top"/>
          </w:tc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tc>
        <w:tc>
          <w:tcPr>
            <w:tcW w:w="1157" w:type="dxa"/>
            <w:vAlign w:val="top"/>
          </w:tcPr>
          <w:p/>
        </w:tc>
        <w:tc>
          <w:tcPr>
            <w:tcW w:w="3238" w:type="dxa"/>
            <w:vAlign w:val="top"/>
          </w:tcPr>
          <w:p/>
        </w:tc>
        <w:tc>
          <w:tcPr>
            <w:tcW w:w="1040" w:type="dxa"/>
            <w:vAlign w:val="top"/>
          </w:tcPr>
          <w:p/>
        </w:tc>
        <w:tc>
          <w:tcPr>
            <w:tcW w:w="2889" w:type="dxa"/>
            <w:vAlign w:val="top"/>
          </w:tcPr>
          <w:p/>
        </w:tc>
      </w:tr>
    </w:tbl>
    <w:p>
      <w:pPr>
        <w:spacing w:line="480" w:lineRule="auto"/>
        <w:ind w:firstLine="480" w:firstLineChars="200"/>
        <w:rPr>
          <w:sz w:val="24"/>
        </w:rPr>
      </w:pPr>
      <w:r>
        <w:rPr>
          <w:rFonts w:hAnsi="宋体"/>
          <w:sz w:val="24"/>
        </w:rPr>
        <w:t>说明：</w:t>
      </w:r>
      <w:r>
        <w:rPr>
          <w:sz w:val="24"/>
          <w:szCs w:val="21"/>
          <w:lang w:val="zh-CN"/>
        </w:rPr>
        <w:t>技术差异表中未提及部分均响应招标文件要求。</w:t>
      </w:r>
    </w:p>
    <w:p>
      <w:pPr>
        <w:autoSpaceDE w:val="0"/>
        <w:autoSpaceDN w:val="0"/>
        <w:adjustRightInd w:val="0"/>
        <w:spacing w:line="360" w:lineRule="auto"/>
        <w:ind w:firstLine="480" w:firstLineChars="200"/>
        <w:rPr>
          <w:sz w:val="24"/>
        </w:rPr>
      </w:pPr>
      <w:r>
        <w:rPr>
          <w:sz w:val="24"/>
        </w:rPr>
        <w:t xml:space="preserve">                                       </w:t>
      </w:r>
      <w:r>
        <w:rPr>
          <w:sz w:val="24"/>
          <w:szCs w:val="21"/>
          <w:lang w:val="zh-CN"/>
        </w:rPr>
        <w:t>投标授权人签字：</w:t>
      </w:r>
    </w:p>
    <w:p>
      <w:pPr>
        <w:autoSpaceDE w:val="0"/>
        <w:autoSpaceDN w:val="0"/>
        <w:adjustRightInd w:val="0"/>
        <w:spacing w:line="360" w:lineRule="auto"/>
        <w:ind w:firstLine="480" w:firstLineChars="200"/>
        <w:rPr>
          <w:sz w:val="24"/>
          <w:szCs w:val="21"/>
          <w:lang w:val="zh-CN"/>
        </w:rPr>
      </w:pPr>
      <w:r>
        <w:rPr>
          <w:sz w:val="24"/>
        </w:rPr>
        <w:t xml:space="preserve">                                                 </w:t>
      </w:r>
      <w:r>
        <w:rPr>
          <w:sz w:val="24"/>
          <w:szCs w:val="21"/>
          <w:lang w:val="zh-CN"/>
        </w:rPr>
        <w:t>时间：</w:t>
      </w:r>
    </w:p>
    <w:p>
      <w:pPr>
        <w:pStyle w:val="2"/>
        <w:rPr>
          <w:rFonts w:hint="eastAsia"/>
          <w:sz w:val="24"/>
          <w:szCs w:val="21"/>
          <w:lang w:val="zh-CN"/>
        </w:rPr>
      </w:pPr>
    </w:p>
    <w:sectPr>
      <w:headerReference r:id="rId3" w:type="default"/>
      <w:footerReference r:id="rId4" w:type="default"/>
      <w:pgSz w:w="11906" w:h="16838"/>
      <w:pgMar w:top="1134" w:right="1134" w:bottom="1134"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rPr>
        <w:rStyle w:val="25"/>
      </w:rPr>
      <w:instrText xml:space="preserve"> PAGE </w:instrText>
    </w:r>
    <w:r>
      <w:fldChar w:fldCharType="separate"/>
    </w:r>
    <w:r>
      <w:rPr>
        <w:rStyle w:val="25"/>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left" w:pos="525"/>
        <w:tab w:val="right" w:pos="9354"/>
      </w:tabs>
      <w:wordWrap w:val="0"/>
      <w:ind w:right="360"/>
      <w:jc w:val="right"/>
    </w:pPr>
    <w:r>
      <w:rPr>
        <w:rFonts w:hint="eastAsia"/>
        <w:sz w:val="21"/>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AF26C9"/>
    <w:multiLevelType w:val="singleLevel"/>
    <w:tmpl w:val="53AF26C9"/>
    <w:lvl w:ilvl="0" w:tentative="0">
      <w:start w:val="1"/>
      <w:numFmt w:val="lowerLetter"/>
      <w:pStyle w:val="37"/>
      <w:lvlText w:val="%1)"/>
      <w:lvlJc w:val="left"/>
      <w:pPr>
        <w:tabs>
          <w:tab w:val="left" w:pos="425"/>
        </w:tabs>
        <w:ind w:left="425" w:hanging="425"/>
      </w:pPr>
      <w:rPr>
        <w:rFonts w:hint="default" w:ascii="Times New Roman" w:hAnsi="Times New Roman"/>
      </w:rPr>
    </w:lvl>
  </w:abstractNum>
  <w:abstractNum w:abstractNumId="1">
    <w:nsid w:val="61652B3B"/>
    <w:multiLevelType w:val="multilevel"/>
    <w:tmpl w:val="61652B3B"/>
    <w:lvl w:ilvl="0" w:tentative="0">
      <w:start w:val="1"/>
      <w:numFmt w:val="decimal"/>
      <w:lvlText w:val="%1"/>
      <w:lvlJc w:val="left"/>
      <w:pPr>
        <w:ind w:left="432" w:hanging="432"/>
      </w:pPr>
    </w:lvl>
    <w:lvl w:ilvl="1" w:tentative="0">
      <w:start w:val="1"/>
      <w:numFmt w:val="decimal"/>
      <w:pStyle w:val="4"/>
      <w:lvlText w:val="%1.%2"/>
      <w:lvlJc w:val="left"/>
      <w:pPr>
        <w:ind w:left="576" w:hanging="576"/>
      </w:pPr>
    </w:lvl>
    <w:lvl w:ilvl="2" w:tentative="0">
      <w:start w:val="1"/>
      <w:numFmt w:val="decimal"/>
      <w:pStyle w:val="5"/>
      <w:lvlText w:val="%1.%2.%3"/>
      <w:lvlJc w:val="left"/>
      <w:pPr>
        <w:ind w:left="720" w:hanging="720"/>
      </w:pPr>
    </w:lvl>
    <w:lvl w:ilvl="3" w:tentative="0">
      <w:start w:val="1"/>
      <w:numFmt w:val="decimal"/>
      <w:pStyle w:val="6"/>
      <w:lvlText w:val="%1.%2.%3.%4"/>
      <w:lvlJc w:val="left"/>
      <w:pPr>
        <w:ind w:left="864" w:hanging="864"/>
      </w:pPr>
    </w:lvl>
    <w:lvl w:ilvl="4" w:tentative="0">
      <w:start w:val="1"/>
      <w:numFmt w:val="decimal"/>
      <w:pStyle w:val="7"/>
      <w:lvlText w:val="%1.%2.%3.%4.%5"/>
      <w:lvlJc w:val="left"/>
      <w:pPr>
        <w:ind w:left="1008" w:hanging="1008"/>
      </w:pPr>
    </w:lvl>
    <w:lvl w:ilvl="5" w:tentative="0">
      <w:start w:val="1"/>
      <w:numFmt w:val="decimal"/>
      <w:pStyle w:val="8"/>
      <w:lvlText w:val="%1.%2.%3.%4.%5.%6"/>
      <w:lvlJc w:val="left"/>
      <w:pPr>
        <w:ind w:left="1152" w:hanging="1152"/>
      </w:pPr>
    </w:lvl>
    <w:lvl w:ilvl="6" w:tentative="0">
      <w:start w:val="1"/>
      <w:numFmt w:val="decimal"/>
      <w:pStyle w:val="9"/>
      <w:lvlText w:val="%1.%2.%3.%4.%5.%6.%7"/>
      <w:lvlJc w:val="left"/>
      <w:pPr>
        <w:ind w:left="1296" w:hanging="1296"/>
      </w:pPr>
    </w:lvl>
    <w:lvl w:ilvl="7" w:tentative="0">
      <w:start w:val="1"/>
      <w:numFmt w:val="decimal"/>
      <w:pStyle w:val="10"/>
      <w:lvlText w:val="%1.%2.%3.%4.%5.%6.%7.%8"/>
      <w:lvlJc w:val="left"/>
      <w:pPr>
        <w:ind w:left="1440" w:hanging="1440"/>
      </w:pPr>
    </w:lvl>
    <w:lvl w:ilvl="8" w:tentative="0">
      <w:start w:val="1"/>
      <w:numFmt w:val="decimal"/>
      <w:pStyle w:val="11"/>
      <w:lvlText w:val="%1.%2.%3.%4.%5.%6.%7.%8.%9"/>
      <w:lvlJc w:val="left"/>
      <w:pPr>
        <w:ind w:left="1584" w:hanging="1584"/>
      </w:pPr>
    </w:lvl>
  </w:abstractNum>
  <w:abstractNum w:abstractNumId="2">
    <w:nsid w:val="7C790964"/>
    <w:multiLevelType w:val="multilevel"/>
    <w:tmpl w:val="7C790964"/>
    <w:lvl w:ilvl="0" w:tentative="0">
      <w:start w:val="1"/>
      <w:numFmt w:val="decimal"/>
      <w:lvlText w:val="%1"/>
      <w:lvlJc w:val="left"/>
      <w:pPr>
        <w:ind w:left="600" w:hanging="600"/>
      </w:pPr>
      <w:rPr>
        <w:rFonts w:hint="default" w:ascii="宋体" w:hAnsi="宋体"/>
      </w:rPr>
    </w:lvl>
    <w:lvl w:ilvl="1" w:tentative="0">
      <w:start w:val="2"/>
      <w:numFmt w:val="decimal"/>
      <w:lvlText w:val="%1.%2"/>
      <w:lvlJc w:val="left"/>
      <w:pPr>
        <w:ind w:left="720" w:hanging="720"/>
      </w:pPr>
      <w:rPr>
        <w:rFonts w:hint="default" w:ascii="宋体" w:hAnsi="宋体"/>
      </w:rPr>
    </w:lvl>
    <w:lvl w:ilvl="2" w:tentative="0">
      <w:start w:val="1"/>
      <w:numFmt w:val="decimal"/>
      <w:lvlText w:val="%1.%2.%3"/>
      <w:lvlJc w:val="left"/>
      <w:pPr>
        <w:ind w:left="720" w:hanging="720"/>
      </w:pPr>
      <w:rPr>
        <w:rFonts w:hint="default" w:ascii="Times New Roman" w:hAnsi="Times New Roman" w:cs="Times New Roman"/>
      </w:rPr>
    </w:lvl>
    <w:lvl w:ilvl="3" w:tentative="0">
      <w:start w:val="1"/>
      <w:numFmt w:val="decimal"/>
      <w:lvlText w:val="%1.%2.%3.%4"/>
      <w:lvlJc w:val="left"/>
      <w:pPr>
        <w:ind w:left="1080" w:hanging="1080"/>
      </w:pPr>
      <w:rPr>
        <w:rFonts w:hint="default" w:ascii="宋体" w:hAnsi="宋体"/>
      </w:rPr>
    </w:lvl>
    <w:lvl w:ilvl="4" w:tentative="0">
      <w:start w:val="1"/>
      <w:numFmt w:val="decimal"/>
      <w:lvlText w:val="%1.%2.%3.%4.%5"/>
      <w:lvlJc w:val="left"/>
      <w:pPr>
        <w:ind w:left="1440" w:hanging="1440"/>
      </w:pPr>
      <w:rPr>
        <w:rFonts w:hint="default" w:ascii="宋体" w:hAnsi="宋体"/>
      </w:rPr>
    </w:lvl>
    <w:lvl w:ilvl="5" w:tentative="0">
      <w:start w:val="1"/>
      <w:numFmt w:val="decimal"/>
      <w:lvlText w:val="%1.%2.%3.%4.%5.%6"/>
      <w:lvlJc w:val="left"/>
      <w:pPr>
        <w:ind w:left="1800" w:hanging="1800"/>
      </w:pPr>
      <w:rPr>
        <w:rFonts w:hint="default" w:ascii="宋体" w:hAnsi="宋体"/>
      </w:rPr>
    </w:lvl>
    <w:lvl w:ilvl="6" w:tentative="0">
      <w:start w:val="1"/>
      <w:numFmt w:val="decimal"/>
      <w:lvlText w:val="%1.%2.%3.%4.%5.%6.%7"/>
      <w:lvlJc w:val="left"/>
      <w:pPr>
        <w:ind w:left="2160" w:hanging="2160"/>
      </w:pPr>
      <w:rPr>
        <w:rFonts w:hint="default" w:ascii="宋体" w:hAnsi="宋体"/>
      </w:rPr>
    </w:lvl>
    <w:lvl w:ilvl="7" w:tentative="0">
      <w:start w:val="1"/>
      <w:numFmt w:val="decimal"/>
      <w:lvlText w:val="%1.%2.%3.%4.%5.%6.%7.%8"/>
      <w:lvlJc w:val="left"/>
      <w:pPr>
        <w:ind w:left="2160" w:hanging="2160"/>
      </w:pPr>
      <w:rPr>
        <w:rFonts w:hint="default" w:ascii="宋体" w:hAnsi="宋体"/>
      </w:rPr>
    </w:lvl>
    <w:lvl w:ilvl="8" w:tentative="0">
      <w:start w:val="1"/>
      <w:numFmt w:val="decimal"/>
      <w:lvlText w:val="%1.%2.%3.%4.%5.%6.%7.%8.%9"/>
      <w:lvlJc w:val="left"/>
      <w:pPr>
        <w:ind w:left="2520" w:hanging="2520"/>
      </w:pPr>
      <w:rPr>
        <w:rFonts w:hint="default" w:ascii="宋体" w:hAnsi="宋体"/>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00593D24"/>
    <w:rsid w:val="000036FF"/>
    <w:rsid w:val="00007A1F"/>
    <w:rsid w:val="00011D30"/>
    <w:rsid w:val="00012A6E"/>
    <w:rsid w:val="0001470C"/>
    <w:rsid w:val="00015C1E"/>
    <w:rsid w:val="0002023A"/>
    <w:rsid w:val="0002466A"/>
    <w:rsid w:val="0002764B"/>
    <w:rsid w:val="000305E3"/>
    <w:rsid w:val="000321C5"/>
    <w:rsid w:val="00033DC5"/>
    <w:rsid w:val="00033DE9"/>
    <w:rsid w:val="0004197D"/>
    <w:rsid w:val="000422F2"/>
    <w:rsid w:val="00044883"/>
    <w:rsid w:val="00050719"/>
    <w:rsid w:val="00051460"/>
    <w:rsid w:val="00054D49"/>
    <w:rsid w:val="00056C7E"/>
    <w:rsid w:val="00062947"/>
    <w:rsid w:val="0006320B"/>
    <w:rsid w:val="000661B9"/>
    <w:rsid w:val="0007204F"/>
    <w:rsid w:val="00081A41"/>
    <w:rsid w:val="00083C75"/>
    <w:rsid w:val="0009018D"/>
    <w:rsid w:val="00092488"/>
    <w:rsid w:val="00095A38"/>
    <w:rsid w:val="000A03E6"/>
    <w:rsid w:val="000A2731"/>
    <w:rsid w:val="000A6455"/>
    <w:rsid w:val="000A7477"/>
    <w:rsid w:val="000A7486"/>
    <w:rsid w:val="000A7DDC"/>
    <w:rsid w:val="000B08B8"/>
    <w:rsid w:val="000B133B"/>
    <w:rsid w:val="000B21FC"/>
    <w:rsid w:val="000B37D2"/>
    <w:rsid w:val="000B3EEE"/>
    <w:rsid w:val="000B5268"/>
    <w:rsid w:val="000B65C4"/>
    <w:rsid w:val="000B78F1"/>
    <w:rsid w:val="000C12A6"/>
    <w:rsid w:val="000C1341"/>
    <w:rsid w:val="000C2689"/>
    <w:rsid w:val="000C5CE8"/>
    <w:rsid w:val="000C7AD1"/>
    <w:rsid w:val="000D3011"/>
    <w:rsid w:val="000D3039"/>
    <w:rsid w:val="000D486D"/>
    <w:rsid w:val="000D67D1"/>
    <w:rsid w:val="000E43BD"/>
    <w:rsid w:val="000E6BCD"/>
    <w:rsid w:val="000E70EB"/>
    <w:rsid w:val="000E7628"/>
    <w:rsid w:val="000F00CC"/>
    <w:rsid w:val="000F2C4B"/>
    <w:rsid w:val="000F30FD"/>
    <w:rsid w:val="000F78D6"/>
    <w:rsid w:val="0010322D"/>
    <w:rsid w:val="00105940"/>
    <w:rsid w:val="00107919"/>
    <w:rsid w:val="00107ACF"/>
    <w:rsid w:val="00107DD7"/>
    <w:rsid w:val="0011584E"/>
    <w:rsid w:val="00132797"/>
    <w:rsid w:val="00135EB7"/>
    <w:rsid w:val="00136462"/>
    <w:rsid w:val="001448CD"/>
    <w:rsid w:val="00157D57"/>
    <w:rsid w:val="00157E43"/>
    <w:rsid w:val="0016539F"/>
    <w:rsid w:val="001660E4"/>
    <w:rsid w:val="00166BBD"/>
    <w:rsid w:val="001718F5"/>
    <w:rsid w:val="00172395"/>
    <w:rsid w:val="0017621A"/>
    <w:rsid w:val="001851FC"/>
    <w:rsid w:val="00186CB5"/>
    <w:rsid w:val="00186F4C"/>
    <w:rsid w:val="00190636"/>
    <w:rsid w:val="00192C4D"/>
    <w:rsid w:val="00193418"/>
    <w:rsid w:val="00195183"/>
    <w:rsid w:val="001A5A7F"/>
    <w:rsid w:val="001A7697"/>
    <w:rsid w:val="001B1499"/>
    <w:rsid w:val="001B608B"/>
    <w:rsid w:val="001B78D3"/>
    <w:rsid w:val="001C2E44"/>
    <w:rsid w:val="001C376A"/>
    <w:rsid w:val="001C4D4C"/>
    <w:rsid w:val="001C4EC9"/>
    <w:rsid w:val="001C560D"/>
    <w:rsid w:val="001C73E3"/>
    <w:rsid w:val="001D0768"/>
    <w:rsid w:val="001D15FF"/>
    <w:rsid w:val="001D4218"/>
    <w:rsid w:val="001D5FA6"/>
    <w:rsid w:val="001E1C7F"/>
    <w:rsid w:val="001F2C1C"/>
    <w:rsid w:val="001F2D29"/>
    <w:rsid w:val="0020469D"/>
    <w:rsid w:val="002056D9"/>
    <w:rsid w:val="00210CA8"/>
    <w:rsid w:val="002111FD"/>
    <w:rsid w:val="0021181E"/>
    <w:rsid w:val="00212D67"/>
    <w:rsid w:val="00212E97"/>
    <w:rsid w:val="00216F83"/>
    <w:rsid w:val="00217375"/>
    <w:rsid w:val="00221583"/>
    <w:rsid w:val="0022249E"/>
    <w:rsid w:val="002227BD"/>
    <w:rsid w:val="00225AF0"/>
    <w:rsid w:val="0022673A"/>
    <w:rsid w:val="002275EC"/>
    <w:rsid w:val="002304CC"/>
    <w:rsid w:val="002331F1"/>
    <w:rsid w:val="002350BF"/>
    <w:rsid w:val="0023625B"/>
    <w:rsid w:val="00240AE1"/>
    <w:rsid w:val="00240E78"/>
    <w:rsid w:val="0024100C"/>
    <w:rsid w:val="00241B70"/>
    <w:rsid w:val="00244DB9"/>
    <w:rsid w:val="00247316"/>
    <w:rsid w:val="00251D7A"/>
    <w:rsid w:val="00251DD5"/>
    <w:rsid w:val="00252284"/>
    <w:rsid w:val="002543B9"/>
    <w:rsid w:val="00256239"/>
    <w:rsid w:val="002613CE"/>
    <w:rsid w:val="002618EB"/>
    <w:rsid w:val="002654DF"/>
    <w:rsid w:val="0026694E"/>
    <w:rsid w:val="00267E34"/>
    <w:rsid w:val="002749BE"/>
    <w:rsid w:val="00283A8F"/>
    <w:rsid w:val="00285515"/>
    <w:rsid w:val="002923AD"/>
    <w:rsid w:val="00294E88"/>
    <w:rsid w:val="002A419D"/>
    <w:rsid w:val="002A6529"/>
    <w:rsid w:val="002B2937"/>
    <w:rsid w:val="002B3F37"/>
    <w:rsid w:val="002B4453"/>
    <w:rsid w:val="002B5146"/>
    <w:rsid w:val="002B5566"/>
    <w:rsid w:val="002B62C2"/>
    <w:rsid w:val="002C0A95"/>
    <w:rsid w:val="002C17F9"/>
    <w:rsid w:val="002C1898"/>
    <w:rsid w:val="002C43C0"/>
    <w:rsid w:val="002D27AD"/>
    <w:rsid w:val="002D3531"/>
    <w:rsid w:val="002E4810"/>
    <w:rsid w:val="002E7795"/>
    <w:rsid w:val="002F2B97"/>
    <w:rsid w:val="002F2F04"/>
    <w:rsid w:val="002F359B"/>
    <w:rsid w:val="002F6296"/>
    <w:rsid w:val="002F7EEF"/>
    <w:rsid w:val="00302543"/>
    <w:rsid w:val="00313459"/>
    <w:rsid w:val="00321653"/>
    <w:rsid w:val="00322425"/>
    <w:rsid w:val="00322E38"/>
    <w:rsid w:val="00326D53"/>
    <w:rsid w:val="00331BE8"/>
    <w:rsid w:val="00332F53"/>
    <w:rsid w:val="003408B5"/>
    <w:rsid w:val="00340A6A"/>
    <w:rsid w:val="0034289B"/>
    <w:rsid w:val="00347554"/>
    <w:rsid w:val="00350094"/>
    <w:rsid w:val="00350999"/>
    <w:rsid w:val="0035413B"/>
    <w:rsid w:val="00354DBD"/>
    <w:rsid w:val="003552D5"/>
    <w:rsid w:val="00356686"/>
    <w:rsid w:val="003570DD"/>
    <w:rsid w:val="00357945"/>
    <w:rsid w:val="00357E36"/>
    <w:rsid w:val="00361EB0"/>
    <w:rsid w:val="00363721"/>
    <w:rsid w:val="0036404F"/>
    <w:rsid w:val="0036495C"/>
    <w:rsid w:val="00367540"/>
    <w:rsid w:val="0037044C"/>
    <w:rsid w:val="0037172E"/>
    <w:rsid w:val="00371DC5"/>
    <w:rsid w:val="0037535C"/>
    <w:rsid w:val="0037537E"/>
    <w:rsid w:val="003770EE"/>
    <w:rsid w:val="0038029C"/>
    <w:rsid w:val="00380C70"/>
    <w:rsid w:val="003824F2"/>
    <w:rsid w:val="003874B0"/>
    <w:rsid w:val="003960F0"/>
    <w:rsid w:val="003A089F"/>
    <w:rsid w:val="003A0B27"/>
    <w:rsid w:val="003A1D3C"/>
    <w:rsid w:val="003A2C61"/>
    <w:rsid w:val="003A3B8D"/>
    <w:rsid w:val="003B20D9"/>
    <w:rsid w:val="003C4FB1"/>
    <w:rsid w:val="003D0333"/>
    <w:rsid w:val="003D76D5"/>
    <w:rsid w:val="003D7CCF"/>
    <w:rsid w:val="003E3894"/>
    <w:rsid w:val="003E7523"/>
    <w:rsid w:val="003F02A8"/>
    <w:rsid w:val="00401ECA"/>
    <w:rsid w:val="00403920"/>
    <w:rsid w:val="0040482B"/>
    <w:rsid w:val="00407A4B"/>
    <w:rsid w:val="004146C4"/>
    <w:rsid w:val="00416D9D"/>
    <w:rsid w:val="004175D1"/>
    <w:rsid w:val="00420DF0"/>
    <w:rsid w:val="00431F00"/>
    <w:rsid w:val="00434AE5"/>
    <w:rsid w:val="00434C55"/>
    <w:rsid w:val="004402A7"/>
    <w:rsid w:val="00440DFC"/>
    <w:rsid w:val="00442D20"/>
    <w:rsid w:val="00444074"/>
    <w:rsid w:val="004541DB"/>
    <w:rsid w:val="0045595D"/>
    <w:rsid w:val="00455CED"/>
    <w:rsid w:val="00456102"/>
    <w:rsid w:val="004577A8"/>
    <w:rsid w:val="00457E52"/>
    <w:rsid w:val="0046193D"/>
    <w:rsid w:val="00461CDB"/>
    <w:rsid w:val="00465301"/>
    <w:rsid w:val="004738E1"/>
    <w:rsid w:val="00474FA3"/>
    <w:rsid w:val="00475A2D"/>
    <w:rsid w:val="00481A9F"/>
    <w:rsid w:val="004834CC"/>
    <w:rsid w:val="00483FFD"/>
    <w:rsid w:val="00487912"/>
    <w:rsid w:val="00490AAC"/>
    <w:rsid w:val="00493015"/>
    <w:rsid w:val="004A0504"/>
    <w:rsid w:val="004A0F49"/>
    <w:rsid w:val="004A300C"/>
    <w:rsid w:val="004A60B3"/>
    <w:rsid w:val="004A61AF"/>
    <w:rsid w:val="004B0C71"/>
    <w:rsid w:val="004B168A"/>
    <w:rsid w:val="004B23D7"/>
    <w:rsid w:val="004B2C36"/>
    <w:rsid w:val="004C0C47"/>
    <w:rsid w:val="004C2B79"/>
    <w:rsid w:val="004C34A5"/>
    <w:rsid w:val="004C5DFD"/>
    <w:rsid w:val="004C6FF0"/>
    <w:rsid w:val="004D1C73"/>
    <w:rsid w:val="004D3180"/>
    <w:rsid w:val="004D43CB"/>
    <w:rsid w:val="004D511F"/>
    <w:rsid w:val="004D7C7D"/>
    <w:rsid w:val="004E170B"/>
    <w:rsid w:val="004F0350"/>
    <w:rsid w:val="004F0496"/>
    <w:rsid w:val="004F0590"/>
    <w:rsid w:val="004F0C18"/>
    <w:rsid w:val="004F0FE1"/>
    <w:rsid w:val="004F3CBD"/>
    <w:rsid w:val="00501133"/>
    <w:rsid w:val="005073B9"/>
    <w:rsid w:val="005120DD"/>
    <w:rsid w:val="005121CC"/>
    <w:rsid w:val="00516A0A"/>
    <w:rsid w:val="005204C1"/>
    <w:rsid w:val="00520951"/>
    <w:rsid w:val="00521B85"/>
    <w:rsid w:val="005235AA"/>
    <w:rsid w:val="0052395D"/>
    <w:rsid w:val="00525360"/>
    <w:rsid w:val="00533556"/>
    <w:rsid w:val="00533AFC"/>
    <w:rsid w:val="00533C6A"/>
    <w:rsid w:val="0053429D"/>
    <w:rsid w:val="005402DB"/>
    <w:rsid w:val="00540E2D"/>
    <w:rsid w:val="00550136"/>
    <w:rsid w:val="00550D8F"/>
    <w:rsid w:val="00551EEC"/>
    <w:rsid w:val="00553C9D"/>
    <w:rsid w:val="005622A8"/>
    <w:rsid w:val="0056496C"/>
    <w:rsid w:val="00566886"/>
    <w:rsid w:val="005766A3"/>
    <w:rsid w:val="005767C0"/>
    <w:rsid w:val="00577063"/>
    <w:rsid w:val="00585CA6"/>
    <w:rsid w:val="00593B60"/>
    <w:rsid w:val="00593D24"/>
    <w:rsid w:val="005A09B7"/>
    <w:rsid w:val="005A5793"/>
    <w:rsid w:val="005A7F7C"/>
    <w:rsid w:val="005B3299"/>
    <w:rsid w:val="005B6958"/>
    <w:rsid w:val="005C1646"/>
    <w:rsid w:val="005C2400"/>
    <w:rsid w:val="005C43AF"/>
    <w:rsid w:val="005D50EF"/>
    <w:rsid w:val="005D51FC"/>
    <w:rsid w:val="005D7A14"/>
    <w:rsid w:val="005E1C2A"/>
    <w:rsid w:val="005E7018"/>
    <w:rsid w:val="005F0554"/>
    <w:rsid w:val="005F27FC"/>
    <w:rsid w:val="005F49F1"/>
    <w:rsid w:val="005F57B3"/>
    <w:rsid w:val="0060041F"/>
    <w:rsid w:val="00602898"/>
    <w:rsid w:val="00603C7B"/>
    <w:rsid w:val="00605501"/>
    <w:rsid w:val="00610135"/>
    <w:rsid w:val="006140AD"/>
    <w:rsid w:val="00617CD4"/>
    <w:rsid w:val="00620395"/>
    <w:rsid w:val="00622977"/>
    <w:rsid w:val="00623445"/>
    <w:rsid w:val="0062368A"/>
    <w:rsid w:val="00624B9F"/>
    <w:rsid w:val="00624F07"/>
    <w:rsid w:val="00626069"/>
    <w:rsid w:val="00627A11"/>
    <w:rsid w:val="00633CA7"/>
    <w:rsid w:val="006346E1"/>
    <w:rsid w:val="006348DB"/>
    <w:rsid w:val="006409D4"/>
    <w:rsid w:val="00640C3D"/>
    <w:rsid w:val="00641112"/>
    <w:rsid w:val="00642094"/>
    <w:rsid w:val="006421FF"/>
    <w:rsid w:val="0065363D"/>
    <w:rsid w:val="00654A1F"/>
    <w:rsid w:val="006574DC"/>
    <w:rsid w:val="006575C2"/>
    <w:rsid w:val="006650CD"/>
    <w:rsid w:val="006655B0"/>
    <w:rsid w:val="00666053"/>
    <w:rsid w:val="006674E5"/>
    <w:rsid w:val="00684A5B"/>
    <w:rsid w:val="00690E76"/>
    <w:rsid w:val="00695CAA"/>
    <w:rsid w:val="0069636C"/>
    <w:rsid w:val="0069644D"/>
    <w:rsid w:val="006A137A"/>
    <w:rsid w:val="006A1E6D"/>
    <w:rsid w:val="006A3A39"/>
    <w:rsid w:val="006B1EE9"/>
    <w:rsid w:val="006B7809"/>
    <w:rsid w:val="006C1E63"/>
    <w:rsid w:val="006C5D36"/>
    <w:rsid w:val="006C5FAD"/>
    <w:rsid w:val="006D08FD"/>
    <w:rsid w:val="006D104A"/>
    <w:rsid w:val="006D4FA3"/>
    <w:rsid w:val="006D7687"/>
    <w:rsid w:val="006E1054"/>
    <w:rsid w:val="006F38A8"/>
    <w:rsid w:val="006F6EAB"/>
    <w:rsid w:val="00702E52"/>
    <w:rsid w:val="00705666"/>
    <w:rsid w:val="007061C7"/>
    <w:rsid w:val="0071136B"/>
    <w:rsid w:val="00711704"/>
    <w:rsid w:val="00712A0E"/>
    <w:rsid w:val="00713878"/>
    <w:rsid w:val="00714256"/>
    <w:rsid w:val="007161E8"/>
    <w:rsid w:val="00717419"/>
    <w:rsid w:val="00721985"/>
    <w:rsid w:val="007244B7"/>
    <w:rsid w:val="0072487E"/>
    <w:rsid w:val="00725136"/>
    <w:rsid w:val="00725EB6"/>
    <w:rsid w:val="0073035D"/>
    <w:rsid w:val="0073521F"/>
    <w:rsid w:val="0074164D"/>
    <w:rsid w:val="00741C8A"/>
    <w:rsid w:val="00742987"/>
    <w:rsid w:val="00743CBD"/>
    <w:rsid w:val="00745FC3"/>
    <w:rsid w:val="00747C43"/>
    <w:rsid w:val="00752A8C"/>
    <w:rsid w:val="00760954"/>
    <w:rsid w:val="00763145"/>
    <w:rsid w:val="00765E0C"/>
    <w:rsid w:val="00766543"/>
    <w:rsid w:val="00766CDD"/>
    <w:rsid w:val="00766D05"/>
    <w:rsid w:val="007710B6"/>
    <w:rsid w:val="00772088"/>
    <w:rsid w:val="007750F1"/>
    <w:rsid w:val="00775219"/>
    <w:rsid w:val="00776D4C"/>
    <w:rsid w:val="0077711D"/>
    <w:rsid w:val="007873ED"/>
    <w:rsid w:val="0079396A"/>
    <w:rsid w:val="0079523A"/>
    <w:rsid w:val="007A3749"/>
    <w:rsid w:val="007B259A"/>
    <w:rsid w:val="007C063F"/>
    <w:rsid w:val="007C2F7F"/>
    <w:rsid w:val="007C70FF"/>
    <w:rsid w:val="007D0CF6"/>
    <w:rsid w:val="007D748E"/>
    <w:rsid w:val="007E0F3B"/>
    <w:rsid w:val="007E2F2E"/>
    <w:rsid w:val="007E41CE"/>
    <w:rsid w:val="007E519E"/>
    <w:rsid w:val="007E6C89"/>
    <w:rsid w:val="007F57D8"/>
    <w:rsid w:val="007F6632"/>
    <w:rsid w:val="007F6A7C"/>
    <w:rsid w:val="00802420"/>
    <w:rsid w:val="0080441E"/>
    <w:rsid w:val="00806DD9"/>
    <w:rsid w:val="0081358F"/>
    <w:rsid w:val="00814998"/>
    <w:rsid w:val="00814EFB"/>
    <w:rsid w:val="00816BD1"/>
    <w:rsid w:val="00816DCE"/>
    <w:rsid w:val="008176DC"/>
    <w:rsid w:val="00824062"/>
    <w:rsid w:val="0082504E"/>
    <w:rsid w:val="00836D54"/>
    <w:rsid w:val="0084098E"/>
    <w:rsid w:val="00844641"/>
    <w:rsid w:val="00850458"/>
    <w:rsid w:val="008547DD"/>
    <w:rsid w:val="00862567"/>
    <w:rsid w:val="00862CDC"/>
    <w:rsid w:val="00864B32"/>
    <w:rsid w:val="00870394"/>
    <w:rsid w:val="0087084D"/>
    <w:rsid w:val="00874220"/>
    <w:rsid w:val="00881192"/>
    <w:rsid w:val="00883915"/>
    <w:rsid w:val="00890B1E"/>
    <w:rsid w:val="008927A0"/>
    <w:rsid w:val="00893839"/>
    <w:rsid w:val="0089590E"/>
    <w:rsid w:val="008A4906"/>
    <w:rsid w:val="008B06CD"/>
    <w:rsid w:val="008B5973"/>
    <w:rsid w:val="008C0A0F"/>
    <w:rsid w:val="008C2B23"/>
    <w:rsid w:val="008C4DE1"/>
    <w:rsid w:val="008C6500"/>
    <w:rsid w:val="008C6B60"/>
    <w:rsid w:val="008C7269"/>
    <w:rsid w:val="008D06BE"/>
    <w:rsid w:val="008D2AC7"/>
    <w:rsid w:val="008D62DF"/>
    <w:rsid w:val="008E01DD"/>
    <w:rsid w:val="008E3CDA"/>
    <w:rsid w:val="008E63F9"/>
    <w:rsid w:val="008E74D2"/>
    <w:rsid w:val="008F2D3D"/>
    <w:rsid w:val="008F4A3F"/>
    <w:rsid w:val="008F7245"/>
    <w:rsid w:val="00902F42"/>
    <w:rsid w:val="00905DFF"/>
    <w:rsid w:val="0091508E"/>
    <w:rsid w:val="009205FB"/>
    <w:rsid w:val="00920EA6"/>
    <w:rsid w:val="0092116D"/>
    <w:rsid w:val="00923A78"/>
    <w:rsid w:val="00924700"/>
    <w:rsid w:val="00934144"/>
    <w:rsid w:val="0093446B"/>
    <w:rsid w:val="00936218"/>
    <w:rsid w:val="0093706E"/>
    <w:rsid w:val="00937A1B"/>
    <w:rsid w:val="00942071"/>
    <w:rsid w:val="00945337"/>
    <w:rsid w:val="009465A4"/>
    <w:rsid w:val="009552CD"/>
    <w:rsid w:val="0096523B"/>
    <w:rsid w:val="00965306"/>
    <w:rsid w:val="009707C9"/>
    <w:rsid w:val="009713EB"/>
    <w:rsid w:val="009733A0"/>
    <w:rsid w:val="009737DD"/>
    <w:rsid w:val="00974273"/>
    <w:rsid w:val="00980D79"/>
    <w:rsid w:val="009873FC"/>
    <w:rsid w:val="00991C42"/>
    <w:rsid w:val="0099229F"/>
    <w:rsid w:val="00992593"/>
    <w:rsid w:val="0099378A"/>
    <w:rsid w:val="009954F3"/>
    <w:rsid w:val="009A72BB"/>
    <w:rsid w:val="009A7603"/>
    <w:rsid w:val="009A7732"/>
    <w:rsid w:val="009A7ADE"/>
    <w:rsid w:val="009B227D"/>
    <w:rsid w:val="009B26ED"/>
    <w:rsid w:val="009B640E"/>
    <w:rsid w:val="009B706A"/>
    <w:rsid w:val="009B7193"/>
    <w:rsid w:val="009B7A84"/>
    <w:rsid w:val="009C1A19"/>
    <w:rsid w:val="009C3CE2"/>
    <w:rsid w:val="009D29BE"/>
    <w:rsid w:val="009D2E26"/>
    <w:rsid w:val="009D56FA"/>
    <w:rsid w:val="009D7560"/>
    <w:rsid w:val="009E09BA"/>
    <w:rsid w:val="009E597B"/>
    <w:rsid w:val="009F4391"/>
    <w:rsid w:val="009F5D6E"/>
    <w:rsid w:val="00A040DC"/>
    <w:rsid w:val="00A063CE"/>
    <w:rsid w:val="00A0673E"/>
    <w:rsid w:val="00A07F23"/>
    <w:rsid w:val="00A114E9"/>
    <w:rsid w:val="00A14B43"/>
    <w:rsid w:val="00A1600C"/>
    <w:rsid w:val="00A21684"/>
    <w:rsid w:val="00A22DF5"/>
    <w:rsid w:val="00A248F5"/>
    <w:rsid w:val="00A24C77"/>
    <w:rsid w:val="00A25068"/>
    <w:rsid w:val="00A2510C"/>
    <w:rsid w:val="00A27EAE"/>
    <w:rsid w:val="00A301FA"/>
    <w:rsid w:val="00A34AFF"/>
    <w:rsid w:val="00A35380"/>
    <w:rsid w:val="00A36710"/>
    <w:rsid w:val="00A3692F"/>
    <w:rsid w:val="00A37714"/>
    <w:rsid w:val="00A42407"/>
    <w:rsid w:val="00A4489B"/>
    <w:rsid w:val="00A4531F"/>
    <w:rsid w:val="00A455F5"/>
    <w:rsid w:val="00A47360"/>
    <w:rsid w:val="00A509FC"/>
    <w:rsid w:val="00A54D34"/>
    <w:rsid w:val="00A62F86"/>
    <w:rsid w:val="00A64312"/>
    <w:rsid w:val="00A653BD"/>
    <w:rsid w:val="00A65EC0"/>
    <w:rsid w:val="00A7026E"/>
    <w:rsid w:val="00A753ED"/>
    <w:rsid w:val="00A764E8"/>
    <w:rsid w:val="00A813C3"/>
    <w:rsid w:val="00A81532"/>
    <w:rsid w:val="00A85C73"/>
    <w:rsid w:val="00A90A79"/>
    <w:rsid w:val="00A90EAC"/>
    <w:rsid w:val="00A9123A"/>
    <w:rsid w:val="00A939A7"/>
    <w:rsid w:val="00A939B6"/>
    <w:rsid w:val="00A96F5C"/>
    <w:rsid w:val="00A9766E"/>
    <w:rsid w:val="00A97755"/>
    <w:rsid w:val="00AA17B5"/>
    <w:rsid w:val="00AA2AED"/>
    <w:rsid w:val="00AA4551"/>
    <w:rsid w:val="00AA6159"/>
    <w:rsid w:val="00AA6A40"/>
    <w:rsid w:val="00AB3938"/>
    <w:rsid w:val="00AB7515"/>
    <w:rsid w:val="00AC6081"/>
    <w:rsid w:val="00AD0652"/>
    <w:rsid w:val="00AD130A"/>
    <w:rsid w:val="00AD4F64"/>
    <w:rsid w:val="00AD7223"/>
    <w:rsid w:val="00AE1DD3"/>
    <w:rsid w:val="00AE329D"/>
    <w:rsid w:val="00AF12A4"/>
    <w:rsid w:val="00AF1CC7"/>
    <w:rsid w:val="00AF309E"/>
    <w:rsid w:val="00AF3DEF"/>
    <w:rsid w:val="00AF556D"/>
    <w:rsid w:val="00AF5776"/>
    <w:rsid w:val="00AF5990"/>
    <w:rsid w:val="00AF6C0F"/>
    <w:rsid w:val="00B00D1D"/>
    <w:rsid w:val="00B04701"/>
    <w:rsid w:val="00B06C51"/>
    <w:rsid w:val="00B06FF0"/>
    <w:rsid w:val="00B12A51"/>
    <w:rsid w:val="00B15B6D"/>
    <w:rsid w:val="00B1742B"/>
    <w:rsid w:val="00B22431"/>
    <w:rsid w:val="00B2430B"/>
    <w:rsid w:val="00B269CA"/>
    <w:rsid w:val="00B31098"/>
    <w:rsid w:val="00B31E9E"/>
    <w:rsid w:val="00B3485E"/>
    <w:rsid w:val="00B35EC6"/>
    <w:rsid w:val="00B36BCD"/>
    <w:rsid w:val="00B41572"/>
    <w:rsid w:val="00B42B84"/>
    <w:rsid w:val="00B44B63"/>
    <w:rsid w:val="00B509FE"/>
    <w:rsid w:val="00B566FD"/>
    <w:rsid w:val="00B61123"/>
    <w:rsid w:val="00B62BCC"/>
    <w:rsid w:val="00B64870"/>
    <w:rsid w:val="00B65EC7"/>
    <w:rsid w:val="00B705CB"/>
    <w:rsid w:val="00B724A8"/>
    <w:rsid w:val="00B730FD"/>
    <w:rsid w:val="00B741B5"/>
    <w:rsid w:val="00B74968"/>
    <w:rsid w:val="00B75E39"/>
    <w:rsid w:val="00B75F8C"/>
    <w:rsid w:val="00B76959"/>
    <w:rsid w:val="00B80BE9"/>
    <w:rsid w:val="00B82802"/>
    <w:rsid w:val="00B841AA"/>
    <w:rsid w:val="00B845B9"/>
    <w:rsid w:val="00B845C3"/>
    <w:rsid w:val="00B90489"/>
    <w:rsid w:val="00B918B3"/>
    <w:rsid w:val="00B9310C"/>
    <w:rsid w:val="00B95DA2"/>
    <w:rsid w:val="00BA0DA9"/>
    <w:rsid w:val="00BA11D8"/>
    <w:rsid w:val="00BA2ED7"/>
    <w:rsid w:val="00BA6DDB"/>
    <w:rsid w:val="00BB217E"/>
    <w:rsid w:val="00BB4DE8"/>
    <w:rsid w:val="00BC56D8"/>
    <w:rsid w:val="00BD17F5"/>
    <w:rsid w:val="00BD1863"/>
    <w:rsid w:val="00BD4234"/>
    <w:rsid w:val="00BD5C15"/>
    <w:rsid w:val="00BE2D30"/>
    <w:rsid w:val="00BE57DC"/>
    <w:rsid w:val="00BF0D58"/>
    <w:rsid w:val="00BF0FF5"/>
    <w:rsid w:val="00BF318D"/>
    <w:rsid w:val="00BF6F45"/>
    <w:rsid w:val="00C031E0"/>
    <w:rsid w:val="00C038E5"/>
    <w:rsid w:val="00C045FE"/>
    <w:rsid w:val="00C04F15"/>
    <w:rsid w:val="00C06B20"/>
    <w:rsid w:val="00C072CE"/>
    <w:rsid w:val="00C14BB8"/>
    <w:rsid w:val="00C20DC1"/>
    <w:rsid w:val="00C20DF5"/>
    <w:rsid w:val="00C231CD"/>
    <w:rsid w:val="00C26FD1"/>
    <w:rsid w:val="00C270E6"/>
    <w:rsid w:val="00C278C5"/>
    <w:rsid w:val="00C3133B"/>
    <w:rsid w:val="00C32922"/>
    <w:rsid w:val="00C32A7F"/>
    <w:rsid w:val="00C32ECC"/>
    <w:rsid w:val="00C33EDF"/>
    <w:rsid w:val="00C34E5E"/>
    <w:rsid w:val="00C43AF7"/>
    <w:rsid w:val="00C44C3C"/>
    <w:rsid w:val="00C44E62"/>
    <w:rsid w:val="00C4566A"/>
    <w:rsid w:val="00C459BA"/>
    <w:rsid w:val="00C46EE4"/>
    <w:rsid w:val="00C47F8F"/>
    <w:rsid w:val="00C5014D"/>
    <w:rsid w:val="00C50D63"/>
    <w:rsid w:val="00C53854"/>
    <w:rsid w:val="00C56B70"/>
    <w:rsid w:val="00C56F35"/>
    <w:rsid w:val="00C611D4"/>
    <w:rsid w:val="00C65171"/>
    <w:rsid w:val="00C669A5"/>
    <w:rsid w:val="00C71308"/>
    <w:rsid w:val="00C7267A"/>
    <w:rsid w:val="00C76B57"/>
    <w:rsid w:val="00C80283"/>
    <w:rsid w:val="00C805FB"/>
    <w:rsid w:val="00C80663"/>
    <w:rsid w:val="00C82082"/>
    <w:rsid w:val="00C86AE4"/>
    <w:rsid w:val="00C87A5D"/>
    <w:rsid w:val="00C924E4"/>
    <w:rsid w:val="00C92DF1"/>
    <w:rsid w:val="00C96D27"/>
    <w:rsid w:val="00CA0EDE"/>
    <w:rsid w:val="00CA21FA"/>
    <w:rsid w:val="00CA3644"/>
    <w:rsid w:val="00CA3A28"/>
    <w:rsid w:val="00CA460A"/>
    <w:rsid w:val="00CA7BC2"/>
    <w:rsid w:val="00CB02A9"/>
    <w:rsid w:val="00CB563E"/>
    <w:rsid w:val="00CB583E"/>
    <w:rsid w:val="00CB7C69"/>
    <w:rsid w:val="00CC0BE9"/>
    <w:rsid w:val="00CC1ECF"/>
    <w:rsid w:val="00CC4EE0"/>
    <w:rsid w:val="00CC6978"/>
    <w:rsid w:val="00CD1E1B"/>
    <w:rsid w:val="00CD2295"/>
    <w:rsid w:val="00CD2725"/>
    <w:rsid w:val="00CD3345"/>
    <w:rsid w:val="00CD684B"/>
    <w:rsid w:val="00CD6C58"/>
    <w:rsid w:val="00CE06CF"/>
    <w:rsid w:val="00CE1364"/>
    <w:rsid w:val="00CE2E26"/>
    <w:rsid w:val="00CE5352"/>
    <w:rsid w:val="00CF538D"/>
    <w:rsid w:val="00CF5F60"/>
    <w:rsid w:val="00CF70D8"/>
    <w:rsid w:val="00CF723A"/>
    <w:rsid w:val="00D04E8D"/>
    <w:rsid w:val="00D12ACD"/>
    <w:rsid w:val="00D1353D"/>
    <w:rsid w:val="00D1609A"/>
    <w:rsid w:val="00D16479"/>
    <w:rsid w:val="00D2111D"/>
    <w:rsid w:val="00D314FF"/>
    <w:rsid w:val="00D32A9A"/>
    <w:rsid w:val="00D3587D"/>
    <w:rsid w:val="00D35B29"/>
    <w:rsid w:val="00D360E1"/>
    <w:rsid w:val="00D3630D"/>
    <w:rsid w:val="00D36B53"/>
    <w:rsid w:val="00D41586"/>
    <w:rsid w:val="00D43501"/>
    <w:rsid w:val="00D455DD"/>
    <w:rsid w:val="00D45A65"/>
    <w:rsid w:val="00D52570"/>
    <w:rsid w:val="00D57342"/>
    <w:rsid w:val="00D57D71"/>
    <w:rsid w:val="00D62D6C"/>
    <w:rsid w:val="00D635AF"/>
    <w:rsid w:val="00D6615B"/>
    <w:rsid w:val="00D66BB4"/>
    <w:rsid w:val="00D7453C"/>
    <w:rsid w:val="00D81225"/>
    <w:rsid w:val="00D815F7"/>
    <w:rsid w:val="00D91202"/>
    <w:rsid w:val="00D91363"/>
    <w:rsid w:val="00D91CA7"/>
    <w:rsid w:val="00D925DF"/>
    <w:rsid w:val="00D94BFA"/>
    <w:rsid w:val="00DA3E4E"/>
    <w:rsid w:val="00DA7E15"/>
    <w:rsid w:val="00DB113D"/>
    <w:rsid w:val="00DB1BB5"/>
    <w:rsid w:val="00DB2077"/>
    <w:rsid w:val="00DB2271"/>
    <w:rsid w:val="00DB3538"/>
    <w:rsid w:val="00DC3428"/>
    <w:rsid w:val="00DC49A7"/>
    <w:rsid w:val="00DC515B"/>
    <w:rsid w:val="00DC5B14"/>
    <w:rsid w:val="00DD2D9F"/>
    <w:rsid w:val="00DD781C"/>
    <w:rsid w:val="00DE07CC"/>
    <w:rsid w:val="00DE0CA7"/>
    <w:rsid w:val="00DE139E"/>
    <w:rsid w:val="00DE2AEA"/>
    <w:rsid w:val="00DE6426"/>
    <w:rsid w:val="00DF02F4"/>
    <w:rsid w:val="00DF398F"/>
    <w:rsid w:val="00DF4227"/>
    <w:rsid w:val="00DF5C36"/>
    <w:rsid w:val="00DF7726"/>
    <w:rsid w:val="00DF7F97"/>
    <w:rsid w:val="00E001A6"/>
    <w:rsid w:val="00E03B9A"/>
    <w:rsid w:val="00E04092"/>
    <w:rsid w:val="00E052CD"/>
    <w:rsid w:val="00E05BF9"/>
    <w:rsid w:val="00E0698D"/>
    <w:rsid w:val="00E113C6"/>
    <w:rsid w:val="00E11658"/>
    <w:rsid w:val="00E129E2"/>
    <w:rsid w:val="00E15103"/>
    <w:rsid w:val="00E161C3"/>
    <w:rsid w:val="00E16B78"/>
    <w:rsid w:val="00E1712E"/>
    <w:rsid w:val="00E30A75"/>
    <w:rsid w:val="00E3177B"/>
    <w:rsid w:val="00E31DD0"/>
    <w:rsid w:val="00E347F0"/>
    <w:rsid w:val="00E36DC3"/>
    <w:rsid w:val="00E404B7"/>
    <w:rsid w:val="00E43B06"/>
    <w:rsid w:val="00E43BFF"/>
    <w:rsid w:val="00E47013"/>
    <w:rsid w:val="00E47E35"/>
    <w:rsid w:val="00E50529"/>
    <w:rsid w:val="00E5085C"/>
    <w:rsid w:val="00E51305"/>
    <w:rsid w:val="00E5625A"/>
    <w:rsid w:val="00E56442"/>
    <w:rsid w:val="00E64FB3"/>
    <w:rsid w:val="00E7331B"/>
    <w:rsid w:val="00E769F7"/>
    <w:rsid w:val="00E770E0"/>
    <w:rsid w:val="00E77A3D"/>
    <w:rsid w:val="00E81B37"/>
    <w:rsid w:val="00E82190"/>
    <w:rsid w:val="00E82FB3"/>
    <w:rsid w:val="00E84DA8"/>
    <w:rsid w:val="00E86146"/>
    <w:rsid w:val="00E87926"/>
    <w:rsid w:val="00E90DA7"/>
    <w:rsid w:val="00E91733"/>
    <w:rsid w:val="00E94EA6"/>
    <w:rsid w:val="00E96F03"/>
    <w:rsid w:val="00E96F40"/>
    <w:rsid w:val="00EA0274"/>
    <w:rsid w:val="00EA057F"/>
    <w:rsid w:val="00EA249A"/>
    <w:rsid w:val="00EA3577"/>
    <w:rsid w:val="00EA6131"/>
    <w:rsid w:val="00EA6331"/>
    <w:rsid w:val="00EA6B18"/>
    <w:rsid w:val="00EB02CD"/>
    <w:rsid w:val="00EB0EE8"/>
    <w:rsid w:val="00EB5DB3"/>
    <w:rsid w:val="00EC0EBB"/>
    <w:rsid w:val="00EC2E38"/>
    <w:rsid w:val="00EC59E4"/>
    <w:rsid w:val="00EC7614"/>
    <w:rsid w:val="00EC7A77"/>
    <w:rsid w:val="00EC7E4D"/>
    <w:rsid w:val="00ED00CC"/>
    <w:rsid w:val="00ED24D0"/>
    <w:rsid w:val="00ED38E7"/>
    <w:rsid w:val="00ED5A8B"/>
    <w:rsid w:val="00EE05A3"/>
    <w:rsid w:val="00EE60D6"/>
    <w:rsid w:val="00EE6BC9"/>
    <w:rsid w:val="00EF0BDE"/>
    <w:rsid w:val="00EF2374"/>
    <w:rsid w:val="00EF3DEB"/>
    <w:rsid w:val="00F10B2C"/>
    <w:rsid w:val="00F11859"/>
    <w:rsid w:val="00F21952"/>
    <w:rsid w:val="00F22491"/>
    <w:rsid w:val="00F23D20"/>
    <w:rsid w:val="00F31CE1"/>
    <w:rsid w:val="00F32062"/>
    <w:rsid w:val="00F36188"/>
    <w:rsid w:val="00F4023B"/>
    <w:rsid w:val="00F4139F"/>
    <w:rsid w:val="00F4233E"/>
    <w:rsid w:val="00F45CE5"/>
    <w:rsid w:val="00F46DD2"/>
    <w:rsid w:val="00F51AC7"/>
    <w:rsid w:val="00F523AA"/>
    <w:rsid w:val="00F5558C"/>
    <w:rsid w:val="00F60722"/>
    <w:rsid w:val="00F61199"/>
    <w:rsid w:val="00F619B5"/>
    <w:rsid w:val="00F66F00"/>
    <w:rsid w:val="00F67E6F"/>
    <w:rsid w:val="00F7159A"/>
    <w:rsid w:val="00F7385A"/>
    <w:rsid w:val="00F844E2"/>
    <w:rsid w:val="00FA26B1"/>
    <w:rsid w:val="00FA34A6"/>
    <w:rsid w:val="00FA35E9"/>
    <w:rsid w:val="00FA4D69"/>
    <w:rsid w:val="00FA6055"/>
    <w:rsid w:val="00FA6396"/>
    <w:rsid w:val="00FA6978"/>
    <w:rsid w:val="00FA69C6"/>
    <w:rsid w:val="00FB07FD"/>
    <w:rsid w:val="00FB11B8"/>
    <w:rsid w:val="00FB403E"/>
    <w:rsid w:val="00FB6B2D"/>
    <w:rsid w:val="00FC4514"/>
    <w:rsid w:val="00FD274C"/>
    <w:rsid w:val="00FD3F90"/>
    <w:rsid w:val="00FD58E5"/>
    <w:rsid w:val="00FD6080"/>
    <w:rsid w:val="00FF3F06"/>
    <w:rsid w:val="00FF5C72"/>
    <w:rsid w:val="00FF7B1B"/>
    <w:rsid w:val="02251189"/>
    <w:rsid w:val="049A3E85"/>
    <w:rsid w:val="05D4302F"/>
    <w:rsid w:val="05D9259D"/>
    <w:rsid w:val="09B07DFE"/>
    <w:rsid w:val="0E1F3A16"/>
    <w:rsid w:val="0F357201"/>
    <w:rsid w:val="11160658"/>
    <w:rsid w:val="152E2DF2"/>
    <w:rsid w:val="16290682"/>
    <w:rsid w:val="16FF18B0"/>
    <w:rsid w:val="17E47CD4"/>
    <w:rsid w:val="18D6224B"/>
    <w:rsid w:val="1CC26307"/>
    <w:rsid w:val="1DAD2C06"/>
    <w:rsid w:val="22660912"/>
    <w:rsid w:val="22C4081C"/>
    <w:rsid w:val="242562A4"/>
    <w:rsid w:val="24E35F02"/>
    <w:rsid w:val="25983569"/>
    <w:rsid w:val="280E4906"/>
    <w:rsid w:val="28C26704"/>
    <w:rsid w:val="295D05FB"/>
    <w:rsid w:val="2A7C6F73"/>
    <w:rsid w:val="2AFE005D"/>
    <w:rsid w:val="2C4152D5"/>
    <w:rsid w:val="2C762699"/>
    <w:rsid w:val="2CA1423D"/>
    <w:rsid w:val="2D1358E8"/>
    <w:rsid w:val="2D504551"/>
    <w:rsid w:val="2E0B13F8"/>
    <w:rsid w:val="2E183922"/>
    <w:rsid w:val="2E9949CD"/>
    <w:rsid w:val="331210D9"/>
    <w:rsid w:val="33125926"/>
    <w:rsid w:val="33136E03"/>
    <w:rsid w:val="33516040"/>
    <w:rsid w:val="35150A09"/>
    <w:rsid w:val="35156C4F"/>
    <w:rsid w:val="362A056A"/>
    <w:rsid w:val="363B3D6C"/>
    <w:rsid w:val="376C78BC"/>
    <w:rsid w:val="37A02EAE"/>
    <w:rsid w:val="37CA2CBD"/>
    <w:rsid w:val="385E2E68"/>
    <w:rsid w:val="38AC16A8"/>
    <w:rsid w:val="38B303D2"/>
    <w:rsid w:val="38F0715D"/>
    <w:rsid w:val="3C3A61AC"/>
    <w:rsid w:val="3CB265DA"/>
    <w:rsid w:val="3D073351"/>
    <w:rsid w:val="3DF1528D"/>
    <w:rsid w:val="3E3A44C9"/>
    <w:rsid w:val="430503DE"/>
    <w:rsid w:val="435B72CF"/>
    <w:rsid w:val="47CD733B"/>
    <w:rsid w:val="4ACF5534"/>
    <w:rsid w:val="4C0A0900"/>
    <w:rsid w:val="4CC85E1D"/>
    <w:rsid w:val="4FEF3058"/>
    <w:rsid w:val="505137EB"/>
    <w:rsid w:val="508D20BF"/>
    <w:rsid w:val="52405D8B"/>
    <w:rsid w:val="57387E5B"/>
    <w:rsid w:val="591340FB"/>
    <w:rsid w:val="5BBA0BC2"/>
    <w:rsid w:val="5BE22D4E"/>
    <w:rsid w:val="5C71400D"/>
    <w:rsid w:val="614D6C59"/>
    <w:rsid w:val="61A36090"/>
    <w:rsid w:val="62322C24"/>
    <w:rsid w:val="633501E7"/>
    <w:rsid w:val="643F0B5B"/>
    <w:rsid w:val="64EC58E6"/>
    <w:rsid w:val="65341166"/>
    <w:rsid w:val="67FA037C"/>
    <w:rsid w:val="696B056C"/>
    <w:rsid w:val="6B414CE8"/>
    <w:rsid w:val="6BAC2800"/>
    <w:rsid w:val="711545BE"/>
    <w:rsid w:val="71867E7B"/>
    <w:rsid w:val="71F055C4"/>
    <w:rsid w:val="7226092D"/>
    <w:rsid w:val="736813FD"/>
    <w:rsid w:val="763579CB"/>
    <w:rsid w:val="769A4ABA"/>
    <w:rsid w:val="76E3754F"/>
    <w:rsid w:val="77FB28B4"/>
    <w:rsid w:val="7FA612BD"/>
    <w:rsid w:val="7FC1039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6"/>
    <w:qFormat/>
    <w:uiPriority w:val="0"/>
    <w:pPr>
      <w:keepNext/>
      <w:keepLines/>
      <w:spacing w:before="340" w:after="330" w:line="578" w:lineRule="auto"/>
      <w:outlineLvl w:val="0"/>
    </w:pPr>
    <w:rPr>
      <w:rFonts w:ascii="Calibri" w:hAnsi="Calibri"/>
      <w:b/>
      <w:bCs/>
      <w:kern w:val="44"/>
      <w:sz w:val="44"/>
      <w:szCs w:val="44"/>
    </w:rPr>
  </w:style>
  <w:style w:type="paragraph" w:styleId="4">
    <w:name w:val="heading 2"/>
    <w:basedOn w:val="1"/>
    <w:next w:val="1"/>
    <w:link w:val="51"/>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42"/>
    <w:qFormat/>
    <w:uiPriority w:val="0"/>
    <w:pPr>
      <w:keepNext/>
      <w:keepLines/>
      <w:numPr>
        <w:ilvl w:val="2"/>
        <w:numId w:val="1"/>
      </w:numPr>
      <w:spacing w:before="260" w:after="260" w:line="416" w:lineRule="auto"/>
      <w:outlineLvl w:val="2"/>
    </w:pPr>
    <w:rPr>
      <w:rFonts w:ascii="Calibri" w:hAnsi="Calibri"/>
      <w:b/>
      <w:bCs/>
      <w:kern w:val="0"/>
      <w:sz w:val="32"/>
      <w:szCs w:val="32"/>
    </w:rPr>
  </w:style>
  <w:style w:type="paragraph" w:styleId="6">
    <w:name w:val="heading 4"/>
    <w:basedOn w:val="1"/>
    <w:next w:val="1"/>
    <w:link w:val="47"/>
    <w:qFormat/>
    <w:uiPriority w:val="0"/>
    <w:pPr>
      <w:keepNext/>
      <w:keepLines/>
      <w:numPr>
        <w:ilvl w:val="3"/>
        <w:numId w:val="1"/>
      </w:numPr>
      <w:spacing w:before="280" w:after="290" w:line="376" w:lineRule="auto"/>
      <w:outlineLvl w:val="3"/>
    </w:pPr>
    <w:rPr>
      <w:rFonts w:ascii="Cambria" w:hAnsi="Cambria"/>
      <w:b/>
      <w:bCs/>
      <w:kern w:val="0"/>
      <w:sz w:val="28"/>
      <w:szCs w:val="28"/>
    </w:rPr>
  </w:style>
  <w:style w:type="paragraph" w:styleId="7">
    <w:name w:val="heading 5"/>
    <w:basedOn w:val="1"/>
    <w:next w:val="1"/>
    <w:link w:val="54"/>
    <w:qFormat/>
    <w:uiPriority w:val="0"/>
    <w:pPr>
      <w:keepNext/>
      <w:keepLines/>
      <w:numPr>
        <w:ilvl w:val="4"/>
        <w:numId w:val="1"/>
      </w:numPr>
      <w:spacing w:before="280" w:after="290" w:line="376" w:lineRule="auto"/>
      <w:outlineLvl w:val="4"/>
    </w:pPr>
    <w:rPr>
      <w:rFonts w:ascii="Calibri" w:hAnsi="Calibri"/>
      <w:b/>
      <w:bCs/>
      <w:kern w:val="0"/>
      <w:sz w:val="28"/>
      <w:szCs w:val="28"/>
    </w:rPr>
  </w:style>
  <w:style w:type="paragraph" w:styleId="8">
    <w:name w:val="heading 6"/>
    <w:basedOn w:val="1"/>
    <w:next w:val="1"/>
    <w:link w:val="44"/>
    <w:qFormat/>
    <w:uiPriority w:val="0"/>
    <w:pPr>
      <w:keepNext/>
      <w:keepLines/>
      <w:numPr>
        <w:ilvl w:val="5"/>
        <w:numId w:val="1"/>
      </w:numPr>
      <w:spacing w:before="240" w:after="64" w:line="320" w:lineRule="auto"/>
      <w:outlineLvl w:val="5"/>
    </w:pPr>
    <w:rPr>
      <w:rFonts w:ascii="Cambria" w:hAnsi="Cambria"/>
      <w:b/>
      <w:bCs/>
      <w:kern w:val="0"/>
      <w:sz w:val="24"/>
      <w:szCs w:val="24"/>
    </w:rPr>
  </w:style>
  <w:style w:type="paragraph" w:styleId="9">
    <w:name w:val="heading 7"/>
    <w:basedOn w:val="1"/>
    <w:next w:val="1"/>
    <w:link w:val="41"/>
    <w:qFormat/>
    <w:uiPriority w:val="0"/>
    <w:pPr>
      <w:keepNext/>
      <w:keepLines/>
      <w:numPr>
        <w:ilvl w:val="6"/>
        <w:numId w:val="1"/>
      </w:numPr>
      <w:spacing w:before="240" w:after="64" w:line="320" w:lineRule="auto"/>
      <w:outlineLvl w:val="6"/>
    </w:pPr>
    <w:rPr>
      <w:rFonts w:ascii="Calibri" w:hAnsi="Calibri"/>
      <w:b/>
      <w:bCs/>
      <w:kern w:val="0"/>
      <w:sz w:val="24"/>
      <w:szCs w:val="24"/>
    </w:rPr>
  </w:style>
  <w:style w:type="paragraph" w:styleId="10">
    <w:name w:val="heading 8"/>
    <w:basedOn w:val="1"/>
    <w:next w:val="1"/>
    <w:link w:val="50"/>
    <w:qFormat/>
    <w:uiPriority w:val="0"/>
    <w:pPr>
      <w:keepNext/>
      <w:keepLines/>
      <w:numPr>
        <w:ilvl w:val="7"/>
        <w:numId w:val="1"/>
      </w:numPr>
      <w:spacing w:before="240" w:after="64" w:line="320" w:lineRule="auto"/>
      <w:outlineLvl w:val="7"/>
    </w:pPr>
    <w:rPr>
      <w:rFonts w:ascii="Cambria" w:hAnsi="Cambria"/>
      <w:kern w:val="0"/>
      <w:sz w:val="24"/>
      <w:szCs w:val="24"/>
    </w:rPr>
  </w:style>
  <w:style w:type="paragraph" w:styleId="11">
    <w:name w:val="heading 9"/>
    <w:basedOn w:val="1"/>
    <w:next w:val="1"/>
    <w:link w:val="45"/>
    <w:qFormat/>
    <w:uiPriority w:val="0"/>
    <w:pPr>
      <w:keepNext/>
      <w:keepLines/>
      <w:numPr>
        <w:ilvl w:val="8"/>
        <w:numId w:val="1"/>
      </w:numPr>
      <w:spacing w:before="240" w:after="64" w:line="320" w:lineRule="auto"/>
      <w:outlineLvl w:val="8"/>
    </w:pPr>
    <w:rPr>
      <w:rFonts w:ascii="Cambria" w:hAnsi="Cambria"/>
      <w:kern w:val="0"/>
      <w:sz w:val="20"/>
      <w:szCs w:val="21"/>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styleId="12">
    <w:name w:val="annotation text"/>
    <w:basedOn w:val="1"/>
    <w:link w:val="48"/>
    <w:unhideWhenUsed/>
    <w:qFormat/>
    <w:uiPriority w:val="99"/>
    <w:pPr>
      <w:jc w:val="left"/>
    </w:pPr>
  </w:style>
  <w:style w:type="paragraph" w:styleId="13">
    <w:name w:val="Plain Text"/>
    <w:basedOn w:val="1"/>
    <w:link w:val="55"/>
    <w:qFormat/>
    <w:uiPriority w:val="0"/>
    <w:rPr>
      <w:rFonts w:ascii="宋体" w:hAnsi="Courier New"/>
      <w:kern w:val="0"/>
      <w:sz w:val="20"/>
      <w:szCs w:val="24"/>
    </w:rPr>
  </w:style>
  <w:style w:type="paragraph" w:styleId="14">
    <w:name w:val="Date"/>
    <w:basedOn w:val="1"/>
    <w:next w:val="1"/>
    <w:qFormat/>
    <w:uiPriority w:val="0"/>
    <w:pPr>
      <w:ind w:left="100" w:leftChars="2500"/>
    </w:pPr>
  </w:style>
  <w:style w:type="paragraph" w:styleId="15">
    <w:name w:val="Balloon Text"/>
    <w:basedOn w:val="1"/>
    <w:link w:val="52"/>
    <w:unhideWhenUsed/>
    <w:qFormat/>
    <w:uiPriority w:val="99"/>
    <w:rPr>
      <w:kern w:val="0"/>
      <w:sz w:val="18"/>
      <w:szCs w:val="18"/>
    </w:rPr>
  </w:style>
  <w:style w:type="paragraph" w:styleId="16">
    <w:name w:val="footer"/>
    <w:basedOn w:val="1"/>
    <w:link w:val="43"/>
    <w:unhideWhenUsed/>
    <w:qFormat/>
    <w:uiPriority w:val="99"/>
    <w:pPr>
      <w:tabs>
        <w:tab w:val="center" w:pos="4153"/>
        <w:tab w:val="right" w:pos="8306"/>
      </w:tabs>
      <w:snapToGrid w:val="0"/>
      <w:jc w:val="left"/>
    </w:pPr>
    <w:rPr>
      <w:kern w:val="0"/>
      <w:sz w:val="18"/>
      <w:szCs w:val="18"/>
    </w:rPr>
  </w:style>
  <w:style w:type="paragraph" w:styleId="17">
    <w:name w:val="header"/>
    <w:basedOn w:val="1"/>
    <w:link w:val="4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unhideWhenUsed/>
    <w:qFormat/>
    <w:uiPriority w:val="39"/>
    <w:rPr>
      <w:rFonts w:ascii="Calibri" w:hAnsi="Calibri" w:eastAsia="宋体" w:cs="Times New Roman"/>
    </w:rPr>
  </w:style>
  <w:style w:type="paragraph" w:styleId="19">
    <w:name w:val="toc 2"/>
    <w:basedOn w:val="1"/>
    <w:next w:val="1"/>
    <w:unhideWhenUsed/>
    <w:qFormat/>
    <w:uiPriority w:val="39"/>
    <w:pPr>
      <w:ind w:left="420" w:leftChars="200"/>
    </w:pPr>
    <w:rPr>
      <w:rFonts w:ascii="Calibri" w:hAnsi="Calibri" w:eastAsia="宋体" w:cs="Times New Roman"/>
    </w:rPr>
  </w:style>
  <w:style w:type="paragraph" w:styleId="20">
    <w:name w:val="Title"/>
    <w:basedOn w:val="1"/>
    <w:next w:val="1"/>
    <w:qFormat/>
    <w:uiPriority w:val="10"/>
    <w:pPr>
      <w:widowControl/>
      <w:spacing w:line="660" w:lineRule="exact"/>
      <w:jc w:val="center"/>
      <w:outlineLvl w:val="0"/>
    </w:pPr>
    <w:rPr>
      <w:rFonts w:ascii="宋体" w:hAnsi="宋体" w:cs="Arial"/>
      <w:b/>
      <w:bCs/>
      <w:sz w:val="44"/>
      <w:szCs w:val="32"/>
    </w:rPr>
  </w:style>
  <w:style w:type="paragraph" w:styleId="21">
    <w:name w:val="annotation subject"/>
    <w:basedOn w:val="12"/>
    <w:next w:val="12"/>
    <w:link w:val="56"/>
    <w:unhideWhenUsed/>
    <w:qFormat/>
    <w:uiPriority w:val="99"/>
    <w:rPr>
      <w:b/>
      <w:bCs/>
    </w:rPr>
  </w:style>
  <w:style w:type="table" w:styleId="23">
    <w:name w:val="Table Grid"/>
    <w:basedOn w:val="2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Hyperlink"/>
    <w:unhideWhenUsed/>
    <w:qFormat/>
    <w:uiPriority w:val="99"/>
    <w:rPr>
      <w:color w:val="0000FF"/>
      <w:u w:val="single"/>
    </w:rPr>
  </w:style>
  <w:style w:type="character" w:styleId="27">
    <w:name w:val="annotation reference"/>
    <w:basedOn w:val="24"/>
    <w:unhideWhenUsed/>
    <w:qFormat/>
    <w:uiPriority w:val="99"/>
    <w:rPr>
      <w:sz w:val="21"/>
      <w:szCs w:val="21"/>
    </w:rPr>
  </w:style>
  <w:style w:type="paragraph" w:customStyle="1" w:styleId="28">
    <w:name w:val="reader-word-layer reader-word-s1-9"/>
    <w:basedOn w:val="1"/>
    <w:qFormat/>
    <w:uiPriority w:val="0"/>
    <w:pPr>
      <w:widowControl/>
      <w:spacing w:before="100" w:beforeAutospacing="1" w:after="100" w:afterAutospacing="1"/>
      <w:jc w:val="left"/>
    </w:pPr>
    <w:rPr>
      <w:rFonts w:ascii="宋体" w:hAnsi="宋体" w:cs="宋体"/>
      <w:kern w:val="0"/>
      <w:sz w:val="24"/>
      <w:szCs w:val="24"/>
    </w:rPr>
  </w:style>
  <w:style w:type="paragraph" w:styleId="29">
    <w:name w:val="List Paragraph"/>
    <w:basedOn w:val="1"/>
    <w:qFormat/>
    <w:uiPriority w:val="34"/>
    <w:pPr>
      <w:ind w:firstLine="420" w:firstLineChars="200"/>
    </w:pPr>
  </w:style>
  <w:style w:type="paragraph" w:customStyle="1" w:styleId="30">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1">
    <w:name w:val="reader-word-layer reader-word-s1-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
    <w:name w:val="目录 21"/>
    <w:basedOn w:val="1"/>
    <w:next w:val="1"/>
    <w:qFormat/>
    <w:uiPriority w:val="0"/>
    <w:pPr>
      <w:spacing w:before="100" w:beforeAutospacing="1" w:after="100" w:afterAutospacing="1"/>
      <w:ind w:left="420" w:leftChars="200"/>
    </w:pPr>
  </w:style>
  <w:style w:type="paragraph" w:customStyle="1" w:styleId="33">
    <w:name w:val="_Style 32"/>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4">
    <w:name w:val="reader-word-layer reader-word-s1-2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5">
    <w:name w:val="CM20"/>
    <w:basedOn w:val="30"/>
    <w:next w:val="30"/>
    <w:qFormat/>
    <w:uiPriority w:val="99"/>
    <w:pPr>
      <w:spacing w:after="520"/>
    </w:pPr>
    <w:rPr>
      <w:rFonts w:cs="Times New Roman"/>
      <w:color w:val="auto"/>
    </w:rPr>
  </w:style>
  <w:style w:type="paragraph" w:customStyle="1" w:styleId="36">
    <w:name w:val="段"/>
    <w:qFormat/>
    <w:uiPriority w:val="99"/>
    <w:pPr>
      <w:spacing w:line="360" w:lineRule="auto"/>
      <w:jc w:val="both"/>
    </w:pPr>
    <w:rPr>
      <w:rFonts w:ascii="宋体" w:hAnsi="宋体" w:eastAsia="宋体" w:cs="Times New Roman"/>
      <w:sz w:val="24"/>
      <w:szCs w:val="24"/>
      <w:lang w:val="en-US" w:eastAsia="zh-CN" w:bidi="ar-SA"/>
    </w:rPr>
  </w:style>
  <w:style w:type="paragraph" w:customStyle="1" w:styleId="37">
    <w:name w:val="英文标号正文"/>
    <w:basedOn w:val="1"/>
    <w:qFormat/>
    <w:uiPriority w:val="0"/>
    <w:pPr>
      <w:widowControl/>
      <w:numPr>
        <w:ilvl w:val="0"/>
        <w:numId w:val="2"/>
      </w:numPr>
      <w:autoSpaceDE w:val="0"/>
      <w:autoSpaceDN w:val="0"/>
    </w:pPr>
    <w:rPr>
      <w:rFonts w:ascii="Times New Roman" w:hAnsi="Times New Roman" w:eastAsia="宋体" w:cs="Times New Roman"/>
      <w:kern w:val="0"/>
      <w:sz w:val="24"/>
      <w:szCs w:val="21"/>
    </w:rPr>
  </w:style>
  <w:style w:type="paragraph" w:customStyle="1" w:styleId="38">
    <w:name w:val="reader-word-layer reader-word-s1-6"/>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9">
    <w:name w:val="CM19"/>
    <w:basedOn w:val="30"/>
    <w:next w:val="30"/>
    <w:qFormat/>
    <w:uiPriority w:val="99"/>
    <w:pPr>
      <w:spacing w:after="710"/>
    </w:pPr>
    <w:rPr>
      <w:rFonts w:cs="Times New Roman"/>
      <w:color w:val="auto"/>
    </w:rPr>
  </w:style>
  <w:style w:type="paragraph" w:customStyle="1" w:styleId="40">
    <w:name w:val="reader-word-layer reader-word-s1-13"/>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41">
    <w:name w:val="标题 7 Char"/>
    <w:link w:val="9"/>
    <w:qFormat/>
    <w:uiPriority w:val="0"/>
    <w:rPr>
      <w:rFonts w:ascii="Calibri" w:hAnsi="Calibri" w:eastAsia="宋体" w:cs="Times New Roman"/>
      <w:b/>
      <w:bCs/>
      <w:sz w:val="24"/>
      <w:szCs w:val="24"/>
    </w:rPr>
  </w:style>
  <w:style w:type="character" w:customStyle="1" w:styleId="42">
    <w:name w:val="标题 3 Char"/>
    <w:link w:val="5"/>
    <w:qFormat/>
    <w:uiPriority w:val="0"/>
    <w:rPr>
      <w:rFonts w:ascii="Calibri" w:hAnsi="Calibri" w:eastAsia="宋体" w:cs="Times New Roman"/>
      <w:b/>
      <w:bCs/>
      <w:sz w:val="32"/>
      <w:szCs w:val="32"/>
    </w:rPr>
  </w:style>
  <w:style w:type="character" w:customStyle="1" w:styleId="43">
    <w:name w:val="页脚 Char"/>
    <w:link w:val="16"/>
    <w:qFormat/>
    <w:uiPriority w:val="99"/>
    <w:rPr>
      <w:sz w:val="18"/>
      <w:szCs w:val="18"/>
    </w:rPr>
  </w:style>
  <w:style w:type="character" w:customStyle="1" w:styleId="44">
    <w:name w:val="标题 6 Char"/>
    <w:link w:val="8"/>
    <w:qFormat/>
    <w:uiPriority w:val="0"/>
    <w:rPr>
      <w:rFonts w:ascii="Cambria" w:hAnsi="Cambria" w:eastAsia="宋体" w:cs="Times New Roman"/>
      <w:b/>
      <w:bCs/>
      <w:sz w:val="24"/>
      <w:szCs w:val="24"/>
    </w:rPr>
  </w:style>
  <w:style w:type="character" w:customStyle="1" w:styleId="45">
    <w:name w:val="标题 9 Char"/>
    <w:link w:val="11"/>
    <w:qFormat/>
    <w:uiPriority w:val="0"/>
    <w:rPr>
      <w:rFonts w:ascii="Cambria" w:hAnsi="Cambria" w:eastAsia="宋体" w:cs="Times New Roman"/>
      <w:szCs w:val="21"/>
    </w:rPr>
  </w:style>
  <w:style w:type="character" w:customStyle="1" w:styleId="46">
    <w:name w:val="标题 1 Char"/>
    <w:link w:val="3"/>
    <w:qFormat/>
    <w:uiPriority w:val="0"/>
    <w:rPr>
      <w:rFonts w:ascii="Calibri" w:hAnsi="Calibri" w:eastAsia="宋体" w:cs="Times New Roman"/>
      <w:b/>
      <w:bCs/>
      <w:kern w:val="44"/>
      <w:sz w:val="44"/>
      <w:szCs w:val="44"/>
    </w:rPr>
  </w:style>
  <w:style w:type="character" w:customStyle="1" w:styleId="47">
    <w:name w:val="标题 4 Char"/>
    <w:link w:val="6"/>
    <w:qFormat/>
    <w:uiPriority w:val="0"/>
    <w:rPr>
      <w:rFonts w:ascii="Cambria" w:hAnsi="Cambria" w:eastAsia="宋体" w:cs="Times New Roman"/>
      <w:b/>
      <w:bCs/>
      <w:sz w:val="28"/>
      <w:szCs w:val="28"/>
    </w:rPr>
  </w:style>
  <w:style w:type="character" w:customStyle="1" w:styleId="48">
    <w:name w:val="批注文字 Char"/>
    <w:basedOn w:val="24"/>
    <w:link w:val="12"/>
    <w:semiHidden/>
    <w:qFormat/>
    <w:uiPriority w:val="99"/>
    <w:rPr>
      <w:kern w:val="2"/>
      <w:sz w:val="21"/>
      <w:szCs w:val="22"/>
    </w:rPr>
  </w:style>
  <w:style w:type="character" w:customStyle="1" w:styleId="49">
    <w:name w:val="页眉 Char"/>
    <w:link w:val="17"/>
    <w:qFormat/>
    <w:uiPriority w:val="99"/>
    <w:rPr>
      <w:sz w:val="18"/>
      <w:szCs w:val="18"/>
    </w:rPr>
  </w:style>
  <w:style w:type="character" w:customStyle="1" w:styleId="50">
    <w:name w:val="标题 8 Char"/>
    <w:link w:val="10"/>
    <w:qFormat/>
    <w:uiPriority w:val="0"/>
    <w:rPr>
      <w:rFonts w:ascii="Cambria" w:hAnsi="Cambria" w:eastAsia="宋体" w:cs="Times New Roman"/>
      <w:sz w:val="24"/>
      <w:szCs w:val="24"/>
    </w:rPr>
  </w:style>
  <w:style w:type="character" w:customStyle="1" w:styleId="51">
    <w:name w:val="标题 2 Char"/>
    <w:link w:val="4"/>
    <w:qFormat/>
    <w:uiPriority w:val="0"/>
    <w:rPr>
      <w:rFonts w:ascii="Cambria" w:hAnsi="Cambria" w:eastAsia="宋体"/>
      <w:b/>
      <w:bCs/>
      <w:kern w:val="2"/>
      <w:sz w:val="32"/>
      <w:szCs w:val="32"/>
      <w:lang w:val="en-US" w:eastAsia="zh-CN" w:bidi="ar-SA"/>
    </w:rPr>
  </w:style>
  <w:style w:type="character" w:customStyle="1" w:styleId="52">
    <w:name w:val="批注框文本 Char"/>
    <w:link w:val="15"/>
    <w:semiHidden/>
    <w:qFormat/>
    <w:uiPriority w:val="99"/>
    <w:rPr>
      <w:sz w:val="18"/>
      <w:szCs w:val="18"/>
    </w:rPr>
  </w:style>
  <w:style w:type="character" w:customStyle="1" w:styleId="53">
    <w:name w:val="apple-converted-space"/>
    <w:basedOn w:val="24"/>
    <w:qFormat/>
    <w:uiPriority w:val="0"/>
  </w:style>
  <w:style w:type="character" w:customStyle="1" w:styleId="54">
    <w:name w:val="标题 5 Char"/>
    <w:link w:val="7"/>
    <w:qFormat/>
    <w:uiPriority w:val="0"/>
    <w:rPr>
      <w:rFonts w:ascii="Calibri" w:hAnsi="Calibri" w:eastAsia="宋体" w:cs="Times New Roman"/>
      <w:b/>
      <w:bCs/>
      <w:sz w:val="28"/>
      <w:szCs w:val="28"/>
    </w:rPr>
  </w:style>
  <w:style w:type="character" w:customStyle="1" w:styleId="55">
    <w:name w:val="纯文本 Char"/>
    <w:link w:val="13"/>
    <w:qFormat/>
    <w:uiPriority w:val="0"/>
    <w:rPr>
      <w:rFonts w:ascii="宋体" w:hAnsi="Courier New" w:eastAsia="宋体" w:cs="Times New Roman"/>
      <w:kern w:val="0"/>
      <w:sz w:val="20"/>
      <w:szCs w:val="24"/>
    </w:rPr>
  </w:style>
  <w:style w:type="character" w:customStyle="1" w:styleId="56">
    <w:name w:val="批注主题 Char"/>
    <w:basedOn w:val="48"/>
    <w:link w:val="21"/>
    <w:semiHidden/>
    <w:qFormat/>
    <w:uiPriority w:val="99"/>
    <w:rPr>
      <w:b/>
      <w:bCs/>
    </w:rPr>
  </w:style>
  <w:style w:type="character" w:customStyle="1" w:styleId="57">
    <w:name w:val="font21"/>
    <w:basedOn w:val="24"/>
    <w:qFormat/>
    <w:uiPriority w:val="0"/>
    <w:rPr>
      <w:rFonts w:hint="eastAsia" w:ascii="宋体" w:hAnsi="宋体" w:eastAsia="宋体" w:cs="宋体"/>
      <w:color w:val="000000"/>
      <w:sz w:val="24"/>
      <w:szCs w:val="24"/>
      <w:u w:val="none"/>
    </w:rPr>
  </w:style>
  <w:style w:type="character" w:customStyle="1" w:styleId="58">
    <w:name w:val="font01"/>
    <w:basedOn w:val="24"/>
    <w:qFormat/>
    <w:uiPriority w:val="0"/>
    <w:rPr>
      <w:rFonts w:ascii="Arial" w:hAnsi="Arial" w:cs="Arial"/>
      <w:color w:val="000000"/>
      <w:sz w:val="24"/>
      <w:szCs w:val="24"/>
      <w:u w:val="none"/>
    </w:rPr>
  </w:style>
  <w:style w:type="paragraph" w:customStyle="1" w:styleId="59">
    <w:name w:val="WPSOffice手动目录 1"/>
    <w:qFormat/>
    <w:uiPriority w:val="0"/>
    <w:pPr>
      <w:ind w:leftChars="0"/>
    </w:pPr>
    <w:rPr>
      <w:rFonts w:ascii="Times New Roman" w:hAnsi="Times New Roman" w:eastAsia="宋体" w:cs="Times New Roman"/>
      <w:sz w:val="20"/>
      <w:szCs w:val="20"/>
    </w:rPr>
  </w:style>
  <w:style w:type="paragraph" w:customStyle="1" w:styleId="60">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SkyUN.Org</Company>
  <Pages>5</Pages>
  <Words>2239</Words>
  <Characters>2396</Characters>
  <Lines>25</Lines>
  <Paragraphs>7</Paragraphs>
  <TotalTime>1</TotalTime>
  <ScaleCrop>false</ScaleCrop>
  <LinksUpToDate>false</LinksUpToDate>
  <CharactersWithSpaces>2535</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2014-05-12T02:54:00Z</dcterms:created>
  <dc:creator>SkyUN.Org</dc:creator>
  <cp:lastModifiedBy>徐汉</cp:lastModifiedBy>
  <dcterms:modified xsi:type="dcterms:W3CDTF">2024-05-10T14:26:07Z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2052-12.1.0.16910</vt:lpwstr>
  </property>
  <property fmtid="{D5CDD505-2E9C-101B-9397-08002B2CF9AE}" pid="4" name="ICV">
    <vt:lpwstr>39050D5F62FB4ECD9FA424EE10CE64BE</vt:lpwstr>
  </property>
</Properties>
</file>