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44"/>
          <w:szCs w:val="44"/>
          <w:lang w:val="en-US" w:eastAsia="zh-CN"/>
        </w:rPr>
      </w:pPr>
      <w:r>
        <w:rPr>
          <w:rFonts w:hint="eastAsia"/>
          <w:b/>
          <w:bCs/>
          <w:sz w:val="44"/>
          <w:szCs w:val="44"/>
          <w:lang w:val="en-US" w:eastAsia="zh-CN"/>
        </w:rPr>
        <w:t>南方电网科学研究院有限责任公司</w:t>
      </w:r>
    </w:p>
    <w:p>
      <w:pPr>
        <w:jc w:val="center"/>
        <w:rPr>
          <w:rFonts w:hint="eastAsia"/>
          <w:b/>
          <w:bCs/>
          <w:sz w:val="44"/>
          <w:szCs w:val="44"/>
          <w:lang w:val="en-US" w:eastAsia="zh-CN"/>
        </w:rPr>
      </w:pPr>
      <w:r>
        <w:rPr>
          <w:rFonts w:hint="eastAsia"/>
          <w:b/>
          <w:bCs/>
          <w:sz w:val="44"/>
          <w:szCs w:val="44"/>
          <w:lang w:val="en-US" w:eastAsia="zh-CN"/>
        </w:rPr>
        <w:t>管理创新项目评审服务</w:t>
      </w:r>
    </w:p>
    <w:p>
      <w:pPr>
        <w:jc w:val="center"/>
        <w:rPr>
          <w:rFonts w:hint="eastAsia" w:asciiTheme="minorEastAsia" w:hAnsiTheme="minorEastAsia" w:cstheme="minorEastAsia"/>
          <w:b/>
          <w:bCs/>
          <w:sz w:val="28"/>
          <w:szCs w:val="28"/>
          <w:lang w:val="en-US" w:eastAsia="zh-CN"/>
        </w:rPr>
      </w:pPr>
      <w:r>
        <w:rPr>
          <w:rFonts w:hint="eastAsia"/>
          <w:b/>
          <w:bCs/>
          <w:sz w:val="44"/>
          <w:szCs w:val="44"/>
          <w:lang w:val="en-US" w:eastAsia="zh-CN"/>
        </w:rPr>
        <w:t>零星采购技术附件</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ind w:left="0" w:right="0" w:firstLine="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一、项目信息</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ind w:left="0" w:right="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1.1项目名称：南方电网科学研究院有限责任公司管理创新项目评审服务</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ind w:left="0" w:right="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1.2项目概况：为规范开展南方电网科学研究院有限责任公司管理创新项目评审服务，科学合理确定管理创新项目预算标准，需委托具有相关资质的第三方机构对公司2024年第二批管理创新项目经费进行评审，并出具审查意见。</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ind w:left="0" w:right="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1.3采购人：南方电网科学研究院有限责任公司</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ind w:left="0" w:right="0"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1.4采购方式：零星采购</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ind w:left="0" w:right="0"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1.5项目类别：服务</w:t>
      </w:r>
    </w:p>
    <w:p>
      <w:pPr>
        <w:pStyle w:val="6"/>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0" w:afterAutospacing="0"/>
        <w:ind w:left="0" w:right="0" w:firstLine="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工作时间</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ind w:left="0" w:right="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合同签订生效后3个月内。</w:t>
      </w:r>
    </w:p>
    <w:p>
      <w:pPr>
        <w:pStyle w:val="6"/>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0" w:afterAutospacing="0"/>
        <w:ind w:left="0" w:right="0" w:firstLine="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工作内容</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ind w:left="0" w:right="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对南方电网科学研究院有限责任公司2024年第二批管理创新项目经费进行评审，并出具审查意见。</w:t>
      </w:r>
    </w:p>
    <w:p>
      <w:pPr>
        <w:pStyle w:val="6"/>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0" w:afterAutospacing="0"/>
        <w:ind w:left="0" w:right="0" w:firstLine="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交付成果</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ind w:left="0" w:right="0"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《南方电网科学研究院有限责任公司2024年第二批管理创新项目经费评审意见》1份。</w:t>
      </w:r>
    </w:p>
    <w:p>
      <w:pPr>
        <w:pStyle w:val="6"/>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0" w:beforeAutospacing="0" w:after="0" w:afterAutospacing="0"/>
        <w:ind w:left="0" w:right="0" w:firstLine="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资格条件</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76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3" w:type="dxa"/>
            <w:shd w:val="clear" w:color="auto" w:fill="FFFFFF"/>
            <w:noWrap w:val="0"/>
            <w:vAlign w:val="center"/>
          </w:tcPr>
          <w:p>
            <w:pPr>
              <w:jc w:val="center"/>
              <w:rPr>
                <w:rFonts w:hint="eastAsia" w:ascii="仿宋" w:hAnsi="仿宋" w:eastAsia="仿宋" w:cs="仿宋"/>
                <w:sz w:val="28"/>
                <w:szCs w:val="28"/>
              </w:rPr>
            </w:pPr>
            <w:r>
              <w:rPr>
                <w:rFonts w:hint="eastAsia" w:ascii="仿宋" w:hAnsi="仿宋" w:eastAsia="仿宋" w:cs="仿宋"/>
                <w:b/>
                <w:sz w:val="28"/>
                <w:szCs w:val="28"/>
              </w:rPr>
              <w:t>序号</w:t>
            </w:r>
          </w:p>
        </w:tc>
        <w:tc>
          <w:tcPr>
            <w:tcW w:w="7699" w:type="dxa"/>
            <w:shd w:val="clear" w:color="auto" w:fill="FFFFFF"/>
            <w:noWrap w:val="0"/>
            <w:vAlign w:val="center"/>
          </w:tcPr>
          <w:p>
            <w:pPr>
              <w:jc w:val="center"/>
              <w:rPr>
                <w:rFonts w:hint="eastAsia" w:ascii="仿宋" w:hAnsi="仿宋" w:eastAsia="仿宋" w:cs="仿宋"/>
                <w:sz w:val="28"/>
                <w:szCs w:val="28"/>
              </w:rPr>
            </w:pPr>
            <w:r>
              <w:rPr>
                <w:rFonts w:hint="eastAsia" w:ascii="仿宋" w:hAnsi="仿宋" w:eastAsia="仿宋" w:cs="仿宋"/>
                <w:b/>
                <w:sz w:val="28"/>
                <w:szCs w:val="28"/>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dxa"/>
            <w:shd w:val="clear" w:color="auto" w:fill="FFFFFF"/>
            <w:noWrap w:val="0"/>
            <w:vAlign w:val="center"/>
          </w:tcPr>
          <w:p>
            <w:pPr>
              <w:jc w:val="center"/>
              <w:rPr>
                <w:rFonts w:hint="eastAsia" w:ascii="仿宋" w:hAnsi="仿宋" w:eastAsia="仿宋" w:cs="仿宋"/>
                <w:sz w:val="28"/>
                <w:szCs w:val="28"/>
              </w:rPr>
            </w:pPr>
            <w:r>
              <w:rPr>
                <w:rFonts w:hint="eastAsia" w:ascii="仿宋" w:hAnsi="仿宋" w:eastAsia="仿宋" w:cs="仿宋"/>
                <w:sz w:val="28"/>
                <w:szCs w:val="28"/>
              </w:rPr>
              <w:t>1</w:t>
            </w:r>
          </w:p>
        </w:tc>
        <w:tc>
          <w:tcPr>
            <w:tcW w:w="7699" w:type="dxa"/>
            <w:shd w:val="clear" w:color="auto" w:fill="FFFFFF"/>
            <w:noWrap w:val="0"/>
            <w:vAlign w:val="center"/>
          </w:tcPr>
          <w:p>
            <w:pPr>
              <w:jc w:val="left"/>
              <w:rPr>
                <w:rFonts w:hint="eastAsia" w:ascii="仿宋" w:hAnsi="仿宋" w:eastAsia="仿宋" w:cs="仿宋"/>
                <w:sz w:val="28"/>
                <w:szCs w:val="28"/>
              </w:rPr>
            </w:pPr>
            <w:r>
              <w:rPr>
                <w:rFonts w:hint="eastAsia" w:ascii="仿宋" w:hAnsi="仿宋" w:eastAsia="仿宋" w:cs="仿宋"/>
                <w:sz w:val="28"/>
                <w:szCs w:val="28"/>
                <w:lang w:eastAsia="zh-CN"/>
              </w:rPr>
              <w:t>报价单位</w:t>
            </w:r>
            <w:r>
              <w:rPr>
                <w:rFonts w:hint="eastAsia" w:ascii="仿宋" w:hAnsi="仿宋" w:eastAsia="仿宋" w:cs="仿宋"/>
                <w:sz w:val="28"/>
                <w:szCs w:val="28"/>
              </w:rPr>
              <w:t>为企业的，应提供有效的营业执照（海外及港澳台企业如无营业执照应提供有效登记注册证明文件；企业分支机构应同时提供总公司出具的项目授权）；</w:t>
            </w:r>
            <w:r>
              <w:rPr>
                <w:rFonts w:hint="eastAsia" w:ascii="仿宋" w:hAnsi="仿宋" w:eastAsia="仿宋" w:cs="仿宋"/>
                <w:sz w:val="28"/>
                <w:szCs w:val="28"/>
                <w:lang w:eastAsia="zh-CN"/>
              </w:rPr>
              <w:t>报价单位</w:t>
            </w:r>
            <w:r>
              <w:rPr>
                <w:rFonts w:hint="eastAsia" w:ascii="仿宋" w:hAnsi="仿宋" w:eastAsia="仿宋" w:cs="仿宋"/>
                <w:sz w:val="28"/>
                <w:szCs w:val="28"/>
              </w:rPr>
              <w:t>为事业单位或社团的，应提供有效的事业单位法人证书或社团法人证书；</w:t>
            </w:r>
            <w:r>
              <w:rPr>
                <w:rFonts w:hint="eastAsia" w:ascii="仿宋" w:hAnsi="仿宋" w:eastAsia="仿宋" w:cs="仿宋"/>
                <w:sz w:val="28"/>
                <w:szCs w:val="28"/>
                <w:lang w:eastAsia="zh-CN"/>
              </w:rPr>
              <w:t>报价单位</w:t>
            </w:r>
            <w:r>
              <w:rPr>
                <w:rFonts w:hint="eastAsia" w:ascii="仿宋" w:hAnsi="仿宋" w:eastAsia="仿宋" w:cs="仿宋"/>
                <w:sz w:val="28"/>
                <w:szCs w:val="28"/>
              </w:rPr>
              <w:t>为非法人组织的，应当提供有关监管机构颁发的执业许可证明文件；</w:t>
            </w:r>
            <w:r>
              <w:rPr>
                <w:rFonts w:hint="eastAsia" w:ascii="仿宋" w:hAnsi="仿宋" w:eastAsia="仿宋" w:cs="仿宋"/>
                <w:sz w:val="28"/>
                <w:szCs w:val="28"/>
                <w:lang w:eastAsia="zh-CN"/>
              </w:rPr>
              <w:t>报价单位</w:t>
            </w:r>
            <w:r>
              <w:rPr>
                <w:rFonts w:hint="eastAsia" w:ascii="仿宋" w:hAnsi="仿宋" w:eastAsia="仿宋" w:cs="仿宋"/>
                <w:sz w:val="28"/>
                <w:szCs w:val="28"/>
              </w:rPr>
              <w:t>为自然人的，应提供有效的身份证明；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dxa"/>
            <w:shd w:val="clear" w:color="auto" w:fill="FFFFFF"/>
            <w:noWrap w:val="0"/>
            <w:vAlign w:val="center"/>
          </w:tcPr>
          <w:p>
            <w:pPr>
              <w:jc w:val="center"/>
              <w:rPr>
                <w:rFonts w:hint="eastAsia" w:ascii="仿宋" w:hAnsi="仿宋" w:eastAsia="仿宋" w:cs="仿宋"/>
                <w:sz w:val="28"/>
                <w:szCs w:val="28"/>
              </w:rPr>
            </w:pPr>
            <w:r>
              <w:rPr>
                <w:rFonts w:hint="eastAsia" w:ascii="仿宋" w:hAnsi="仿宋" w:eastAsia="仿宋" w:cs="仿宋"/>
                <w:sz w:val="28"/>
                <w:szCs w:val="28"/>
              </w:rPr>
              <w:t>2</w:t>
            </w:r>
          </w:p>
        </w:tc>
        <w:tc>
          <w:tcPr>
            <w:tcW w:w="7699" w:type="dxa"/>
            <w:shd w:val="clear" w:color="auto" w:fill="FFFFFF"/>
            <w:noWrap w:val="0"/>
            <w:vAlign w:val="center"/>
          </w:tcPr>
          <w:p>
            <w:pPr>
              <w:jc w:val="left"/>
              <w:rPr>
                <w:rFonts w:hint="eastAsia" w:ascii="仿宋" w:hAnsi="仿宋" w:eastAsia="仿宋" w:cs="仿宋"/>
                <w:sz w:val="28"/>
                <w:szCs w:val="28"/>
              </w:rPr>
            </w:pPr>
            <w:r>
              <w:rPr>
                <w:rFonts w:hint="eastAsia" w:ascii="仿宋" w:hAnsi="仿宋" w:eastAsia="仿宋" w:cs="仿宋"/>
                <w:sz w:val="28"/>
                <w:szCs w:val="28"/>
              </w:rPr>
              <w:t>单位负责人为同一人或者存在控股、管理关系的不同单位，不得同时参加</w:t>
            </w:r>
            <w:r>
              <w:rPr>
                <w:rFonts w:hint="eastAsia" w:ascii="仿宋" w:hAnsi="仿宋" w:eastAsia="仿宋" w:cs="仿宋"/>
                <w:sz w:val="28"/>
                <w:szCs w:val="28"/>
                <w:lang w:val="en-US" w:eastAsia="zh-CN"/>
              </w:rPr>
              <w:t>报价</w:t>
            </w:r>
            <w:r>
              <w:rPr>
                <w:rFonts w:hint="eastAsia" w:ascii="仿宋" w:hAnsi="仿宋" w:eastAsia="仿宋" w:cs="仿宋"/>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dxa"/>
            <w:shd w:val="clear" w:color="auto" w:fill="FFFFFF"/>
            <w:noWrap w:val="0"/>
            <w:vAlign w:val="center"/>
          </w:tcPr>
          <w:p>
            <w:pPr>
              <w:jc w:val="center"/>
              <w:rPr>
                <w:rFonts w:hint="eastAsia" w:ascii="仿宋" w:hAnsi="仿宋" w:eastAsia="仿宋" w:cs="仿宋"/>
                <w:sz w:val="28"/>
                <w:szCs w:val="28"/>
              </w:rPr>
            </w:pPr>
            <w:r>
              <w:rPr>
                <w:rFonts w:hint="eastAsia" w:ascii="仿宋" w:hAnsi="仿宋" w:eastAsia="仿宋" w:cs="仿宋"/>
                <w:sz w:val="28"/>
                <w:szCs w:val="28"/>
              </w:rPr>
              <w:t>3</w:t>
            </w:r>
          </w:p>
        </w:tc>
        <w:tc>
          <w:tcPr>
            <w:tcW w:w="7699" w:type="dxa"/>
            <w:shd w:val="clear" w:color="auto" w:fill="FFFFFF"/>
            <w:noWrap w:val="0"/>
            <w:vAlign w:val="center"/>
          </w:tcPr>
          <w:p>
            <w:pPr>
              <w:jc w:val="left"/>
              <w:rPr>
                <w:rFonts w:hint="eastAsia" w:ascii="仿宋" w:hAnsi="仿宋" w:eastAsia="仿宋" w:cs="仿宋"/>
                <w:sz w:val="28"/>
                <w:szCs w:val="28"/>
                <w:lang w:eastAsia="zh-CN"/>
              </w:rPr>
            </w:pPr>
            <w:r>
              <w:rPr>
                <w:rFonts w:hint="eastAsia" w:ascii="仿宋" w:hAnsi="仿宋" w:eastAsia="仿宋" w:cs="仿宋"/>
                <w:sz w:val="28"/>
                <w:szCs w:val="28"/>
                <w:lang w:eastAsia="zh-CN"/>
              </w:rPr>
              <w:t>报价单位</w:t>
            </w:r>
            <w:r>
              <w:rPr>
                <w:rFonts w:hint="eastAsia" w:ascii="仿宋" w:hAnsi="仿宋" w:eastAsia="仿宋" w:cs="仿宋"/>
                <w:sz w:val="28"/>
                <w:szCs w:val="28"/>
              </w:rPr>
              <w:t>没有被中国南方电网有限责任公司暂停或取消其投标资格的</w:t>
            </w:r>
            <w:r>
              <w:rPr>
                <w:rFonts w:hint="eastAsia" w:ascii="仿宋" w:hAnsi="仿宋" w:eastAsia="仿宋" w:cs="仿宋"/>
                <w:sz w:val="28"/>
                <w:szCs w:val="2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dxa"/>
            <w:shd w:val="clear" w:color="auto" w:fill="FFFFFF"/>
            <w:noWrap w:val="0"/>
            <w:vAlign w:val="center"/>
          </w:tcPr>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w:t>
            </w:r>
          </w:p>
        </w:tc>
        <w:tc>
          <w:tcPr>
            <w:tcW w:w="7699" w:type="dxa"/>
            <w:shd w:val="clear" w:color="auto" w:fill="FFFFFF"/>
            <w:noWrap w:val="0"/>
            <w:vAlign w:val="center"/>
          </w:tcPr>
          <w:p>
            <w:pPr>
              <w:jc w:val="lef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国家认定的管理或者工程咨询单位甲级</w:t>
            </w:r>
            <w:bookmarkStart w:id="0" w:name="_GoBack"/>
            <w:bookmarkEnd w:id="0"/>
            <w:r>
              <w:rPr>
                <w:rFonts w:hint="eastAsia" w:ascii="仿宋" w:hAnsi="仿宋" w:eastAsia="仿宋" w:cs="仿宋"/>
                <w:sz w:val="28"/>
                <w:szCs w:val="28"/>
                <w:lang w:val="en-US" w:eastAsia="zh-CN"/>
              </w:rPr>
              <w:t>资信证明及同类评审项目业绩证明</w:t>
            </w:r>
          </w:p>
        </w:tc>
      </w:tr>
    </w:tbl>
    <w:p>
      <w:pPr>
        <w:pStyle w:val="6"/>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157" w:beforeLines="50" w:beforeAutospacing="0" w:after="0" w:afterAutospacing="0"/>
        <w:ind w:left="0" w:right="0" w:firstLine="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成交办法</w:t>
      </w:r>
    </w:p>
    <w:p>
      <w:pPr>
        <w:rPr>
          <w:rFonts w:hint="eastAsia" w:eastAsia="仿宋_GB2312"/>
          <w:lang w:eastAsia="zh-CN"/>
        </w:rPr>
      </w:pPr>
      <w:r>
        <w:rPr>
          <w:rFonts w:hint="eastAsia" w:ascii="仿宋_GB2312" w:hAnsi="仿宋_GB2312" w:eastAsia="仿宋_GB2312" w:cs="仿宋_GB2312"/>
          <w:color w:val="auto"/>
          <w:sz w:val="28"/>
          <w:szCs w:val="28"/>
        </w:rPr>
        <w:t>根据满足资格条件的各家单位有效报价，选择报价最低者为成交对象</w:t>
      </w:r>
      <w:r>
        <w:rPr>
          <w:rFonts w:hint="eastAsia" w:ascii="仿宋_GB2312" w:hAnsi="仿宋_GB2312" w:eastAsia="仿宋_GB2312" w:cs="仿宋_GB2312"/>
          <w:color w:val="auto"/>
          <w:sz w:val="28"/>
          <w:szCs w:val="28"/>
          <w:lang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08A6E3"/>
    <w:multiLevelType w:val="singleLevel"/>
    <w:tmpl w:val="BB08A6E3"/>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FlMjJkZGMxNmJmMzYwZDAyNmZjZTY3M2M5NzVlMGIifQ=="/>
  </w:docVars>
  <w:rsids>
    <w:rsidRoot w:val="64994666"/>
    <w:rsid w:val="049B2F31"/>
    <w:rsid w:val="16EF242E"/>
    <w:rsid w:val="1F201C27"/>
    <w:rsid w:val="23210935"/>
    <w:rsid w:val="33AB77CF"/>
    <w:rsid w:val="3F473B97"/>
    <w:rsid w:val="4F012FB2"/>
    <w:rsid w:val="64994666"/>
    <w:rsid w:val="689E4809"/>
    <w:rsid w:val="6FF17306"/>
    <w:rsid w:val="70C90F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pPr>
    <w:rPr>
      <w:rFonts w:cs="宋体"/>
      <w:szCs w:val="20"/>
    </w:rPr>
  </w:style>
  <w:style w:type="paragraph" w:styleId="3">
    <w:name w:val="Body Text Indent"/>
    <w:basedOn w:val="1"/>
    <w:next w:val="2"/>
    <w:qFormat/>
    <w:uiPriority w:val="0"/>
    <w:pPr>
      <w:ind w:firstLine="640" w:firstLineChars="200"/>
    </w:pPr>
    <w:rPr>
      <w:color w:val="000000"/>
      <w:szCs w:val="17"/>
      <w:lang w:val="zh-CN"/>
    </w:rPr>
  </w:style>
  <w:style w:type="paragraph" w:styleId="4">
    <w:name w:val="Body Text"/>
    <w:basedOn w:val="5"/>
    <w:next w:val="5"/>
    <w:qFormat/>
    <w:uiPriority w:val="99"/>
    <w:rPr>
      <w:rFonts w:ascii="Calibri" w:hAnsi="Calibri"/>
      <w:kern w:val="1"/>
    </w:rPr>
  </w:style>
  <w:style w:type="paragraph" w:styleId="5">
    <w:name w:val="Title"/>
    <w:basedOn w:val="1"/>
    <w:next w:val="1"/>
    <w:qFormat/>
    <w:uiPriority w:val="10"/>
    <w:pPr>
      <w:spacing w:before="240" w:after="60"/>
      <w:jc w:val="center"/>
      <w:outlineLvl w:val="0"/>
    </w:pPr>
    <w:rPr>
      <w:rFonts w:ascii="Cambria" w:hAnsi="Cambria" w:cs="Times New Roman"/>
      <w:b/>
      <w:bCs/>
      <w:sz w:val="32"/>
      <w:szCs w:val="32"/>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qFormat/>
    <w:uiPriority w:val="34"/>
    <w:pPr>
      <w:ind w:firstLine="420" w:firstLineChars="200"/>
    </w:pPr>
    <w:rPr>
      <w:rFonts w:ascii="Calibri" w:hAnsi="Calibri" w:eastAsia="宋体" w:cs="Times New Roman"/>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20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2024-05-11T01:36:00Z</dcterms:created>
  <dc:creator>4E036F991A874D6DAA60E9BBEFA8B48F</dc:creator>
  <cp:lastModifiedBy>周诗嘉</cp:lastModifiedBy>
  <cp:lastPrinted>2024-05-11T05:55:00Z</cp:lastPrinted>
  <dcterms:modified xsi:type="dcterms:W3CDTF">2024-05-13T03:01:50Z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C9812BCA75574AEB8FA1D1FA938E394C</vt:lpwstr>
  </property>
</Properties>
</file>