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  <w:t>海南蓄能发电有限公司</w:t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  <w:lang w:val="en-US" w:eastAsia="zh-CN"/>
        </w:rPr>
        <w:t>海蓄公司琼中电厂2024年继电保护整定计算书校核项目</w:t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bCs/>
          <w:color w:val="000000"/>
          <w:position w:val="16"/>
          <w:sz w:val="56"/>
          <w:szCs w:val="7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position w:val="16"/>
          <w:sz w:val="56"/>
          <w:szCs w:val="72"/>
        </w:rPr>
        <w:t>技术</w:t>
      </w:r>
      <w:r>
        <w:rPr>
          <w:rFonts w:hint="default" w:ascii="Times New Roman" w:hAnsi="Times New Roman" w:eastAsia="宋体" w:cs="Times New Roman"/>
          <w:b/>
          <w:bCs/>
          <w:color w:val="000000"/>
          <w:position w:val="16"/>
          <w:sz w:val="56"/>
          <w:szCs w:val="72"/>
          <w:lang w:val="en-US" w:eastAsia="zh-CN"/>
        </w:rPr>
        <w:t>规范书</w:t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ind w:firstLine="3614" w:firstLineChars="1000"/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14"/>
        <w:keepLines w:val="0"/>
        <w:pageBreakBefore w:val="0"/>
        <w:tabs>
          <w:tab w:val="left" w:pos="284"/>
        </w:tabs>
        <w:topLinePunct w:val="0"/>
        <w:bidi w:val="0"/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二〇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lang w:val="en-US" w:eastAsia="zh-CN"/>
        </w:rPr>
        <w:t>二四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年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月</w:t>
      </w:r>
    </w:p>
    <w:p>
      <w:pPr>
        <w:jc w:val="left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一、校核依据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Q/CSG 110028-2012 南方电网220kV～500kV系统继电保护整定计算规程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Q/CSG 1204025-2017 南方电网大型发电机变压器继电保护整定计算规程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Q/CSG 1204076-2020 南方电网10kV～110kV系统继电保护整定计算规程（试行）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DL/T 2380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2021 抽水蓄能电站发电电动机变压器组继电保护整定计算技术规范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GB/T 32576-2016 抽水蓄能电站厂用电继电保护整定计算导则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GB/T 14285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2023 继电保护和安全自动装置技术规程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海南电网继电保护整定计算指导意见（2023版）（中调﹝2023﹞12号）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南方电网220kV及以上系统并网电厂继电保护整定计算及定值审核模板（试行）（调继〔2013〕21号）</w:t>
      </w:r>
    </w:p>
    <w:p>
      <w:pPr>
        <w:numPr>
          <w:ilvl w:val="0"/>
          <w:numId w:val="4"/>
        </w:numPr>
        <w:spacing w:line="360" w:lineRule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质量保证要求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应根据海南电网最新运行方式和等值阻抗，按照整定规程和整定计算指导意见，校核海蓄电站内各电压等级设备继电保护定值，确保定值满足电网最新运行方式和定值限额要求，不拒动、不误动、快速切除故障。</w:t>
      </w:r>
    </w:p>
    <w:p>
      <w:pPr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项目内容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3.1项目概况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海蓄电站3台发电机组，单台装机容量200MW（发电机工况）/220MW（电动机工况）。每台发电电动机出口设断路器，由各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主变压器低压侧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引接分支线供励磁变压器电源。发电电动机-主变压器-220kV高压电缆组合采用单元接线，地下厂房的发电电动机-主变压器经220kV高压电缆接至地面开关站的220kV主变高压侧开关接至220kV母线。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220kV侧采用双母线接线，经220kV蓄琼甲线、220kV蓄琼乙线、220kV蓄成Ⅰ线、220kV蓄成Ⅱ线接入海南电网220kV电压等级系统。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海蓄电站设置一套静止式变频起动装置（SFC），1台SFC输入变压器和1台SFC输出变压器，SFC #1进线接自220kV#1主变低压侧，SFC #2进线接自220kV #2主变低压侧。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海蓄电站设有2台13.8kV厂高变，13.8kV #1厂高变接自220kV#1主变低压侧，13.8kV #2厂高变接自220kV #2主变与220kV #3#主变低压侧，经27台10kV开关柜负责全厂供电。地区电源与1台1000kW 柴油发电机接厂用Ⅱ段母线作为应急备用电源。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海蓄电站设有小水电机组，1台单机容量800kW的水轮发电机组，经10kV变压器接入生活营地10kV母线。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为优化保护定值配合关系，规范保护整定计算，提高保护正确动作率，确保电站的安全稳定运行，需校核海蓄电站站内定值，修编《海南琼中抽水蓄能电站继电保护整定计算书》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和《海南琼中抽水蓄能电站220kV主变抗短路能力校核报告》</w:t>
      </w:r>
      <w:bookmarkStart w:id="0" w:name="_GoBack"/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，并出具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《海南琼中抽水蓄能电站继电保护整定计算书</w:t>
      </w:r>
      <w:r>
        <w:rPr>
          <w:rFonts w:hint="default" w:ascii="Times New Roman" w:hAnsi="Times New Roman" w:eastAsia="宋体" w:cs="Times New Roman"/>
          <w:kern w:val="0"/>
          <w:sz w:val="24"/>
          <w:szCs w:val="22"/>
          <w:vertAlign w:val="baseline"/>
          <w:lang w:val="en-US" w:eastAsia="zh-CN" w:bidi="ar-SA"/>
        </w:rPr>
        <w:t>及定值单修改说明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》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。</w:t>
      </w:r>
    </w:p>
    <w:bookmarkEnd w:id="0"/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3.2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eastAsia="zh-CN"/>
        </w:rPr>
        <w:t>项目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内容</w:t>
      </w:r>
    </w:p>
    <w:tbl>
      <w:tblPr>
        <w:tblStyle w:val="11"/>
        <w:tblW w:w="85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835"/>
        <w:gridCol w:w="4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8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保护类型</w:t>
            </w:r>
          </w:p>
        </w:tc>
        <w:tc>
          <w:tcPr>
            <w:tcW w:w="495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发电电动机保护</w:t>
            </w:r>
          </w:p>
        </w:tc>
        <w:tc>
          <w:tcPr>
            <w:tcW w:w="495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1、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校核短路电流计算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校核整定计算书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3、核查定值配置，对发现的问题做风险分析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4、说明整定计算书及定值单修改部分。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5、修编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  <w:t>《海南琼中抽水蓄能电站继电保护整定计算书》（2024版），并配合完成审核。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  <w:t>6、出具《海南琼中抽水蓄能电站继电保护整定计算书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及定值单修改说明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  <w:t>》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7、修编《海南琼中抽水蓄能电站220kV主变抗短路能力校核报告》（2024版）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220kV主变励磁变保护</w:t>
            </w:r>
          </w:p>
        </w:tc>
        <w:tc>
          <w:tcPr>
            <w:tcW w:w="4957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220kV高压电缆保护</w:t>
            </w:r>
          </w:p>
        </w:tc>
        <w:tc>
          <w:tcPr>
            <w:tcW w:w="4957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13.8kV厂高变保护</w:t>
            </w:r>
          </w:p>
        </w:tc>
        <w:tc>
          <w:tcPr>
            <w:tcW w:w="4957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13.8kV SFC进线保护</w:t>
            </w:r>
          </w:p>
        </w:tc>
        <w:tc>
          <w:tcPr>
            <w:tcW w:w="4957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10kV厂用变保护</w:t>
            </w:r>
          </w:p>
        </w:tc>
        <w:tc>
          <w:tcPr>
            <w:tcW w:w="4957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小水电</w:t>
            </w: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6.3kV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发电机保护</w:t>
            </w:r>
          </w:p>
        </w:tc>
        <w:tc>
          <w:tcPr>
            <w:tcW w:w="4957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小水电10kV变压器保护</w:t>
            </w:r>
          </w:p>
        </w:tc>
        <w:tc>
          <w:tcPr>
            <w:tcW w:w="4957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</w:p>
        </w:tc>
      </w:tr>
    </w:tbl>
    <w:p>
      <w:pPr>
        <w:spacing w:line="500" w:lineRule="exact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3.3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服务内容说明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1、甲方提供《海南琼中抽水蓄能电站继电保护整定计算书》（2023版）、《海蓄电站继电保护定值单》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《海南琼中抽水蓄能电站220kV主变抗短路能力校核报告》（2023版）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、海蓄电站设备参数、运行方式、电网最新等值阻抗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2、发电电动机保护和主变励磁变保护在2024年保护装置程序升级后，部分定值项发生了变化，详见相应《海蓄电站继电保护定值单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附录：定值单主要变化内容的说明》，乙方需合理整定该部分定值。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3、发电电动机保护的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“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机端开关失灵保护定值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”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，规程要求有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“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相电流元件，综合考虑躲负荷以及轻微（匝间）故障时有灵敏度，可按原则一或二进行整定：原则一：按可靠躲过发电机额定电流整定。原则二：按小于发电机组正常最小负荷电流整定。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”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乙方需合理整定该部分定值。目前海蓄电站单台机组最小出力工况发电工况80MW。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4、小水电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的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发电机保护和变压器保护，乙方需开展定值整定计算，并编制整定计算书。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5、乙方需按照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“一、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校核依据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”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，校核海蓄电站站内定值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，按照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《调继〔2013〕21号 附件2 南方电网220kV及以上系统并网电厂继电保护整定计算及定值审核模板（试行）》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修编《海南琼中抽水蓄能电站继电保护整定计算书》（2024版），模版未涉及的保护和功能，应根据实际情况进行调整或补充。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6、乙方需对《海南琼中抽水蓄能电站继电保护整定计算书》（2024版）》提供为期一年的技术咨询服务支持，如有整定计算不合理，乙方应负责定值整定计算的复核和说明。</w:t>
      </w:r>
    </w:p>
    <w:p>
      <w:pPr>
        <w:widowControl/>
        <w:spacing w:line="360" w:lineRule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四、</w:t>
      </w: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项目支付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spacing w:line="5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乙方提交《海南琼中抽水蓄能电站继电保护整定计算书》（2024版）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《海南琼中抽水蓄能电站继电保护整定计算书</w:t>
      </w:r>
      <w:r>
        <w:rPr>
          <w:rFonts w:hint="default" w:ascii="Times New Roman" w:hAnsi="Times New Roman" w:eastAsia="宋体" w:cs="Times New Roman"/>
          <w:kern w:val="0"/>
          <w:sz w:val="24"/>
          <w:szCs w:val="22"/>
          <w:vertAlign w:val="baseline"/>
          <w:lang w:val="en-US" w:eastAsia="zh-CN" w:bidi="ar-SA"/>
        </w:rPr>
        <w:t>及定值单修改说明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》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、《海南琼中抽水蓄能电站220kV主变抗短路能力校核报告》（2024版）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，经甲方三级审批通过后，乙方提供增值税专用发票，甲方在30个工作日内完成支付。</w:t>
      </w:r>
    </w:p>
    <w:p>
      <w:pPr>
        <w:spacing w:line="360" w:lineRule="auto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  <w:t>、其他要求</w:t>
      </w:r>
    </w:p>
    <w:p>
      <w:pPr>
        <w:spacing w:line="5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无</w:t>
      </w:r>
    </w:p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BE08DA"/>
    <w:multiLevelType w:val="multilevel"/>
    <w:tmpl w:val="22BE08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992"/>
      </w:pPr>
      <w:rPr>
        <w:rFonts w:hint="eastAsia" w:ascii="黑体" w:hAnsi="黑体" w:eastAsia="黑体"/>
        <w:b w:val="0"/>
        <w:color w:val="auto"/>
      </w:rPr>
    </w:lvl>
    <w:lvl w:ilvl="2" w:tentative="0">
      <w:start w:val="1"/>
      <w:numFmt w:val="decimal"/>
      <w:suff w:val="space"/>
      <w:lvlText w:val="%1.%2.%3"/>
      <w:lvlJc w:val="left"/>
      <w:pPr>
        <w:ind w:left="851" w:hanging="851"/>
      </w:pPr>
      <w:rPr>
        <w:rFonts w:hint="eastAsia" w:ascii="黑体" w:hAnsi="黑体" w:eastAsia="黑体"/>
        <w:b w:val="0"/>
        <w:color w:val="auto"/>
      </w:rPr>
    </w:lvl>
    <w:lvl w:ilvl="3" w:tentative="0">
      <w:start w:val="1"/>
      <w:numFmt w:val="decimal"/>
      <w:pStyle w:val="20"/>
      <w:suff w:val="space"/>
      <w:lvlText w:val="%1.%2.%3.%4"/>
      <w:lvlJc w:val="left"/>
      <w:pPr>
        <w:ind w:left="1984" w:hanging="1984"/>
      </w:pPr>
      <w:rPr>
        <w:rFonts w:hint="eastAsia" w:eastAsia="宋体" w:asciiTheme="minorEastAsia" w:hAnsiTheme="minorEastAsia"/>
        <w:color w:val="auto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5E8FCFBB"/>
    <w:multiLevelType w:val="multilevel"/>
    <w:tmpl w:val="5E8FCFBB"/>
    <w:lvl w:ilvl="0" w:tentative="0">
      <w:start w:val="1"/>
      <w:numFmt w:val="decimal"/>
      <w:pStyle w:val="17"/>
      <w:lvlText w:val="%1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1" w:tentative="0">
      <w:start w:val="1"/>
      <w:numFmt w:val="decimal"/>
      <w:pStyle w:val="16"/>
      <w:lvlText w:val="%1.%2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</w:rPr>
    </w:lvl>
    <w:lvl w:ilvl="2" w:tentative="0">
      <w:start w:val="1"/>
      <w:numFmt w:val="decimal"/>
      <w:pStyle w:val="15"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3" w:tentative="0">
      <w:start w:val="1"/>
      <w:numFmt w:val="decimal"/>
      <w:lvlText w:val="%1.%2.%3.%4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6754FDA5"/>
    <w:multiLevelType w:val="singleLevel"/>
    <w:tmpl w:val="6754FDA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6933334"/>
    <w:multiLevelType w:val="multilevel"/>
    <w:tmpl w:val="76933334"/>
    <w:lvl w:ilvl="0" w:tentative="0">
      <w:start w:val="1"/>
      <w:numFmt w:val="upperLetter"/>
      <w:pStyle w:val="21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GZlZjdjYzcyYWM4YTdkNTliZjIxZWZkMjEwODEifQ=="/>
  </w:docVars>
  <w:rsids>
    <w:rsidRoot w:val="00000000"/>
    <w:rsid w:val="011145B6"/>
    <w:rsid w:val="02A46BB1"/>
    <w:rsid w:val="037A40C6"/>
    <w:rsid w:val="03DC68B4"/>
    <w:rsid w:val="04AF0093"/>
    <w:rsid w:val="05085485"/>
    <w:rsid w:val="054D3B3F"/>
    <w:rsid w:val="05CA273A"/>
    <w:rsid w:val="06856633"/>
    <w:rsid w:val="073C31C4"/>
    <w:rsid w:val="0AE05343"/>
    <w:rsid w:val="0E8A02B9"/>
    <w:rsid w:val="105E23FD"/>
    <w:rsid w:val="11572E8D"/>
    <w:rsid w:val="1290604A"/>
    <w:rsid w:val="14EF0366"/>
    <w:rsid w:val="16D76A65"/>
    <w:rsid w:val="17CD20C5"/>
    <w:rsid w:val="18D4004A"/>
    <w:rsid w:val="1E2E49FA"/>
    <w:rsid w:val="1E564F90"/>
    <w:rsid w:val="1E745A2C"/>
    <w:rsid w:val="1F3518C1"/>
    <w:rsid w:val="1F445FB7"/>
    <w:rsid w:val="20AA2164"/>
    <w:rsid w:val="215F79F8"/>
    <w:rsid w:val="2223653E"/>
    <w:rsid w:val="22B06E96"/>
    <w:rsid w:val="233660B1"/>
    <w:rsid w:val="237F09E4"/>
    <w:rsid w:val="23876F54"/>
    <w:rsid w:val="246C1FEE"/>
    <w:rsid w:val="24892425"/>
    <w:rsid w:val="268A1F04"/>
    <w:rsid w:val="26937E0C"/>
    <w:rsid w:val="26A947C0"/>
    <w:rsid w:val="26B64AE2"/>
    <w:rsid w:val="2B4A5EB5"/>
    <w:rsid w:val="2B762831"/>
    <w:rsid w:val="2C706946"/>
    <w:rsid w:val="2C87397F"/>
    <w:rsid w:val="2D894E77"/>
    <w:rsid w:val="2F354F9E"/>
    <w:rsid w:val="2FC949E6"/>
    <w:rsid w:val="33736984"/>
    <w:rsid w:val="348A4CBF"/>
    <w:rsid w:val="34D128B0"/>
    <w:rsid w:val="39BF40A5"/>
    <w:rsid w:val="39D97BC0"/>
    <w:rsid w:val="3A4B6BF0"/>
    <w:rsid w:val="3A617939"/>
    <w:rsid w:val="3CA04220"/>
    <w:rsid w:val="412C0E2D"/>
    <w:rsid w:val="496C16BA"/>
    <w:rsid w:val="4B663FE5"/>
    <w:rsid w:val="4C2D252F"/>
    <w:rsid w:val="4C5D5FF1"/>
    <w:rsid w:val="4E9E4ABB"/>
    <w:rsid w:val="505025CD"/>
    <w:rsid w:val="51A26E98"/>
    <w:rsid w:val="53195188"/>
    <w:rsid w:val="532A3347"/>
    <w:rsid w:val="544B268E"/>
    <w:rsid w:val="54F72A83"/>
    <w:rsid w:val="55B97975"/>
    <w:rsid w:val="5A8B3529"/>
    <w:rsid w:val="5AD324CE"/>
    <w:rsid w:val="5EDA62E9"/>
    <w:rsid w:val="60C72C73"/>
    <w:rsid w:val="624C462A"/>
    <w:rsid w:val="62DA0294"/>
    <w:rsid w:val="632877B1"/>
    <w:rsid w:val="63605BFD"/>
    <w:rsid w:val="651741B8"/>
    <w:rsid w:val="66590BF3"/>
    <w:rsid w:val="66C75126"/>
    <w:rsid w:val="684D6073"/>
    <w:rsid w:val="69894F6A"/>
    <w:rsid w:val="69D71CCC"/>
    <w:rsid w:val="6AE54E58"/>
    <w:rsid w:val="6B502BB4"/>
    <w:rsid w:val="6B6D18B2"/>
    <w:rsid w:val="6BB55A52"/>
    <w:rsid w:val="6D084078"/>
    <w:rsid w:val="6E3803A5"/>
    <w:rsid w:val="6E595BB4"/>
    <w:rsid w:val="6ECB392F"/>
    <w:rsid w:val="6EFC78C2"/>
    <w:rsid w:val="74C16CDF"/>
    <w:rsid w:val="758A5266"/>
    <w:rsid w:val="75D13DB6"/>
    <w:rsid w:val="77F12301"/>
    <w:rsid w:val="789C7825"/>
    <w:rsid w:val="794E03FE"/>
    <w:rsid w:val="7C121B6B"/>
    <w:rsid w:val="7C6A0A85"/>
    <w:rsid w:val="7D221505"/>
    <w:rsid w:val="7DB859C6"/>
    <w:rsid w:val="7FCA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0" w:afterAutospacing="0" w:line="560" w:lineRule="exact"/>
      <w:ind w:firstLine="0" w:firstLineChars="0"/>
      <w:jc w:val="left"/>
      <w:outlineLvl w:val="0"/>
    </w:pPr>
    <w:rPr>
      <w:rFonts w:hint="eastAsia" w:eastAsia="黑体" w:cs="宋体"/>
      <w:bCs/>
      <w:kern w:val="44"/>
      <w:szCs w:val="48"/>
      <w:lang w:bidi="ar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Lines="0" w:afterLines="0"/>
      <w:ind w:firstLine="0" w:firstLineChars="0"/>
      <w:jc w:val="left"/>
      <w:outlineLvl w:val="1"/>
    </w:pPr>
    <w:rPr>
      <w:rFonts w:ascii="Times New Roman" w:hAnsi="Times New Roman" w:eastAsia="宋体" w:cs="Times New Roman"/>
      <w:b/>
      <w:bCs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2"/>
    </w:pPr>
    <w:rPr>
      <w:b/>
      <w:sz w:val="30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4"/>
    </w:pPr>
    <w:rPr>
      <w:b/>
      <w:sz w:val="24"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rPr>
      <w:rFonts w:ascii="Arial" w:hAnsi="Arial" w:eastAsia="宋体" w:cstheme="minorBidi"/>
      <w:sz w:val="21"/>
    </w:rPr>
  </w:style>
  <w:style w:type="paragraph" w:styleId="8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Title"/>
    <w:basedOn w:val="1"/>
    <w:next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11">
    <w:name w:val="Table Grid"/>
    <w:basedOn w:val="1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2 Char"/>
    <w:link w:val="4"/>
    <w:autoRedefine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paragraph" w:customStyle="1" w:styleId="14">
    <w:name w:val="段"/>
    <w:autoRedefine/>
    <w:qFormat/>
    <w:uiPriority w:val="0"/>
    <w:pPr>
      <w:autoSpaceDE w:val="0"/>
      <w:autoSpaceDN w:val="0"/>
      <w:spacing w:before="240" w:after="60"/>
      <w:ind w:firstLine="420" w:firstLineChars="200"/>
      <w:jc w:val="both"/>
    </w:pPr>
    <w:rPr>
      <w:rFonts w:ascii="宋体" w:hAnsi="Times New Roman" w:eastAsia="宋体" w:cs="黑体"/>
      <w:kern w:val="2"/>
      <w:sz w:val="21"/>
      <w:szCs w:val="22"/>
      <w:lang w:val="en-US" w:eastAsia="zh-CN" w:bidi="ar-SA"/>
    </w:rPr>
  </w:style>
  <w:style w:type="paragraph" w:customStyle="1" w:styleId="15">
    <w:name w:val="作业标题3"/>
    <w:basedOn w:val="16"/>
    <w:next w:val="18"/>
    <w:autoRedefine/>
    <w:qFormat/>
    <w:uiPriority w:val="0"/>
    <w:pPr>
      <w:numPr>
        <w:ilvl w:val="2"/>
        <w:numId w:val="1"/>
      </w:numPr>
      <w:tabs>
        <w:tab w:val="left" w:pos="420"/>
      </w:tabs>
      <w:spacing w:line="360" w:lineRule="auto"/>
      <w:ind w:left="0" w:firstLine="0"/>
    </w:pPr>
    <w:rPr>
      <w:rFonts w:eastAsia="宋体"/>
    </w:rPr>
  </w:style>
  <w:style w:type="paragraph" w:customStyle="1" w:styleId="16">
    <w:name w:val="作业标题2"/>
    <w:basedOn w:val="17"/>
    <w:next w:val="18"/>
    <w:autoRedefine/>
    <w:qFormat/>
    <w:uiPriority w:val="0"/>
    <w:pPr>
      <w:numPr>
        <w:ilvl w:val="1"/>
        <w:numId w:val="1"/>
      </w:numPr>
      <w:tabs>
        <w:tab w:val="left" w:pos="0"/>
      </w:tabs>
      <w:ind w:left="0" w:firstLine="0"/>
      <w:jc w:val="left"/>
    </w:pPr>
  </w:style>
  <w:style w:type="paragraph" w:customStyle="1" w:styleId="17">
    <w:name w:val="作业标题1"/>
    <w:basedOn w:val="3"/>
    <w:next w:val="18"/>
    <w:autoRedefine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/>
    </w:rPr>
  </w:style>
  <w:style w:type="paragraph" w:customStyle="1" w:styleId="18">
    <w:name w:val="作业正文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宋体" w:eastAsia="宋体" w:cs="Times New Roman"/>
      <w:sz w:val="21"/>
      <w:lang w:val="en-US" w:eastAsia="zh-CN" w:bidi="ar-SA"/>
    </w:rPr>
  </w:style>
  <w:style w:type="paragraph" w:customStyle="1" w:styleId="19">
    <w:name w:val="格式4"/>
    <w:basedOn w:val="20"/>
    <w:autoRedefine/>
    <w:qFormat/>
    <w:uiPriority w:val="0"/>
    <w:pPr>
      <w:tabs>
        <w:tab w:val="left" w:pos="567"/>
        <w:tab w:val="left" w:pos="709"/>
        <w:tab w:val="left" w:pos="993"/>
        <w:tab w:val="left" w:pos="6405"/>
      </w:tabs>
    </w:pPr>
  </w:style>
  <w:style w:type="paragraph" w:customStyle="1" w:styleId="20">
    <w:name w:val="样式5"/>
    <w:basedOn w:val="21"/>
    <w:autoRedefine/>
    <w:qFormat/>
    <w:uiPriority w:val="0"/>
    <w:pPr>
      <w:keepNext/>
      <w:numPr>
        <w:ilvl w:val="3"/>
        <w:numId w:val="2"/>
      </w:numPr>
      <w:tabs>
        <w:tab w:val="left" w:pos="567"/>
        <w:tab w:val="left" w:pos="709"/>
        <w:tab w:val="left" w:pos="993"/>
        <w:tab w:val="left" w:pos="6405"/>
      </w:tabs>
      <w:spacing w:before="0" w:after="0"/>
      <w:jc w:val="both"/>
      <w:outlineLvl w:val="9"/>
    </w:pPr>
    <w:rPr>
      <w:rFonts w:asciiTheme="minorEastAsia" w:hAnsiTheme="minorEastAsia"/>
    </w:rPr>
  </w:style>
  <w:style w:type="paragraph" w:customStyle="1" w:styleId="21">
    <w:name w:val="附录标识"/>
    <w:basedOn w:val="22"/>
    <w:autoRedefine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22">
    <w:name w:val="前言、引言标题"/>
    <w:next w:val="1"/>
    <w:autoRedefine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2022-04-22T16:00:00Z</dcterms:created>
  <dc:creator>梅文星</dc:creator>
  <cp:lastModifiedBy>千羽辰风</cp:lastModifiedBy>
  <dcterms:modified xsi:type="dcterms:W3CDTF">2024-04-22T07:30:59Z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7051AEB6AFA64B8C9840AF1CE0F6ED85</vt:lpwstr>
  </property>
</Properties>
</file>