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eastAsia="黑体"/>
          <w:sz w:val="30"/>
        </w:rPr>
      </w:pPr>
    </w:p>
    <w:p>
      <w:pPr>
        <w:ind w:firstLine="0" w:firstLineChars="0"/>
        <w:jc w:val="both"/>
        <w:rPr>
          <w:rFonts w:hint="default" w:eastAsia="宋体"/>
          <w:b/>
          <w:sz w:val="44"/>
          <w:szCs w:val="44"/>
          <w:lang w:val="en-US" w:eastAsia="zh-CN"/>
        </w:rPr>
      </w:pPr>
    </w:p>
    <w:p>
      <w:pPr>
        <w:ind w:firstLine="0" w:firstLineChars="0"/>
        <w:jc w:val="center"/>
        <w:rPr>
          <w:b/>
          <w:sz w:val="44"/>
          <w:szCs w:val="44"/>
        </w:rPr>
      </w:pPr>
      <w:r>
        <w:rPr>
          <w:rFonts w:hint="eastAsia"/>
          <w:b/>
          <w:sz w:val="44"/>
          <w:szCs w:val="44"/>
          <w:lang w:val="en-US" w:eastAsia="zh-CN"/>
        </w:rPr>
        <w:t>云南电网有限责任公司文山供电局文山文电设计有限公司云南省工程建设材料及设备价格信息“材价数据库”服务</w:t>
      </w:r>
    </w:p>
    <w:p>
      <w:pPr>
        <w:ind w:firstLine="0" w:firstLineChars="0"/>
        <w:jc w:val="center"/>
        <w:rPr>
          <w:b/>
          <w:sz w:val="44"/>
          <w:szCs w:val="44"/>
        </w:rPr>
      </w:pPr>
    </w:p>
    <w:p>
      <w:pPr>
        <w:ind w:firstLine="0" w:firstLineChars="0"/>
        <w:jc w:val="center"/>
        <w:rPr>
          <w:rFonts w:eastAsia="黑体"/>
          <w:sz w:val="20"/>
          <w:szCs w:val="16"/>
        </w:rPr>
      </w:pPr>
      <w:r>
        <w:rPr>
          <w:b/>
          <w:sz w:val="44"/>
          <w:szCs w:val="44"/>
        </w:rPr>
        <w:t>技术规范书</w:t>
      </w:r>
    </w:p>
    <w:p>
      <w:pPr>
        <w:ind w:firstLine="0" w:firstLineChars="0"/>
        <w:jc w:val="center"/>
        <w:rPr>
          <w:b/>
          <w:sz w:val="44"/>
          <w:szCs w:val="44"/>
        </w:rPr>
      </w:pPr>
    </w:p>
    <w:p>
      <w:pPr>
        <w:ind w:firstLine="0" w:firstLineChars="0"/>
        <w:jc w:val="center"/>
        <w:rPr>
          <w:rFonts w:eastAsia="黑体"/>
          <w:b/>
          <w:sz w:val="52"/>
        </w:rPr>
      </w:pPr>
    </w:p>
    <w:p>
      <w:pPr>
        <w:ind w:firstLine="0" w:firstLineChars="0"/>
        <w:jc w:val="center"/>
        <w:rPr>
          <w:rFonts w:eastAsia="黑体"/>
          <w:b/>
          <w:sz w:val="52"/>
        </w:rPr>
      </w:pPr>
    </w:p>
    <w:p>
      <w:pPr>
        <w:ind w:firstLine="0" w:firstLineChars="0"/>
        <w:jc w:val="center"/>
        <w:rPr>
          <w:rFonts w:eastAsia="黑体"/>
          <w:b/>
          <w:sz w:val="44"/>
          <w:szCs w:val="44"/>
        </w:rPr>
      </w:pPr>
    </w:p>
    <w:p>
      <w:pPr>
        <w:ind w:firstLine="0" w:firstLineChars="0"/>
        <w:jc w:val="center"/>
        <w:rPr>
          <w:rFonts w:eastAsia="黑体"/>
          <w:b/>
          <w:sz w:val="52"/>
        </w:rPr>
      </w:pPr>
    </w:p>
    <w:p>
      <w:pPr>
        <w:ind w:firstLine="0" w:firstLineChars="0"/>
        <w:jc w:val="center"/>
        <w:rPr>
          <w:rFonts w:eastAsia="黑体"/>
          <w:b/>
          <w:sz w:val="52"/>
        </w:rPr>
      </w:pPr>
    </w:p>
    <w:p>
      <w:pPr>
        <w:ind w:firstLine="0" w:firstLineChars="0"/>
        <w:jc w:val="center"/>
        <w:rPr>
          <w:rFonts w:eastAsia="黑体"/>
          <w:b/>
          <w:sz w:val="52"/>
        </w:rPr>
      </w:pPr>
    </w:p>
    <w:p>
      <w:pPr>
        <w:ind w:firstLine="0" w:firstLineChars="0"/>
        <w:jc w:val="center"/>
        <w:rPr>
          <w:rFonts w:eastAsia="黑体"/>
          <w:b/>
          <w:sz w:val="52"/>
        </w:rPr>
      </w:pPr>
    </w:p>
    <w:p>
      <w:pPr>
        <w:ind w:firstLine="0" w:firstLineChars="0"/>
        <w:jc w:val="center"/>
        <w:rPr>
          <w:rFonts w:eastAsia="黑体"/>
          <w:b/>
          <w:sz w:val="52"/>
        </w:rPr>
      </w:pPr>
    </w:p>
    <w:p>
      <w:pPr>
        <w:ind w:firstLine="0" w:firstLineChars="0"/>
        <w:jc w:val="center"/>
        <w:rPr>
          <w:rFonts w:eastAsia="黑体"/>
          <w:b/>
          <w:sz w:val="52"/>
        </w:rPr>
      </w:pPr>
    </w:p>
    <w:p>
      <w:pPr>
        <w:ind w:firstLine="0" w:firstLineChars="0"/>
        <w:jc w:val="center"/>
        <w:rPr>
          <w:rFonts w:eastAsia="黑体"/>
          <w:b/>
          <w:sz w:val="52"/>
        </w:rPr>
      </w:pPr>
    </w:p>
    <w:p>
      <w:pPr>
        <w:spacing w:before="100" w:beforeAutospacing="1" w:after="100" w:afterAutospacing="1"/>
        <w:ind w:firstLine="640"/>
        <w:jc w:val="center"/>
        <w:rPr>
          <w:rFonts w:hint="eastAsia"/>
          <w:sz w:val="32"/>
          <w:lang w:val="en-US" w:eastAsia="zh-CN"/>
        </w:rPr>
      </w:pPr>
      <w:r>
        <w:rPr>
          <w:rFonts w:hint="eastAsia"/>
          <w:sz w:val="32"/>
        </w:rPr>
        <w:t>云南电网有限责任公司文山供电</w:t>
      </w:r>
      <w:r>
        <w:rPr>
          <w:rFonts w:hint="eastAsia"/>
          <w:sz w:val="32"/>
          <w:lang w:val="en-US" w:eastAsia="zh-CN"/>
        </w:rPr>
        <w:t>局</w:t>
      </w:r>
    </w:p>
    <w:p>
      <w:pPr>
        <w:spacing w:before="100" w:beforeAutospacing="1" w:after="100" w:afterAutospacing="1"/>
        <w:ind w:firstLine="640"/>
        <w:jc w:val="center"/>
        <w:rPr>
          <w:sz w:val="32"/>
        </w:rPr>
      </w:pPr>
      <w:r>
        <w:rPr>
          <w:sz w:val="32"/>
        </w:rPr>
        <w:t>20</w:t>
      </w:r>
      <w:r>
        <w:rPr>
          <w:rFonts w:hint="eastAsia"/>
          <w:sz w:val="32"/>
          <w:lang w:val="en-US" w:eastAsia="zh-CN"/>
        </w:rPr>
        <w:t>24</w:t>
      </w:r>
      <w:r>
        <w:rPr>
          <w:sz w:val="32"/>
        </w:rPr>
        <w:t>年</w:t>
      </w:r>
      <w:r>
        <w:rPr>
          <w:rFonts w:hint="eastAsia"/>
          <w:sz w:val="32"/>
          <w:lang w:val="en-US" w:eastAsia="zh-CN"/>
        </w:rPr>
        <w:t>5</w:t>
      </w:r>
      <w:r>
        <w:rPr>
          <w:sz w:val="32"/>
        </w:rPr>
        <w:t>月</w:t>
      </w:r>
    </w:p>
    <w:p>
      <w:p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1" w:footer="992" w:gutter="0"/>
          <w:pgNumType w:start="0"/>
          <w:cols w:space="720" w:num="1"/>
          <w:titlePg/>
          <w:docGrid w:type="lines" w:linePitch="312" w:charSpace="0"/>
        </w:sectPr>
      </w:pPr>
      <w:bookmarkStart w:id="0" w:name="_Toc212863397"/>
    </w:p>
    <w:bookmarkEnd w:id="0"/>
    <w:p>
      <w:pPr>
        <w:pStyle w:val="21"/>
        <w:tabs>
          <w:tab w:val="left" w:pos="501"/>
        </w:tabs>
        <w:ind w:left="210" w:leftChars="0" w:firstLine="0" w:firstLineChars="0"/>
        <w:rPr>
          <w:rStyle w:val="22"/>
          <w:b/>
          <w:bCs/>
          <w:color w:val="000000"/>
          <w:lang w:val="en-US" w:eastAsia="zh-CN"/>
        </w:rPr>
      </w:pPr>
      <w:bookmarkStart w:id="1" w:name="_Toc350000270"/>
      <w:bookmarkStart w:id="2" w:name="_Toc410262344"/>
      <w:bookmarkStart w:id="3" w:name="_Toc31497"/>
      <w:r>
        <w:rPr>
          <w:rStyle w:val="22"/>
          <w:rFonts w:hint="eastAsia"/>
          <w:b/>
          <w:bCs/>
          <w:color w:val="000000"/>
          <w:lang w:val="en-US" w:eastAsia="zh-CN"/>
        </w:rPr>
        <w:t>项目</w:t>
      </w:r>
      <w:bookmarkEnd w:id="1"/>
      <w:bookmarkEnd w:id="2"/>
      <w:bookmarkEnd w:id="3"/>
      <w:r>
        <w:rPr>
          <w:rStyle w:val="22"/>
          <w:rFonts w:hint="eastAsia"/>
          <w:b/>
          <w:bCs/>
          <w:color w:val="000000"/>
          <w:lang w:val="en-US" w:eastAsia="zh-CN"/>
        </w:rPr>
        <w:t>内容</w:t>
      </w:r>
    </w:p>
    <w:p>
      <w:pPr>
        <w:pStyle w:val="23"/>
        <w:ind w:left="512" w:hanging="92"/>
        <w:rPr>
          <w:bCs/>
          <w:kern w:val="44"/>
          <w:sz w:val="30"/>
          <w:szCs w:val="32"/>
          <w:highlight w:val="none"/>
          <w:lang w:eastAsia="zh-CN"/>
        </w:rPr>
      </w:pPr>
      <w:bookmarkStart w:id="4" w:name="_Toc410262345"/>
      <w:bookmarkStart w:id="5" w:name="_Toc14645"/>
      <w:bookmarkStart w:id="6" w:name="OLE_LINK4"/>
      <w:bookmarkStart w:id="7" w:name="OLE_LINK2"/>
      <w:bookmarkStart w:id="8" w:name="OLE_LINK1"/>
      <w:r>
        <w:rPr>
          <w:rFonts w:hint="eastAsia"/>
          <w:bCs/>
          <w:kern w:val="44"/>
          <w:sz w:val="30"/>
          <w:szCs w:val="32"/>
          <w:highlight w:val="none"/>
          <w:lang w:eastAsia="zh-CN"/>
        </w:rPr>
        <w:t>项目概述</w:t>
      </w:r>
      <w:bookmarkEnd w:id="4"/>
      <w:bookmarkEnd w:id="5"/>
    </w:p>
    <w:p>
      <w:pPr>
        <w:ind w:firstLine="480"/>
        <w:rPr>
          <w:rFonts w:hint="default" w:eastAsia="宋体"/>
          <w:bCs/>
          <w:color w:val="auto"/>
          <w:sz w:val="24"/>
          <w:highlight w:val="none"/>
          <w:lang w:val="en-US" w:eastAsia="zh-CN"/>
        </w:rPr>
      </w:pPr>
      <w:r>
        <w:rPr>
          <w:rFonts w:hint="eastAsia"/>
          <w:bCs/>
          <w:color w:val="auto"/>
          <w:sz w:val="24"/>
          <w:highlight w:val="none"/>
          <w:lang w:val="en-US" w:eastAsia="zh-CN"/>
        </w:rPr>
        <w:t>因我单位工程造价工作必须的</w:t>
      </w:r>
      <w:r>
        <w:rPr>
          <w:rFonts w:hint="eastAsia"/>
          <w:color w:val="auto"/>
          <w:sz w:val="24"/>
          <w:lang w:val="en-US" w:eastAsia="zh-CN"/>
        </w:rPr>
        <w:t>云南省工程建设材料及设备价格信息“材价数据库”服务</w:t>
      </w:r>
      <w:r>
        <w:rPr>
          <w:rFonts w:hint="eastAsia"/>
          <w:bCs/>
          <w:color w:val="auto"/>
          <w:sz w:val="24"/>
          <w:highlight w:val="none"/>
          <w:lang w:val="en-US" w:eastAsia="zh-CN"/>
        </w:rPr>
        <w:t>马上到期，为了满足工作需要，现需购入</w:t>
      </w:r>
      <w:r>
        <w:rPr>
          <w:rFonts w:hint="eastAsia"/>
          <w:color w:val="auto"/>
          <w:sz w:val="24"/>
          <w:lang w:val="en-US" w:eastAsia="zh-CN"/>
        </w:rPr>
        <w:t>云南省工程建设材料及设备价格信息“材价数据库”服务</w:t>
      </w:r>
      <w:r>
        <w:rPr>
          <w:rFonts w:hint="eastAsia"/>
          <w:bCs/>
          <w:color w:val="auto"/>
          <w:sz w:val="24"/>
          <w:highlight w:val="none"/>
          <w:lang w:val="en-US" w:eastAsia="zh-CN"/>
        </w:rPr>
        <w:t>。</w:t>
      </w:r>
    </w:p>
    <w:p>
      <w:pPr>
        <w:pStyle w:val="23"/>
        <w:ind w:left="512" w:hanging="92"/>
        <w:rPr>
          <w:bCs/>
          <w:kern w:val="44"/>
          <w:sz w:val="30"/>
          <w:szCs w:val="32"/>
          <w:highlight w:val="none"/>
          <w:lang w:eastAsia="zh-CN"/>
        </w:rPr>
      </w:pPr>
      <w:bookmarkStart w:id="9" w:name="_Toc410262346"/>
      <w:bookmarkStart w:id="10" w:name="_Toc7307"/>
      <w:r>
        <w:rPr>
          <w:rFonts w:hint="eastAsia"/>
          <w:bCs/>
          <w:kern w:val="44"/>
          <w:sz w:val="30"/>
          <w:szCs w:val="32"/>
          <w:highlight w:val="none"/>
          <w:lang w:eastAsia="zh-CN"/>
        </w:rPr>
        <w:t>项目目标</w:t>
      </w:r>
      <w:bookmarkEnd w:id="9"/>
      <w:bookmarkEnd w:id="10"/>
    </w:p>
    <w:p>
      <w:pPr>
        <w:ind w:firstLine="480"/>
        <w:rPr>
          <w:rFonts w:hint="default"/>
          <w:bCs/>
          <w:color w:val="auto"/>
          <w:sz w:val="24"/>
          <w:highlight w:val="none"/>
          <w:lang w:val="en-US"/>
        </w:rPr>
      </w:pPr>
      <w:r>
        <w:rPr>
          <w:rFonts w:hint="eastAsia"/>
          <w:bCs/>
          <w:color w:val="auto"/>
          <w:sz w:val="24"/>
          <w:highlight w:val="none"/>
        </w:rPr>
        <w:t>拟通过</w:t>
      </w:r>
      <w:r>
        <w:rPr>
          <w:rFonts w:hint="eastAsia"/>
          <w:color w:val="auto"/>
          <w:sz w:val="24"/>
          <w:lang w:val="en-US" w:eastAsia="zh-CN"/>
        </w:rPr>
        <w:t>云南省工程建设材料及设备价格信息“材价数据库”服务</w:t>
      </w:r>
      <w:r>
        <w:rPr>
          <w:rFonts w:hint="eastAsia"/>
          <w:bCs/>
          <w:color w:val="auto"/>
          <w:sz w:val="24"/>
          <w:highlight w:val="none"/>
          <w:lang w:val="en-US" w:eastAsia="zh-CN"/>
        </w:rPr>
        <w:t>可以查找到工程造价上涉及的各类设备、材料的准确价格，满足工作需要，提高投资估算的准确度。</w:t>
      </w:r>
    </w:p>
    <w:p>
      <w:pPr>
        <w:pStyle w:val="23"/>
        <w:ind w:left="512" w:hanging="92"/>
        <w:rPr>
          <w:rFonts w:ascii="宋体" w:hAnsi="宋体"/>
          <w:sz w:val="28"/>
          <w:szCs w:val="28"/>
          <w:lang w:val="en-US" w:eastAsia="zh-CN"/>
        </w:rPr>
      </w:pPr>
      <w:bookmarkStart w:id="11" w:name="_Toc410262352"/>
      <w:bookmarkStart w:id="12" w:name="_Toc8939"/>
      <w:r>
        <w:rPr>
          <w:rFonts w:hint="eastAsia"/>
          <w:bCs/>
          <w:kern w:val="44"/>
          <w:sz w:val="30"/>
          <w:szCs w:val="32"/>
          <w:lang w:eastAsia="zh-CN"/>
        </w:rPr>
        <w:t>项目</w:t>
      </w:r>
      <w:bookmarkEnd w:id="11"/>
      <w:bookmarkEnd w:id="12"/>
      <w:r>
        <w:rPr>
          <w:rFonts w:hint="eastAsia"/>
          <w:bCs/>
          <w:kern w:val="44"/>
          <w:sz w:val="30"/>
          <w:szCs w:val="32"/>
          <w:lang w:val="en-US" w:eastAsia="zh-CN"/>
        </w:rPr>
        <w:t>内容</w:t>
      </w:r>
    </w:p>
    <w:p>
      <w:pPr>
        <w:keepNext w:val="0"/>
        <w:keepLines w:val="0"/>
        <w:pageBreakBefore w:val="0"/>
        <w:widowControl w:val="0"/>
        <w:numPr>
          <w:ilvl w:val="0"/>
          <w:numId w:val="0"/>
        </w:numPr>
        <w:kinsoku/>
        <w:wordWrap/>
        <w:overflowPunct/>
        <w:topLinePunct w:val="0"/>
        <w:autoSpaceDE w:val="0"/>
        <w:autoSpaceDN w:val="0"/>
        <w:bidi w:val="0"/>
        <w:adjustRightInd w:val="0"/>
        <w:snapToGrid/>
        <w:ind w:firstLine="480" w:firstLineChars="200"/>
        <w:jc w:val="both"/>
        <w:textAlignment w:val="auto"/>
        <w:rPr>
          <w:rFonts w:hint="default"/>
          <w:bCs/>
          <w:color w:val="auto"/>
          <w:sz w:val="24"/>
          <w:highlight w:val="none"/>
          <w:lang w:val="en-US" w:eastAsia="zh-CN"/>
        </w:rPr>
      </w:pPr>
      <w:r>
        <w:rPr>
          <w:rFonts w:hint="eastAsia"/>
          <w:color w:val="auto"/>
          <w:sz w:val="24"/>
          <w:lang w:val="en-US" w:eastAsia="zh-CN"/>
        </w:rPr>
        <w:t>云南省工程建设材料及设备价格信息“材价数据库”服务应包含建筑与装饰工程专业和电气设备与线缆安装工程两个专业，其中服务权益为可在线查阅近5年全省各区域、各专业、各类别材料价格信息数据且可以下载（excel格式），且向我单位提供最新月的纸质版价格期刊。</w:t>
      </w:r>
    </w:p>
    <w:p>
      <w:pPr>
        <w:pStyle w:val="24"/>
        <w:tabs>
          <w:tab w:val="left" w:pos="501"/>
          <w:tab w:val="left" w:pos="709"/>
          <w:tab w:val="left" w:pos="1134"/>
          <w:tab w:val="clear" w:pos="1080"/>
        </w:tabs>
        <w:spacing w:before="60"/>
        <w:ind w:left="709" w:hanging="69"/>
        <w:outlineLvl w:val="1"/>
        <w:rPr>
          <w:rFonts w:ascii="宋体" w:hAnsi="宋体"/>
          <w:sz w:val="28"/>
          <w:szCs w:val="28"/>
          <w:lang w:val="en-US" w:eastAsia="zh-CN"/>
        </w:rPr>
      </w:pPr>
      <w:bookmarkStart w:id="13" w:name="_Toc19829"/>
      <w:r>
        <w:rPr>
          <w:rFonts w:hint="eastAsia" w:ascii="宋体" w:hAnsi="宋体"/>
          <w:sz w:val="28"/>
          <w:szCs w:val="28"/>
          <w:lang w:val="en-US" w:eastAsia="zh-CN"/>
        </w:rPr>
        <w:t>应用范围</w:t>
      </w:r>
      <w:bookmarkEnd w:id="13"/>
    </w:p>
    <w:p>
      <w:pPr>
        <w:ind w:firstLine="480"/>
        <w:rPr>
          <w:rFonts w:ascii="宋体" w:hAnsi="宋体"/>
          <w:sz w:val="24"/>
        </w:rPr>
      </w:pPr>
      <w:r>
        <w:rPr>
          <w:rFonts w:hint="eastAsia" w:ascii="宋体" w:hAnsi="宋体"/>
          <w:sz w:val="24"/>
        </w:rPr>
        <w:t>云南电网有限责任公司文山供电</w:t>
      </w:r>
      <w:r>
        <w:rPr>
          <w:rFonts w:hint="eastAsia" w:ascii="宋体" w:hAnsi="宋体"/>
          <w:sz w:val="24"/>
          <w:lang w:val="en-US" w:eastAsia="zh-CN"/>
        </w:rPr>
        <w:t>局文山文电设计有限公司</w:t>
      </w:r>
      <w:r>
        <w:rPr>
          <w:rFonts w:hint="eastAsia" w:ascii="宋体" w:hAnsi="宋体"/>
          <w:sz w:val="24"/>
        </w:rPr>
        <w:t>。</w:t>
      </w:r>
    </w:p>
    <w:bookmarkEnd w:id="6"/>
    <w:bookmarkEnd w:id="7"/>
    <w:bookmarkEnd w:id="8"/>
    <w:p>
      <w:pPr>
        <w:pStyle w:val="24"/>
        <w:tabs>
          <w:tab w:val="left" w:pos="501"/>
          <w:tab w:val="left" w:pos="709"/>
          <w:tab w:val="left" w:pos="1134"/>
          <w:tab w:val="clear" w:pos="1080"/>
        </w:tabs>
        <w:spacing w:before="60"/>
        <w:ind w:left="709" w:hanging="69"/>
        <w:outlineLvl w:val="1"/>
        <w:rPr>
          <w:rFonts w:ascii="宋体" w:hAnsi="宋体"/>
          <w:sz w:val="28"/>
          <w:szCs w:val="28"/>
          <w:lang w:val="en-US" w:eastAsia="zh-CN"/>
        </w:rPr>
      </w:pPr>
      <w:bookmarkStart w:id="14" w:name="_Toc2098"/>
      <w:bookmarkStart w:id="15" w:name="_Toc518912048"/>
      <w:r>
        <w:rPr>
          <w:rFonts w:hint="eastAsia" w:ascii="宋体" w:hAnsi="宋体"/>
          <w:sz w:val="28"/>
          <w:szCs w:val="28"/>
          <w:lang w:val="en-US" w:eastAsia="zh-CN"/>
        </w:rPr>
        <w:t>项目服务周期要求</w:t>
      </w:r>
      <w:bookmarkEnd w:id="14"/>
      <w:bookmarkEnd w:id="15"/>
    </w:p>
    <w:p>
      <w:pPr>
        <w:ind w:firstLine="480"/>
        <w:rPr>
          <w:rFonts w:ascii="宋体" w:hAnsi="宋体"/>
          <w:sz w:val="24"/>
        </w:rPr>
      </w:pPr>
      <w:r>
        <w:rPr>
          <w:rFonts w:hint="eastAsia" w:ascii="宋体" w:hAnsi="宋体"/>
          <w:sz w:val="24"/>
        </w:rPr>
        <w:t>本项目的服务周期为：</w:t>
      </w:r>
      <w:r>
        <w:rPr>
          <w:rFonts w:hint="eastAsia" w:ascii="宋体" w:hAnsi="宋体"/>
          <w:sz w:val="24"/>
          <w:lang w:val="en-US" w:eastAsia="zh-CN"/>
        </w:rPr>
        <w:t>2024年6月至2025年6月</w:t>
      </w:r>
      <w:r>
        <w:rPr>
          <w:rFonts w:hint="eastAsia" w:ascii="宋体" w:hAnsi="宋体"/>
          <w:sz w:val="24"/>
        </w:rPr>
        <w:t>。</w:t>
      </w:r>
    </w:p>
    <w:p>
      <w:pPr>
        <w:pStyle w:val="21"/>
        <w:tabs>
          <w:tab w:val="left" w:pos="501"/>
        </w:tabs>
        <w:ind w:left="210" w:leftChars="0" w:firstLine="0" w:firstLineChars="0"/>
        <w:rPr>
          <w:rStyle w:val="22"/>
          <w:rFonts w:ascii="宋体" w:hAnsi="宋体"/>
          <w:b/>
          <w:bCs w:val="0"/>
          <w:kern w:val="28"/>
          <w:szCs w:val="20"/>
          <w:lang w:val="en-US" w:eastAsia="zh-CN"/>
        </w:rPr>
      </w:pPr>
      <w:bookmarkStart w:id="16" w:name="_Toc213331647"/>
      <w:bookmarkStart w:id="17" w:name="_Toc213331616"/>
      <w:r>
        <w:rPr>
          <w:rStyle w:val="22"/>
          <w:rFonts w:hint="eastAsia" w:ascii="宋体" w:hAnsi="宋体"/>
          <w:b/>
          <w:bCs w:val="0"/>
          <w:kern w:val="28"/>
          <w:szCs w:val="20"/>
          <w:lang w:val="en-US" w:eastAsia="zh-CN"/>
        </w:rPr>
        <w:t>技术要求</w:t>
      </w:r>
    </w:p>
    <w:bookmarkEnd w:id="16"/>
    <w:bookmarkEnd w:id="17"/>
    <w:p>
      <w:pPr>
        <w:numPr>
          <w:ilvl w:val="0"/>
          <w:numId w:val="3"/>
        </w:numPr>
        <w:ind w:left="0" w:leftChars="0" w:firstLine="480" w:firstLineChars="200"/>
        <w:rPr>
          <w:rFonts w:hint="default" w:ascii="宋体" w:hAnsi="宋体"/>
          <w:sz w:val="24"/>
          <w:lang w:val="en-US" w:eastAsia="zh-CN"/>
        </w:rPr>
      </w:pPr>
      <w:r>
        <w:rPr>
          <w:rFonts w:hint="eastAsia" w:ascii="宋体" w:hAnsi="宋体"/>
          <w:sz w:val="24"/>
          <w:lang w:val="en-US" w:eastAsia="zh-CN"/>
        </w:rPr>
        <w:t>总体要求：服务团队应多年从事本项目相关业务的服务工作，具备运营本项目的技术服务能力。</w:t>
      </w:r>
    </w:p>
    <w:p>
      <w:pPr>
        <w:numPr>
          <w:ilvl w:val="0"/>
          <w:numId w:val="3"/>
        </w:numPr>
        <w:ind w:left="0" w:leftChars="0" w:firstLine="480" w:firstLineChars="200"/>
        <w:rPr>
          <w:rFonts w:hint="default" w:ascii="宋体" w:hAnsi="宋体"/>
          <w:sz w:val="24"/>
          <w:lang w:val="en-US" w:eastAsia="zh-CN"/>
        </w:rPr>
      </w:pPr>
      <w:r>
        <w:rPr>
          <w:rFonts w:hint="eastAsia" w:ascii="宋体" w:hAnsi="宋体"/>
          <w:sz w:val="24"/>
          <w:lang w:val="en-US" w:eastAsia="zh-CN"/>
        </w:rPr>
        <w:t>技术要求：项目实施、标准规范、功能需求和技术功能需求等均需满足文山供电局文山文电设计有限公司业务管理统一规范要求。</w:t>
      </w:r>
    </w:p>
    <w:p>
      <w:pPr>
        <w:numPr>
          <w:ilvl w:val="0"/>
          <w:numId w:val="3"/>
        </w:numPr>
        <w:ind w:left="0" w:leftChars="0" w:firstLine="480" w:firstLineChars="200"/>
        <w:rPr>
          <w:rFonts w:hint="default" w:ascii="宋体" w:hAnsi="宋体"/>
          <w:sz w:val="24"/>
          <w:lang w:val="en-US" w:eastAsia="zh-CN"/>
        </w:rPr>
      </w:pPr>
      <w:r>
        <w:rPr>
          <w:rFonts w:hint="eastAsia" w:ascii="宋体" w:hAnsi="宋体"/>
          <w:sz w:val="24"/>
          <w:lang w:val="en-US" w:eastAsia="zh-CN"/>
        </w:rPr>
        <w:t>安全性：保证项目实施安全性，需要同时满足数据的传输安全、数据的存储安全、数据的访问安全和数据的管理安全等四个方面。</w:t>
      </w:r>
    </w:p>
    <w:p>
      <w:pPr>
        <w:pStyle w:val="21"/>
        <w:tabs>
          <w:tab w:val="left" w:pos="501"/>
        </w:tabs>
        <w:ind w:left="210" w:leftChars="0" w:firstLine="0" w:firstLineChars="0"/>
        <w:rPr>
          <w:rStyle w:val="22"/>
          <w:rFonts w:ascii="宋体" w:hAnsi="宋体"/>
          <w:b/>
          <w:bCs w:val="0"/>
          <w:kern w:val="28"/>
          <w:szCs w:val="20"/>
          <w:lang w:val="en-US" w:eastAsia="zh-CN"/>
        </w:rPr>
      </w:pPr>
      <w:bookmarkStart w:id="18" w:name="_Toc494374760"/>
      <w:bookmarkStart w:id="19" w:name="_Toc3648"/>
      <w:r>
        <w:rPr>
          <w:rStyle w:val="22"/>
          <w:rFonts w:hint="eastAsia" w:ascii="宋体" w:hAnsi="宋体"/>
          <w:b/>
          <w:bCs w:val="0"/>
          <w:kern w:val="28"/>
          <w:szCs w:val="20"/>
          <w:lang w:val="en-US" w:eastAsia="zh-CN"/>
        </w:rPr>
        <w:t>其他要求</w:t>
      </w:r>
      <w:bookmarkEnd w:id="18"/>
      <w:bookmarkEnd w:id="19"/>
    </w:p>
    <w:p>
      <w:pPr>
        <w:numPr>
          <w:ilvl w:val="0"/>
          <w:numId w:val="0"/>
        </w:numPr>
        <w:ind w:leftChars="200"/>
        <w:rPr>
          <w:rFonts w:hint="eastAsia" w:ascii="宋体" w:hAnsi="宋体"/>
          <w:sz w:val="24"/>
          <w:lang w:val="en-US" w:eastAsia="zh-CN"/>
        </w:rPr>
      </w:pPr>
      <w:bookmarkStart w:id="20" w:name="_Toc50253462"/>
      <w:bookmarkStart w:id="21" w:name="_Toc494374762"/>
      <w:bookmarkStart w:id="22" w:name="_Toc459297925"/>
      <w:bookmarkStart w:id="23" w:name="_Toc368234627"/>
      <w:bookmarkStart w:id="24" w:name="_Toc460416402"/>
      <w:bookmarkStart w:id="25" w:name="_Toc171280398"/>
      <w:r>
        <w:rPr>
          <w:rFonts w:hint="eastAsia" w:ascii="宋体" w:hAnsi="宋体"/>
          <w:sz w:val="24"/>
          <w:lang w:val="en-US" w:eastAsia="zh-CN"/>
        </w:rPr>
        <w:t>成交单位须</w:t>
      </w:r>
      <w:bookmarkStart w:id="26" w:name="OLE_LINK7"/>
      <w:bookmarkStart w:id="27" w:name="OLE_LINK10"/>
      <w:r>
        <w:rPr>
          <w:rFonts w:hint="eastAsia" w:ascii="宋体" w:hAnsi="宋体"/>
          <w:sz w:val="24"/>
          <w:lang w:val="en-US" w:eastAsia="zh-CN"/>
        </w:rPr>
        <w:t>指</w:t>
      </w:r>
      <w:bookmarkEnd w:id="26"/>
      <w:bookmarkEnd w:id="27"/>
      <w:r>
        <w:rPr>
          <w:rFonts w:hint="eastAsia" w:ascii="宋体" w:hAnsi="宋体"/>
          <w:sz w:val="24"/>
          <w:lang w:val="en-US" w:eastAsia="zh-CN"/>
        </w:rPr>
        <w:t>派在线联系工作人员一人。负责协调和沟通等工作，并配合采购方工作。</w:t>
      </w:r>
    </w:p>
    <w:p>
      <w:pPr>
        <w:widowControl w:val="0"/>
        <w:numPr>
          <w:ilvl w:val="0"/>
          <w:numId w:val="0"/>
        </w:numPr>
        <w:tabs>
          <w:tab w:val="left" w:pos="900"/>
        </w:tabs>
        <w:spacing w:line="360" w:lineRule="auto"/>
        <w:jc w:val="both"/>
        <w:rPr>
          <w:rFonts w:hint="eastAsia" w:ascii="宋体" w:hAnsi="宋体" w:cs="Times New Roman"/>
          <w:sz w:val="24"/>
        </w:rPr>
      </w:pPr>
      <w:bookmarkStart w:id="34" w:name="_GoBack"/>
      <w:bookmarkEnd w:id="34"/>
    </w:p>
    <w:bookmarkEnd w:id="20"/>
    <w:bookmarkEnd w:id="21"/>
    <w:bookmarkEnd w:id="22"/>
    <w:bookmarkEnd w:id="23"/>
    <w:bookmarkEnd w:id="24"/>
    <w:bookmarkEnd w:id="25"/>
    <w:p>
      <w:pPr>
        <w:pStyle w:val="21"/>
        <w:tabs>
          <w:tab w:val="left" w:pos="501"/>
        </w:tabs>
        <w:ind w:left="210" w:leftChars="0" w:right="-13" w:rightChars="-6" w:firstLine="0" w:firstLineChars="0"/>
        <w:rPr>
          <w:rStyle w:val="22"/>
          <w:rFonts w:ascii="宋体" w:hAnsi="宋体"/>
          <w:b/>
          <w:bCs w:val="0"/>
          <w:kern w:val="28"/>
          <w:szCs w:val="20"/>
          <w:lang w:val="en-US" w:eastAsia="zh-CN"/>
        </w:rPr>
      </w:pPr>
      <w:bookmarkStart w:id="28" w:name="_Toc494374764"/>
      <w:bookmarkStart w:id="29" w:name="_Toc382573400"/>
      <w:bookmarkStart w:id="30" w:name="_Toc19827"/>
      <w:bookmarkStart w:id="31" w:name="_Toc379746260"/>
      <w:bookmarkStart w:id="32" w:name="_Toc368234642"/>
      <w:bookmarkStart w:id="33" w:name="_Toc350356083"/>
      <w:r>
        <w:rPr>
          <w:rStyle w:val="22"/>
          <w:rFonts w:hint="eastAsia" w:ascii="宋体" w:hAnsi="宋体"/>
          <w:b/>
          <w:bCs w:val="0"/>
          <w:kern w:val="28"/>
          <w:szCs w:val="20"/>
          <w:lang w:val="en-US" w:eastAsia="zh-CN"/>
        </w:rPr>
        <w:t>保密要求</w:t>
      </w:r>
      <w:bookmarkEnd w:id="28"/>
      <w:bookmarkEnd w:id="29"/>
      <w:bookmarkEnd w:id="30"/>
      <w:bookmarkEnd w:id="31"/>
      <w:bookmarkEnd w:id="32"/>
    </w:p>
    <w:p>
      <w:pPr>
        <w:ind w:firstLine="480"/>
        <w:rPr>
          <w:rFonts w:ascii="宋体" w:hAnsi="宋体"/>
          <w:sz w:val="24"/>
        </w:rPr>
      </w:pPr>
      <w:r>
        <w:rPr>
          <w:rFonts w:ascii="宋体" w:hAnsi="宋体"/>
          <w:sz w:val="24"/>
        </w:rPr>
        <w:t>鉴于</w:t>
      </w:r>
      <w:r>
        <w:rPr>
          <w:rFonts w:hint="eastAsia" w:ascii="宋体" w:hAnsi="宋体"/>
          <w:sz w:val="24"/>
          <w:lang w:eastAsia="zh-CN"/>
        </w:rPr>
        <w:t>成交单位</w:t>
      </w:r>
      <w:r>
        <w:rPr>
          <w:rFonts w:ascii="宋体" w:hAnsi="宋体"/>
          <w:sz w:val="24"/>
        </w:rPr>
        <w:t>在提供服务期间，需要开放信息系统的访问权限，为加强信息系统的信息安全管理，提出以下保密要求：</w:t>
      </w:r>
    </w:p>
    <w:p>
      <w:pPr>
        <w:ind w:firstLine="480"/>
        <w:rPr>
          <w:rFonts w:ascii="宋体" w:hAnsi="宋体"/>
          <w:sz w:val="24"/>
        </w:rPr>
      </w:pPr>
      <w:r>
        <w:rPr>
          <w:rFonts w:hint="eastAsia" w:ascii="宋体" w:hAnsi="宋体"/>
          <w:sz w:val="24"/>
          <w:lang w:eastAsia="zh-CN"/>
        </w:rPr>
        <w:t>成交单位</w:t>
      </w:r>
      <w:r>
        <w:rPr>
          <w:rFonts w:ascii="宋体" w:hAnsi="宋体"/>
          <w:sz w:val="24"/>
        </w:rPr>
        <w:t>在访问信息系统期间，负有保护企业的网络安全、信息安全和系统数据的义务和责任；负有保护所持有、接触的属于或涉及企业商业秘密的信息安全的义务和责任。</w:t>
      </w:r>
    </w:p>
    <w:p>
      <w:pPr>
        <w:ind w:firstLine="480"/>
        <w:rPr>
          <w:rFonts w:ascii="宋体" w:hAnsi="宋体"/>
          <w:sz w:val="24"/>
        </w:rPr>
      </w:pPr>
      <w:r>
        <w:rPr>
          <w:rFonts w:ascii="宋体" w:hAnsi="宋体"/>
          <w:sz w:val="24"/>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bookmarkEnd w:id="33"/>
    </w:p>
    <w:p>
      <w:pPr>
        <w:rPr>
          <w:rFonts w:ascii="宋体" w:hAnsi="宋体" w:eastAsia="宋体" w:cs="Times New Roman"/>
          <w:kern w:val="2"/>
          <w:sz w:val="24"/>
          <w:szCs w:val="24"/>
          <w:lang w:val="en-US" w:eastAsia="zh-CN" w:bidi="ar-SA"/>
        </w:rPr>
      </w:pPr>
    </w:p>
    <w:p>
      <w:pPr>
        <w:rPr>
          <w:rFonts w:ascii="宋体" w:hAnsi="宋体" w:eastAsia="宋体" w:cs="Times New Roman"/>
          <w:kern w:val="2"/>
          <w:sz w:val="24"/>
          <w:szCs w:val="24"/>
          <w:lang w:val="en-US" w:eastAsia="zh-CN" w:bidi="ar-SA"/>
        </w:rPr>
      </w:pPr>
    </w:p>
    <w:p>
      <w:pPr>
        <w:rPr>
          <w:rFonts w:ascii="宋体" w:hAnsi="宋体" w:eastAsia="宋体" w:cs="Times New Roman"/>
          <w:kern w:val="2"/>
          <w:sz w:val="24"/>
          <w:szCs w:val="24"/>
          <w:lang w:val="en-US" w:eastAsia="zh-CN" w:bidi="ar-SA"/>
        </w:rPr>
      </w:pPr>
    </w:p>
    <w:p>
      <w:pPr>
        <w:rPr>
          <w:rFonts w:ascii="宋体" w:hAnsi="宋体" w:eastAsia="宋体" w:cs="Times New Roman"/>
          <w:kern w:val="2"/>
          <w:sz w:val="24"/>
          <w:szCs w:val="24"/>
          <w:lang w:val="en-US" w:eastAsia="zh-CN" w:bidi="ar-SA"/>
        </w:rPr>
      </w:pPr>
    </w:p>
    <w:p>
      <w:pPr>
        <w:rPr>
          <w:rFonts w:ascii="宋体" w:hAnsi="宋体" w:eastAsia="宋体" w:cs="Times New Roman"/>
          <w:kern w:val="2"/>
          <w:sz w:val="24"/>
          <w:szCs w:val="24"/>
          <w:lang w:val="en-US" w:eastAsia="zh-CN" w:bidi="ar-SA"/>
        </w:rPr>
      </w:pPr>
    </w:p>
    <w:p>
      <w:pPr>
        <w:rPr>
          <w:rFonts w:ascii="宋体" w:hAnsi="宋体" w:eastAsia="宋体" w:cs="Times New Roman"/>
          <w:kern w:val="2"/>
          <w:sz w:val="24"/>
          <w:szCs w:val="24"/>
          <w:lang w:val="en-US" w:eastAsia="zh-CN" w:bidi="ar-SA"/>
        </w:rPr>
      </w:pPr>
    </w:p>
    <w:p>
      <w:pPr>
        <w:rPr>
          <w:rFonts w:ascii="宋体" w:hAnsi="宋体" w:eastAsia="宋体" w:cs="Times New Roman"/>
          <w:kern w:val="2"/>
          <w:sz w:val="24"/>
          <w:szCs w:val="24"/>
          <w:lang w:val="en-US" w:eastAsia="zh-CN" w:bidi="ar-SA"/>
        </w:rPr>
      </w:pPr>
    </w:p>
    <w:p>
      <w:pPr>
        <w:jc w:val="center"/>
        <w:rPr>
          <w:lang w:val="en-US" w:eastAsia="zh-CN"/>
        </w:rPr>
      </w:pPr>
    </w:p>
    <w:p>
      <w:pPr>
        <w:pStyle w:val="21"/>
        <w:tabs>
          <w:tab w:val="left" w:pos="501"/>
        </w:tabs>
        <w:ind w:left="210" w:leftChars="0" w:right="-13" w:rightChars="-6" w:firstLine="0" w:firstLineChars="0"/>
        <w:rPr>
          <w:rStyle w:val="22"/>
          <w:rFonts w:hint="eastAsia" w:ascii="宋体" w:hAnsi="宋体"/>
          <w:b/>
          <w:bCs w:val="0"/>
          <w:kern w:val="28"/>
          <w:szCs w:val="20"/>
          <w:lang w:val="en-US" w:eastAsia="zh-CN"/>
        </w:rPr>
      </w:pPr>
      <w:r>
        <w:rPr>
          <w:rStyle w:val="22"/>
          <w:rFonts w:hint="eastAsia" w:ascii="宋体" w:hAnsi="宋体"/>
          <w:b/>
          <w:bCs w:val="0"/>
          <w:kern w:val="28"/>
          <w:szCs w:val="20"/>
          <w:lang w:val="en-US" w:eastAsia="zh-CN"/>
        </w:rPr>
        <w:t>团队及人员资质要求</w:t>
      </w:r>
    </w:p>
    <w:p>
      <w:pPr>
        <w:numPr>
          <w:ilvl w:val="0"/>
          <w:numId w:val="0"/>
        </w:numPr>
        <w:ind w:firstLine="480" w:firstLineChars="200"/>
        <w:rPr>
          <w:rFonts w:hint="default" w:ascii="宋体" w:hAnsi="宋体"/>
          <w:sz w:val="24"/>
          <w:lang w:val="en-US" w:eastAsia="zh-CN"/>
        </w:rPr>
      </w:pPr>
      <w:r>
        <w:rPr>
          <w:rFonts w:hint="eastAsia" w:ascii="宋体" w:hAnsi="宋体"/>
          <w:sz w:val="24"/>
          <w:lang w:val="en-US" w:eastAsia="zh-CN"/>
        </w:rPr>
        <w:t>成交单位指派联系的团队人员需具备相关工作经验。</w:t>
      </w:r>
    </w:p>
    <w:sectPr>
      <w:headerReference r:id="rId9" w:type="default"/>
      <w:footerReference r:id="rId10" w:type="default"/>
      <w:pgSz w:w="11906" w:h="16838"/>
      <w:pgMar w:top="1440" w:right="1440" w:bottom="1440" w:left="1440" w:header="851" w:footer="68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ind w:firstLine="360"/>
      <w:rPr>
        <w:rStyle w:val="18"/>
        <w:rFonts w:hint="eastAsia"/>
      </w:rPr>
    </w:pPr>
    <w:r>
      <w:rPr>
        <w:rFonts w:hint="eastAsia"/>
      </w:rPr>
      <w:fldChar w:fldCharType="begin"/>
    </w:r>
    <w:r>
      <w:rPr>
        <w:rStyle w:val="18"/>
        <w:rFonts w:hint="eastAsia"/>
      </w:rPr>
      <w:instrText xml:space="preserve">PAGE  </w:instrText>
    </w:r>
    <w:r>
      <w:rPr>
        <w:rFonts w:hint="eastAsia"/>
      </w:rPr>
      <w:fldChar w:fldCharType="separate"/>
    </w:r>
    <w:r>
      <w:rPr>
        <w:rStyle w:val="18"/>
        <w:rFonts w:hint="eastAsia"/>
      </w:rPr>
      <w:t>1</w:t>
    </w:r>
    <w:r>
      <w:rPr>
        <w:rFonts w:hint="eastAsia"/>
      </w:rPr>
      <w:fldChar w:fldCharType="end"/>
    </w:r>
  </w:p>
  <w:p>
    <w:pPr>
      <w:pStyle w:val="10"/>
      <w:ind w:right="360"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ind w:firstLine="360"/>
      <w:rPr>
        <w:rStyle w:val="18"/>
        <w:rFonts w:hint="eastAsia"/>
      </w:rPr>
    </w:pPr>
    <w:r>
      <w:rPr>
        <w:rFonts w:hint="eastAsia"/>
      </w:rPr>
      <w:fldChar w:fldCharType="begin"/>
    </w:r>
    <w:r>
      <w:rPr>
        <w:rStyle w:val="18"/>
        <w:rFonts w:hint="eastAsia"/>
      </w:rPr>
      <w:instrText xml:space="preserve">PAGE  </w:instrText>
    </w:r>
    <w:r>
      <w:rPr>
        <w:rFonts w:hint="eastAsia"/>
      </w:rPr>
      <w:fldChar w:fldCharType="end"/>
    </w:r>
  </w:p>
  <w:p>
    <w:pPr>
      <w:pStyle w:val="1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pPr>
    <w:r>
      <w:fldChar w:fldCharType="begin"/>
    </w:r>
    <w:r>
      <w:instrText xml:space="preserve">PAGE   \* MERGEFORMAT</w:instrText>
    </w:r>
    <w:r>
      <w:fldChar w:fldCharType="separate"/>
    </w:r>
    <w:r>
      <w:rPr>
        <w:lang w:val="zh-CN"/>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firstLine="0" w:firstLineChars="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w:pict>
        <v:shape id="PowerPlusWaterMarkObject26015844" o:spid="_x0000_s4099" o:spt="136" type="#_x0000_t136" style="position:absolute;left:0pt;height:226.45pt;width:452.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text="f"/>
          <v:textpath on="t" fitshape="t" fitpath="t" trim="t" xscale="f" string="保密" style="font-family:隶书;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single" w:color="auto" w:sz="4" w:space="1"/>
      </w:pBdr>
      <w:ind w:firstLine="0" w:firstLineChars="0"/>
      <w:jc w:val="right"/>
      <w:rPr>
        <w:rFonts w:ascii="宋体" w:hAnsi="宋体"/>
      </w:rPr>
    </w:pPr>
    <w:r>
      <w:rPr>
        <w:rFonts w:ascii="宋体" w:hAnsi="宋体"/>
      </w:rPr>
      <w:drawing>
        <wp:anchor distT="0" distB="0" distL="114300" distR="114300" simplePos="0" relativeHeight="251660288" behindDoc="1" locked="0" layoutInCell="1" allowOverlap="1">
          <wp:simplePos x="0" y="0"/>
          <wp:positionH relativeFrom="column">
            <wp:posOffset>-13970</wp:posOffset>
          </wp:positionH>
          <wp:positionV relativeFrom="paragraph">
            <wp:posOffset>-235585</wp:posOffset>
          </wp:positionV>
          <wp:extent cx="1656080" cy="400050"/>
          <wp:effectExtent l="0" t="0" r="1270" b="0"/>
          <wp:wrapNone/>
          <wp:docPr id="1" name="图片 1" descr="南方电网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南方电网黑"/>
                  <pic:cNvPicPr>
                    <a:picLocks noChangeAspect="1"/>
                  </pic:cNvPicPr>
                </pic:nvPicPr>
                <pic:blipFill>
                  <a:blip r:embed="rId1"/>
                  <a:stretch>
                    <a:fillRect/>
                  </a:stretch>
                </pic:blipFill>
                <pic:spPr>
                  <a:xfrm>
                    <a:off x="0" y="0"/>
                    <a:ext cx="1656080" cy="40005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3A0BFA"/>
    <w:multiLevelType w:val="singleLevel"/>
    <w:tmpl w:val="C83A0BFA"/>
    <w:lvl w:ilvl="0" w:tentative="0">
      <w:start w:val="1"/>
      <w:numFmt w:val="decimal"/>
      <w:suff w:val="nothing"/>
      <w:lvlText w:val="%1．"/>
      <w:lvlJc w:val="left"/>
      <w:pPr>
        <w:ind w:left="0" w:firstLine="400"/>
      </w:pPr>
      <w:rPr>
        <w:rFonts w:hint="default"/>
      </w:rPr>
    </w:lvl>
  </w:abstractNum>
  <w:abstractNum w:abstractNumId="1">
    <w:nsid w:val="4F774351"/>
    <w:multiLevelType w:val="multilevel"/>
    <w:tmpl w:val="4F774351"/>
    <w:lvl w:ilvl="0" w:tentative="0">
      <w:start w:val="1"/>
      <w:numFmt w:val="decimal"/>
      <w:pStyle w:val="4"/>
      <w:lvlText w:val="%1"/>
      <w:lvlJc w:val="left"/>
      <w:pPr>
        <w:ind w:left="432" w:hanging="432"/>
      </w:pPr>
      <w:rPr>
        <w:rFonts w:hint="eastAsia"/>
      </w:rPr>
    </w:lvl>
    <w:lvl w:ilvl="1" w:tentative="0">
      <w:start w:val="1"/>
      <w:numFmt w:val="decimal"/>
      <w:pStyle w:val="6"/>
      <w:lvlText w:val="%1.%2"/>
      <w:lvlJc w:val="left"/>
      <w:pPr>
        <w:ind w:left="1144" w:hanging="576"/>
      </w:pPr>
      <w:rPr>
        <w:rFonts w:hint="eastAsia"/>
      </w:rPr>
    </w:lvl>
    <w:lvl w:ilvl="2" w:tentative="0">
      <w:start w:val="1"/>
      <w:numFmt w:val="decimal"/>
      <w:pStyle w:val="7"/>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8804DFB"/>
    <w:multiLevelType w:val="multilevel"/>
    <w:tmpl w:val="68804DFB"/>
    <w:lvl w:ilvl="0" w:tentative="0">
      <w:start w:val="1"/>
      <w:numFmt w:val="decimal"/>
      <w:pStyle w:val="21"/>
      <w:lvlText w:val="%1."/>
      <w:lvlJc w:val="left"/>
      <w:pPr>
        <w:tabs>
          <w:tab w:val="left" w:pos="360"/>
        </w:tabs>
        <w:ind w:left="210" w:hanging="360"/>
      </w:pPr>
    </w:lvl>
    <w:lvl w:ilvl="1" w:tentative="0">
      <w:start w:val="1"/>
      <w:numFmt w:val="decimal"/>
      <w:pStyle w:val="23"/>
      <w:lvlText w:val="%1.%2."/>
      <w:lvlJc w:val="left"/>
      <w:pPr>
        <w:tabs>
          <w:tab w:val="left" w:pos="1080"/>
        </w:tabs>
        <w:ind w:left="720" w:hanging="360"/>
      </w:pPr>
    </w:lvl>
    <w:lvl w:ilvl="2" w:tentative="0">
      <w:start w:val="1"/>
      <w:numFmt w:val="decimal"/>
      <w:pStyle w:val="24"/>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1YjYyZDgxYmU0YTdkNWVhY2I2YzcwMTI1ZTI0Y2MifQ=="/>
  </w:docVars>
  <w:rsids>
    <w:rsidRoot w:val="75CF22BB"/>
    <w:rsid w:val="00271B58"/>
    <w:rsid w:val="00367FA3"/>
    <w:rsid w:val="00412F27"/>
    <w:rsid w:val="004A535B"/>
    <w:rsid w:val="006B1C06"/>
    <w:rsid w:val="00756EC9"/>
    <w:rsid w:val="00A7747B"/>
    <w:rsid w:val="00B84950"/>
    <w:rsid w:val="00F86FC7"/>
    <w:rsid w:val="011A0991"/>
    <w:rsid w:val="01877260"/>
    <w:rsid w:val="01B841E6"/>
    <w:rsid w:val="01D96AA7"/>
    <w:rsid w:val="02774EDB"/>
    <w:rsid w:val="0289064B"/>
    <w:rsid w:val="02D34087"/>
    <w:rsid w:val="02D46F12"/>
    <w:rsid w:val="030A6D48"/>
    <w:rsid w:val="031F0FB9"/>
    <w:rsid w:val="03341C77"/>
    <w:rsid w:val="03EC590E"/>
    <w:rsid w:val="066C36E8"/>
    <w:rsid w:val="068C334B"/>
    <w:rsid w:val="06D615F9"/>
    <w:rsid w:val="06E16F2A"/>
    <w:rsid w:val="06F219D5"/>
    <w:rsid w:val="06FD2810"/>
    <w:rsid w:val="07B05960"/>
    <w:rsid w:val="07BB17A8"/>
    <w:rsid w:val="07F7533D"/>
    <w:rsid w:val="07FA4B52"/>
    <w:rsid w:val="08005EB1"/>
    <w:rsid w:val="081B4119"/>
    <w:rsid w:val="08202431"/>
    <w:rsid w:val="087745AC"/>
    <w:rsid w:val="08AD0C1B"/>
    <w:rsid w:val="09024A32"/>
    <w:rsid w:val="098039F5"/>
    <w:rsid w:val="099F5C8C"/>
    <w:rsid w:val="0A0705C5"/>
    <w:rsid w:val="0A556EAE"/>
    <w:rsid w:val="0A722BB7"/>
    <w:rsid w:val="0AAF707B"/>
    <w:rsid w:val="0B067685"/>
    <w:rsid w:val="0B2A0513"/>
    <w:rsid w:val="0B77777C"/>
    <w:rsid w:val="0B93003D"/>
    <w:rsid w:val="0B976BA1"/>
    <w:rsid w:val="0BE51DA6"/>
    <w:rsid w:val="0BE75A49"/>
    <w:rsid w:val="0C1873DA"/>
    <w:rsid w:val="0C405504"/>
    <w:rsid w:val="0D5E3167"/>
    <w:rsid w:val="0DD54453"/>
    <w:rsid w:val="0E2B2E8F"/>
    <w:rsid w:val="0E5D00BB"/>
    <w:rsid w:val="0EC45361"/>
    <w:rsid w:val="0F475B2D"/>
    <w:rsid w:val="0F555E26"/>
    <w:rsid w:val="0F723A60"/>
    <w:rsid w:val="0F8E226E"/>
    <w:rsid w:val="0F9D44E1"/>
    <w:rsid w:val="0FB4545F"/>
    <w:rsid w:val="0FF327D1"/>
    <w:rsid w:val="101221FA"/>
    <w:rsid w:val="10587564"/>
    <w:rsid w:val="10E3078B"/>
    <w:rsid w:val="1122356B"/>
    <w:rsid w:val="11294E6A"/>
    <w:rsid w:val="11835E2C"/>
    <w:rsid w:val="11CA5616"/>
    <w:rsid w:val="1264101E"/>
    <w:rsid w:val="128C1EEB"/>
    <w:rsid w:val="12FD6EA8"/>
    <w:rsid w:val="13EC4F7B"/>
    <w:rsid w:val="14C658BF"/>
    <w:rsid w:val="152C06F3"/>
    <w:rsid w:val="15392F80"/>
    <w:rsid w:val="15691454"/>
    <w:rsid w:val="15AC6E17"/>
    <w:rsid w:val="15C62B68"/>
    <w:rsid w:val="165858C7"/>
    <w:rsid w:val="16897E69"/>
    <w:rsid w:val="169D59E0"/>
    <w:rsid w:val="16D37BB0"/>
    <w:rsid w:val="16E42A0C"/>
    <w:rsid w:val="17760D83"/>
    <w:rsid w:val="18707915"/>
    <w:rsid w:val="187B1B7E"/>
    <w:rsid w:val="188D5DAB"/>
    <w:rsid w:val="18FB5B27"/>
    <w:rsid w:val="1924680F"/>
    <w:rsid w:val="19675567"/>
    <w:rsid w:val="19736517"/>
    <w:rsid w:val="199F2701"/>
    <w:rsid w:val="19B850F1"/>
    <w:rsid w:val="19CE7845"/>
    <w:rsid w:val="19DF3F9B"/>
    <w:rsid w:val="1A2F613F"/>
    <w:rsid w:val="1AA175CF"/>
    <w:rsid w:val="1AA30C0E"/>
    <w:rsid w:val="1AF03780"/>
    <w:rsid w:val="1B84190D"/>
    <w:rsid w:val="1B997FAF"/>
    <w:rsid w:val="1BA3389F"/>
    <w:rsid w:val="1C3E568E"/>
    <w:rsid w:val="1C7C38DF"/>
    <w:rsid w:val="1CE92B9F"/>
    <w:rsid w:val="1EB3600A"/>
    <w:rsid w:val="1F09675E"/>
    <w:rsid w:val="1F5C1443"/>
    <w:rsid w:val="1F5C58CA"/>
    <w:rsid w:val="1F6962E1"/>
    <w:rsid w:val="1FBB2B00"/>
    <w:rsid w:val="1FC36594"/>
    <w:rsid w:val="1FD661E6"/>
    <w:rsid w:val="1FDF0B84"/>
    <w:rsid w:val="200F09BB"/>
    <w:rsid w:val="20355204"/>
    <w:rsid w:val="207249FA"/>
    <w:rsid w:val="208013CF"/>
    <w:rsid w:val="214A133B"/>
    <w:rsid w:val="215109E1"/>
    <w:rsid w:val="216143B1"/>
    <w:rsid w:val="21914BAA"/>
    <w:rsid w:val="21C1459A"/>
    <w:rsid w:val="21DB6E71"/>
    <w:rsid w:val="22273D41"/>
    <w:rsid w:val="225A5F04"/>
    <w:rsid w:val="22DD355D"/>
    <w:rsid w:val="232212E2"/>
    <w:rsid w:val="23341EFC"/>
    <w:rsid w:val="235C4C2B"/>
    <w:rsid w:val="237E04F5"/>
    <w:rsid w:val="23B458E3"/>
    <w:rsid w:val="23C2266C"/>
    <w:rsid w:val="243009E2"/>
    <w:rsid w:val="24764276"/>
    <w:rsid w:val="24890627"/>
    <w:rsid w:val="24AC1670"/>
    <w:rsid w:val="24FE744F"/>
    <w:rsid w:val="259E4E53"/>
    <w:rsid w:val="25D405C1"/>
    <w:rsid w:val="260C7EFA"/>
    <w:rsid w:val="26C14AC7"/>
    <w:rsid w:val="26D10329"/>
    <w:rsid w:val="26F169C7"/>
    <w:rsid w:val="26FA3D7B"/>
    <w:rsid w:val="274672A7"/>
    <w:rsid w:val="27627F39"/>
    <w:rsid w:val="27882695"/>
    <w:rsid w:val="279D6479"/>
    <w:rsid w:val="27E86D24"/>
    <w:rsid w:val="27F50CDB"/>
    <w:rsid w:val="28250404"/>
    <w:rsid w:val="28614719"/>
    <w:rsid w:val="28925461"/>
    <w:rsid w:val="29661048"/>
    <w:rsid w:val="29AF36DD"/>
    <w:rsid w:val="29D525BD"/>
    <w:rsid w:val="29DD3F3B"/>
    <w:rsid w:val="29F174FF"/>
    <w:rsid w:val="2A07655C"/>
    <w:rsid w:val="2A153D83"/>
    <w:rsid w:val="2A405AB6"/>
    <w:rsid w:val="2ABE78F3"/>
    <w:rsid w:val="2B0C2218"/>
    <w:rsid w:val="2B4F702A"/>
    <w:rsid w:val="2B5C4322"/>
    <w:rsid w:val="2B812C77"/>
    <w:rsid w:val="2C462FBC"/>
    <w:rsid w:val="2C517075"/>
    <w:rsid w:val="2CF9483B"/>
    <w:rsid w:val="2DB06C58"/>
    <w:rsid w:val="2DED7B57"/>
    <w:rsid w:val="2E316C84"/>
    <w:rsid w:val="2EB658F6"/>
    <w:rsid w:val="2EB87B9C"/>
    <w:rsid w:val="2EC152EB"/>
    <w:rsid w:val="2EDC03E6"/>
    <w:rsid w:val="2EFD3306"/>
    <w:rsid w:val="2F12655C"/>
    <w:rsid w:val="2F553822"/>
    <w:rsid w:val="308855B4"/>
    <w:rsid w:val="31144929"/>
    <w:rsid w:val="311939BA"/>
    <w:rsid w:val="31311993"/>
    <w:rsid w:val="31EB799A"/>
    <w:rsid w:val="31F65B3C"/>
    <w:rsid w:val="325F6CE0"/>
    <w:rsid w:val="3260227F"/>
    <w:rsid w:val="32A745CE"/>
    <w:rsid w:val="3406085B"/>
    <w:rsid w:val="34384B93"/>
    <w:rsid w:val="34740406"/>
    <w:rsid w:val="347C07EF"/>
    <w:rsid w:val="349F600E"/>
    <w:rsid w:val="35425E5B"/>
    <w:rsid w:val="35854B48"/>
    <w:rsid w:val="358A4B64"/>
    <w:rsid w:val="35C3046E"/>
    <w:rsid w:val="36932048"/>
    <w:rsid w:val="36960735"/>
    <w:rsid w:val="36AF7D28"/>
    <w:rsid w:val="36D53C6A"/>
    <w:rsid w:val="370C589B"/>
    <w:rsid w:val="372123F1"/>
    <w:rsid w:val="37256210"/>
    <w:rsid w:val="373D53B8"/>
    <w:rsid w:val="37F8301E"/>
    <w:rsid w:val="38001B40"/>
    <w:rsid w:val="38460B5C"/>
    <w:rsid w:val="39684DEF"/>
    <w:rsid w:val="399B6976"/>
    <w:rsid w:val="39E210F9"/>
    <w:rsid w:val="39E73E4A"/>
    <w:rsid w:val="3A4A28E9"/>
    <w:rsid w:val="3AA55861"/>
    <w:rsid w:val="3B197B48"/>
    <w:rsid w:val="3B983E44"/>
    <w:rsid w:val="3BF427AC"/>
    <w:rsid w:val="3C133F72"/>
    <w:rsid w:val="3C5425E1"/>
    <w:rsid w:val="3C7A3F3B"/>
    <w:rsid w:val="3CAD1E92"/>
    <w:rsid w:val="3CB9232D"/>
    <w:rsid w:val="3CC641BB"/>
    <w:rsid w:val="3CF63249"/>
    <w:rsid w:val="3D982C46"/>
    <w:rsid w:val="3E113F65"/>
    <w:rsid w:val="3E621B9F"/>
    <w:rsid w:val="3E92127E"/>
    <w:rsid w:val="3E9B3363"/>
    <w:rsid w:val="3F1876B2"/>
    <w:rsid w:val="3F5C05EE"/>
    <w:rsid w:val="3F5F75F9"/>
    <w:rsid w:val="41402C39"/>
    <w:rsid w:val="41BC703E"/>
    <w:rsid w:val="420A273C"/>
    <w:rsid w:val="422B7AD4"/>
    <w:rsid w:val="42641245"/>
    <w:rsid w:val="42756972"/>
    <w:rsid w:val="42997141"/>
    <w:rsid w:val="42A81C8B"/>
    <w:rsid w:val="42D346A3"/>
    <w:rsid w:val="42DE3B83"/>
    <w:rsid w:val="43290342"/>
    <w:rsid w:val="43496AA5"/>
    <w:rsid w:val="43706616"/>
    <w:rsid w:val="43A56D67"/>
    <w:rsid w:val="440B7779"/>
    <w:rsid w:val="446C62EA"/>
    <w:rsid w:val="449A7D44"/>
    <w:rsid w:val="454C13C3"/>
    <w:rsid w:val="45F866F2"/>
    <w:rsid w:val="464C3FF8"/>
    <w:rsid w:val="46AE7484"/>
    <w:rsid w:val="46D81628"/>
    <w:rsid w:val="46E1079D"/>
    <w:rsid w:val="46FE14C9"/>
    <w:rsid w:val="4706372C"/>
    <w:rsid w:val="471F2852"/>
    <w:rsid w:val="47442867"/>
    <w:rsid w:val="47551D7A"/>
    <w:rsid w:val="47E4249D"/>
    <w:rsid w:val="47EB5628"/>
    <w:rsid w:val="4858591B"/>
    <w:rsid w:val="4895371B"/>
    <w:rsid w:val="48BB3930"/>
    <w:rsid w:val="48FE01F6"/>
    <w:rsid w:val="49016D6B"/>
    <w:rsid w:val="49036126"/>
    <w:rsid w:val="49284544"/>
    <w:rsid w:val="4987159A"/>
    <w:rsid w:val="4A612B5D"/>
    <w:rsid w:val="4A721F1E"/>
    <w:rsid w:val="4AD96F61"/>
    <w:rsid w:val="4C26391F"/>
    <w:rsid w:val="4CC34DBA"/>
    <w:rsid w:val="4DC90E55"/>
    <w:rsid w:val="4DF77DA6"/>
    <w:rsid w:val="4E341889"/>
    <w:rsid w:val="4E4B382F"/>
    <w:rsid w:val="4ECB25CE"/>
    <w:rsid w:val="4EE05BE0"/>
    <w:rsid w:val="4F5A553B"/>
    <w:rsid w:val="4FA84B71"/>
    <w:rsid w:val="4FC31187"/>
    <w:rsid w:val="501F62F7"/>
    <w:rsid w:val="505C6634"/>
    <w:rsid w:val="50612D2C"/>
    <w:rsid w:val="507364BA"/>
    <w:rsid w:val="50BE206B"/>
    <w:rsid w:val="51607AE0"/>
    <w:rsid w:val="51E20210"/>
    <w:rsid w:val="52115225"/>
    <w:rsid w:val="52360122"/>
    <w:rsid w:val="52517B31"/>
    <w:rsid w:val="525B3856"/>
    <w:rsid w:val="52F52DFF"/>
    <w:rsid w:val="52FA3EBA"/>
    <w:rsid w:val="534129B6"/>
    <w:rsid w:val="539976BA"/>
    <w:rsid w:val="539D700F"/>
    <w:rsid w:val="54004CD7"/>
    <w:rsid w:val="547C64B1"/>
    <w:rsid w:val="55190476"/>
    <w:rsid w:val="55223C2C"/>
    <w:rsid w:val="5553334C"/>
    <w:rsid w:val="556424EA"/>
    <w:rsid w:val="55B03515"/>
    <w:rsid w:val="55CC22A8"/>
    <w:rsid w:val="55D13889"/>
    <w:rsid w:val="55F06F86"/>
    <w:rsid w:val="56064E74"/>
    <w:rsid w:val="560C25F8"/>
    <w:rsid w:val="56B1349A"/>
    <w:rsid w:val="56BD0126"/>
    <w:rsid w:val="56BD3212"/>
    <w:rsid w:val="56C371CA"/>
    <w:rsid w:val="572F5526"/>
    <w:rsid w:val="57B721F2"/>
    <w:rsid w:val="57D73346"/>
    <w:rsid w:val="587E5497"/>
    <w:rsid w:val="58B57A66"/>
    <w:rsid w:val="598A4294"/>
    <w:rsid w:val="59C42DE4"/>
    <w:rsid w:val="59E740E4"/>
    <w:rsid w:val="5B235B3A"/>
    <w:rsid w:val="5B914163"/>
    <w:rsid w:val="5C160718"/>
    <w:rsid w:val="5C3C0DE5"/>
    <w:rsid w:val="5D0A0A2A"/>
    <w:rsid w:val="5D0C66BB"/>
    <w:rsid w:val="5D1072E7"/>
    <w:rsid w:val="5D7663E0"/>
    <w:rsid w:val="5E486493"/>
    <w:rsid w:val="5EE71F5E"/>
    <w:rsid w:val="5F9B745C"/>
    <w:rsid w:val="6007003D"/>
    <w:rsid w:val="6008460A"/>
    <w:rsid w:val="605F56F8"/>
    <w:rsid w:val="60792FD6"/>
    <w:rsid w:val="60A31868"/>
    <w:rsid w:val="60A52E05"/>
    <w:rsid w:val="61691149"/>
    <w:rsid w:val="618E06E3"/>
    <w:rsid w:val="61F831AE"/>
    <w:rsid w:val="62632515"/>
    <w:rsid w:val="62A275F4"/>
    <w:rsid w:val="62C8329F"/>
    <w:rsid w:val="63262075"/>
    <w:rsid w:val="632C5010"/>
    <w:rsid w:val="63960B31"/>
    <w:rsid w:val="63A8571A"/>
    <w:rsid w:val="63D61D21"/>
    <w:rsid w:val="63E57276"/>
    <w:rsid w:val="63F41FD1"/>
    <w:rsid w:val="63F82F0D"/>
    <w:rsid w:val="6478798C"/>
    <w:rsid w:val="64AC79AA"/>
    <w:rsid w:val="655451C2"/>
    <w:rsid w:val="65744951"/>
    <w:rsid w:val="65883BF7"/>
    <w:rsid w:val="66110641"/>
    <w:rsid w:val="6635199D"/>
    <w:rsid w:val="66E91AC7"/>
    <w:rsid w:val="671534F2"/>
    <w:rsid w:val="67173014"/>
    <w:rsid w:val="67D049DF"/>
    <w:rsid w:val="67F07A40"/>
    <w:rsid w:val="68216989"/>
    <w:rsid w:val="683B72E1"/>
    <w:rsid w:val="693C5330"/>
    <w:rsid w:val="695A29A6"/>
    <w:rsid w:val="69CD232C"/>
    <w:rsid w:val="6A793D33"/>
    <w:rsid w:val="6A7F3229"/>
    <w:rsid w:val="6A847AFE"/>
    <w:rsid w:val="6AB80C2B"/>
    <w:rsid w:val="6AE53B2A"/>
    <w:rsid w:val="6AE91C20"/>
    <w:rsid w:val="6B197093"/>
    <w:rsid w:val="6B2E59DC"/>
    <w:rsid w:val="6BDB61B1"/>
    <w:rsid w:val="6C266D39"/>
    <w:rsid w:val="6C720354"/>
    <w:rsid w:val="6D01385E"/>
    <w:rsid w:val="6D666005"/>
    <w:rsid w:val="6D890FD1"/>
    <w:rsid w:val="6DF6057A"/>
    <w:rsid w:val="6E456C0A"/>
    <w:rsid w:val="6E53216C"/>
    <w:rsid w:val="6E605A17"/>
    <w:rsid w:val="6EC056B0"/>
    <w:rsid w:val="6F15311B"/>
    <w:rsid w:val="6F2D524F"/>
    <w:rsid w:val="6F8977AE"/>
    <w:rsid w:val="6F936B31"/>
    <w:rsid w:val="6FC74C12"/>
    <w:rsid w:val="70172AE7"/>
    <w:rsid w:val="702A6430"/>
    <w:rsid w:val="706D0B20"/>
    <w:rsid w:val="709D0B8C"/>
    <w:rsid w:val="71FC251C"/>
    <w:rsid w:val="72387A54"/>
    <w:rsid w:val="7282736D"/>
    <w:rsid w:val="72A9590B"/>
    <w:rsid w:val="72AF572A"/>
    <w:rsid w:val="72BB1BD8"/>
    <w:rsid w:val="72F359DB"/>
    <w:rsid w:val="7336484F"/>
    <w:rsid w:val="735278ED"/>
    <w:rsid w:val="73754963"/>
    <w:rsid w:val="744C61B3"/>
    <w:rsid w:val="74951F66"/>
    <w:rsid w:val="74AE42B3"/>
    <w:rsid w:val="74CF0912"/>
    <w:rsid w:val="74D27DE5"/>
    <w:rsid w:val="750359E8"/>
    <w:rsid w:val="754040CB"/>
    <w:rsid w:val="75483DE2"/>
    <w:rsid w:val="756F0F02"/>
    <w:rsid w:val="75CB0623"/>
    <w:rsid w:val="75CF22BB"/>
    <w:rsid w:val="76064BD0"/>
    <w:rsid w:val="76490F77"/>
    <w:rsid w:val="77334FD1"/>
    <w:rsid w:val="777C22C9"/>
    <w:rsid w:val="77933457"/>
    <w:rsid w:val="77FC4D6C"/>
    <w:rsid w:val="78194B0E"/>
    <w:rsid w:val="781F41A7"/>
    <w:rsid w:val="7851796F"/>
    <w:rsid w:val="78771967"/>
    <w:rsid w:val="78A43F93"/>
    <w:rsid w:val="795A3EC9"/>
    <w:rsid w:val="798E0746"/>
    <w:rsid w:val="7ABE338B"/>
    <w:rsid w:val="7AF63C26"/>
    <w:rsid w:val="7B4A177B"/>
    <w:rsid w:val="7B5B676A"/>
    <w:rsid w:val="7BE820AF"/>
    <w:rsid w:val="7C246D09"/>
    <w:rsid w:val="7C263E1C"/>
    <w:rsid w:val="7CED03FA"/>
    <w:rsid w:val="7D183BFB"/>
    <w:rsid w:val="7D1E3A36"/>
    <w:rsid w:val="7D3875DE"/>
    <w:rsid w:val="7D6E4277"/>
    <w:rsid w:val="7DC071B5"/>
    <w:rsid w:val="7E557995"/>
    <w:rsid w:val="7E5B6533"/>
    <w:rsid w:val="7EBC1CA0"/>
    <w:rsid w:val="7EE02DE6"/>
    <w:rsid w:val="7F052AFA"/>
    <w:rsid w:val="7F264C43"/>
    <w:rsid w:val="7F2854B3"/>
    <w:rsid w:val="7F487196"/>
    <w:rsid w:val="7F74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4">
    <w:name w:val="heading 1"/>
    <w:basedOn w:val="1"/>
    <w:next w:val="5"/>
    <w:qFormat/>
    <w:uiPriority w:val="0"/>
    <w:pPr>
      <w:keepNext/>
      <w:keepLines/>
      <w:pageBreakBefore/>
      <w:numPr>
        <w:ilvl w:val="0"/>
        <w:numId w:val="1"/>
      </w:numPr>
      <w:pBdr>
        <w:bottom w:val="inset" w:color="C0C0C0" w:sz="6" w:space="1"/>
      </w:pBdr>
      <w:tabs>
        <w:tab w:val="left" w:pos="284"/>
      </w:tabs>
      <w:spacing w:before="340" w:after="330"/>
      <w:ind w:firstLine="0" w:firstLineChars="0"/>
      <w:outlineLvl w:val="0"/>
    </w:pPr>
    <w:rPr>
      <w:rFonts w:ascii="宋体" w:hAnsi="宋体"/>
      <w:b/>
      <w:bCs/>
      <w:kern w:val="44"/>
      <w:sz w:val="44"/>
      <w:szCs w:val="44"/>
    </w:rPr>
  </w:style>
  <w:style w:type="paragraph" w:styleId="6">
    <w:name w:val="heading 2"/>
    <w:basedOn w:val="1"/>
    <w:next w:val="1"/>
    <w:qFormat/>
    <w:uiPriority w:val="0"/>
    <w:pPr>
      <w:keepNext/>
      <w:keepLines/>
      <w:numPr>
        <w:ilvl w:val="1"/>
        <w:numId w:val="1"/>
      </w:numPr>
      <w:spacing w:before="260" w:after="260"/>
      <w:ind w:left="567" w:firstLine="0" w:firstLineChars="0"/>
      <w:outlineLvl w:val="1"/>
    </w:pPr>
    <w:rPr>
      <w:rFonts w:ascii="宋体" w:hAnsi="宋体"/>
      <w:b/>
      <w:bCs/>
      <w:kern w:val="44"/>
      <w:sz w:val="32"/>
      <w:szCs w:val="32"/>
    </w:rPr>
  </w:style>
  <w:style w:type="paragraph" w:styleId="7">
    <w:name w:val="heading 3"/>
    <w:basedOn w:val="1"/>
    <w:next w:val="1"/>
    <w:qFormat/>
    <w:uiPriority w:val="0"/>
    <w:pPr>
      <w:keepNext/>
      <w:keepLines/>
      <w:numPr>
        <w:ilvl w:val="2"/>
        <w:numId w:val="1"/>
      </w:numPr>
      <w:spacing w:before="260" w:after="260" w:line="416" w:lineRule="auto"/>
      <w:ind w:firstLine="0" w:firstLineChars="0"/>
      <w:outlineLvl w:val="2"/>
    </w:pPr>
    <w:rPr>
      <w:b/>
      <w:bCs/>
      <w:sz w:val="28"/>
      <w:szCs w:val="32"/>
    </w:rPr>
  </w:style>
  <w:style w:type="character" w:default="1" w:styleId="17">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w:basedOn w:val="3"/>
    <w:uiPriority w:val="0"/>
    <w:pPr>
      <w:ind w:firstLine="420" w:firstLineChars="100"/>
    </w:pPr>
  </w:style>
  <w:style w:type="paragraph" w:styleId="3">
    <w:name w:val="Body Text"/>
    <w:basedOn w:val="1"/>
    <w:qFormat/>
    <w:uiPriority w:val="0"/>
    <w:pPr>
      <w:spacing w:after="120" w:afterLines="0" w:afterAutospacing="0"/>
    </w:pPr>
  </w:style>
  <w:style w:type="paragraph" w:customStyle="1" w:styleId="5">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styleId="8">
    <w:name w:val="toc 3"/>
    <w:basedOn w:val="1"/>
    <w:next w:val="1"/>
    <w:unhideWhenUsed/>
    <w:qFormat/>
    <w:uiPriority w:val="39"/>
    <w:pPr>
      <w:ind w:left="840" w:leftChars="400"/>
    </w:pPr>
  </w:style>
  <w:style w:type="paragraph" w:styleId="9">
    <w:name w:val="Plain Text"/>
    <w:basedOn w:val="1"/>
    <w:qFormat/>
    <w:uiPriority w:val="99"/>
    <w:pPr>
      <w:widowControl/>
      <w:spacing w:before="120" w:after="120" w:line="288" w:lineRule="auto"/>
      <w:ind w:firstLine="454"/>
      <w:jc w:val="left"/>
    </w:pPr>
    <w:rPr>
      <w:rFonts w:ascii="Courier New" w:hAnsi="Courier New"/>
      <w:kern w:val="0"/>
      <w:sz w:val="20"/>
      <w:szCs w:val="20"/>
      <w:lang w:eastAsia="en-US"/>
    </w:rPr>
  </w:style>
  <w:style w:type="paragraph" w:styleId="10">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left" w:pos="420"/>
        <w:tab w:val="right" w:leader="dot" w:pos="8296"/>
      </w:tabs>
      <w:ind w:firstLine="0" w:firstLineChars="0"/>
      <w:jc w:val="left"/>
    </w:pPr>
    <w:rPr>
      <w:b/>
      <w:sz w:val="24"/>
      <w:szCs w:val="21"/>
    </w:rPr>
  </w:style>
  <w:style w:type="paragraph" w:styleId="13">
    <w:name w:val="toc 2"/>
    <w:basedOn w:val="1"/>
    <w:next w:val="1"/>
    <w:unhideWhenUsed/>
    <w:qFormat/>
    <w:uiPriority w:val="39"/>
    <w:pPr>
      <w:tabs>
        <w:tab w:val="right" w:leader="dot" w:pos="8296"/>
      </w:tabs>
    </w:pPr>
  </w:style>
  <w:style w:type="paragraph" w:styleId="14">
    <w:name w:val="Normal (Web)"/>
    <w:basedOn w:val="1"/>
    <w:qFormat/>
    <w:uiPriority w:val="99"/>
    <w:pPr>
      <w:widowControl/>
      <w:spacing w:before="100" w:beforeAutospacing="1" w:after="100" w:afterAutospacing="1"/>
      <w:jc w:val="left"/>
    </w:pPr>
    <w:rPr>
      <w:rFonts w:ascii="Verdana" w:hAnsi="Verdana"/>
      <w:color w:val="000000"/>
      <w:kern w:val="0"/>
      <w:sz w:val="18"/>
      <w:szCs w:val="18"/>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page number"/>
    <w:qFormat/>
    <w:uiPriority w:val="0"/>
    <w:rPr>
      <w:rFonts w:ascii="ˎ̥" w:hAnsi="ˎ̥" w:eastAsia="宋体" w:cs="宋体"/>
      <w:color w:val="51585D"/>
      <w:sz w:val="21"/>
      <w:szCs w:val="18"/>
      <w:lang w:val="en-US" w:eastAsia="zh-CN" w:bidi="ar-SA"/>
    </w:rPr>
  </w:style>
  <w:style w:type="character" w:styleId="19">
    <w:name w:val="Emphasis"/>
    <w:basedOn w:val="17"/>
    <w:qFormat/>
    <w:uiPriority w:val="0"/>
    <w:rPr>
      <w:i/>
    </w:rPr>
  </w:style>
  <w:style w:type="paragraph" w:customStyle="1" w:styleId="20">
    <w:name w:val="目录"/>
    <w:basedOn w:val="1"/>
    <w:next w:val="1"/>
    <w:qFormat/>
    <w:uiPriority w:val="99"/>
    <w:pPr>
      <w:widowControl/>
      <w:spacing w:afterLines="50"/>
      <w:jc w:val="center"/>
    </w:pPr>
    <w:rPr>
      <w:rFonts w:ascii="Arial" w:hAnsi="Arial" w:eastAsia="黑体"/>
      <w:b/>
      <w:kern w:val="0"/>
      <w:sz w:val="32"/>
      <w:szCs w:val="20"/>
    </w:rPr>
  </w:style>
  <w:style w:type="paragraph" w:customStyle="1" w:styleId="21">
    <w:name w:val="Numbered list 2.1"/>
    <w:basedOn w:val="4"/>
    <w:next w:val="1"/>
    <w:qFormat/>
    <w:uiPriority w:val="99"/>
    <w:pPr>
      <w:keepLines w:val="0"/>
      <w:widowControl/>
      <w:numPr>
        <w:numId w:val="2"/>
      </w:numPr>
      <w:pBdr>
        <w:bottom w:val="none" w:color="auto" w:sz="0" w:space="0"/>
      </w:pBdr>
      <w:tabs>
        <w:tab w:val="left" w:pos="360"/>
        <w:tab w:val="left" w:pos="720"/>
      </w:tabs>
      <w:spacing w:before="240" w:after="60"/>
      <w:jc w:val="left"/>
    </w:pPr>
    <w:rPr>
      <w:rFonts w:ascii="Arial" w:hAnsi="Arial"/>
      <w:bCs w:val="0"/>
      <w:kern w:val="28"/>
      <w:sz w:val="28"/>
      <w:szCs w:val="20"/>
      <w:lang w:val="en-GB" w:eastAsia="en-US"/>
    </w:rPr>
  </w:style>
  <w:style w:type="character" w:customStyle="1" w:styleId="22">
    <w:name w:val="标题 1 Char1"/>
    <w:qFormat/>
    <w:uiPriority w:val="0"/>
    <w:rPr>
      <w:rFonts w:ascii="Times New Roman" w:hAnsi="Times New Roman"/>
      <w:b/>
      <w:bCs/>
      <w:kern w:val="44"/>
      <w:sz w:val="44"/>
      <w:szCs w:val="44"/>
    </w:rPr>
  </w:style>
  <w:style w:type="paragraph" w:customStyle="1" w:styleId="23">
    <w:name w:val="Numbered list 2.2"/>
    <w:basedOn w:val="6"/>
    <w:next w:val="1"/>
    <w:qFormat/>
    <w:uiPriority w:val="99"/>
    <w:pPr>
      <w:keepLines w:val="0"/>
      <w:widowControl/>
      <w:numPr>
        <w:numId w:val="2"/>
      </w:numPr>
      <w:tabs>
        <w:tab w:val="left" w:pos="360"/>
        <w:tab w:val="left" w:pos="720"/>
        <w:tab w:val="left" w:pos="1080"/>
      </w:tabs>
      <w:spacing w:before="240" w:after="60"/>
      <w:jc w:val="left"/>
    </w:pPr>
    <w:rPr>
      <w:bCs w:val="0"/>
      <w:kern w:val="0"/>
      <w:sz w:val="24"/>
      <w:szCs w:val="20"/>
      <w:lang w:val="en-GB" w:eastAsia="en-US"/>
    </w:rPr>
  </w:style>
  <w:style w:type="paragraph" w:customStyle="1" w:styleId="24">
    <w:name w:val="Numbered list 2.3"/>
    <w:basedOn w:val="7"/>
    <w:next w:val="1"/>
    <w:qFormat/>
    <w:uiPriority w:val="99"/>
    <w:pPr>
      <w:keepLines w:val="0"/>
      <w:widowControl/>
      <w:numPr>
        <w:numId w:val="2"/>
      </w:numPr>
      <w:tabs>
        <w:tab w:val="left" w:pos="360"/>
        <w:tab w:val="left" w:pos="1080"/>
        <w:tab w:val="left" w:pos="1440"/>
      </w:tabs>
      <w:spacing w:before="240" w:after="60" w:line="360" w:lineRule="auto"/>
      <w:jc w:val="left"/>
    </w:pPr>
    <w:rPr>
      <w:rFonts w:ascii="Arial" w:hAnsi="Arial"/>
      <w:bCs w:val="0"/>
      <w:kern w:val="0"/>
      <w:sz w:val="22"/>
      <w:szCs w:val="20"/>
      <w:lang w:val="en-GB" w:eastAsia="en-US"/>
    </w:rPr>
  </w:style>
  <w:style w:type="paragraph" w:customStyle="1" w:styleId="25">
    <w:name w:val="列出段落11"/>
    <w:basedOn w:val="1"/>
    <w:qFormat/>
    <w:uiPriority w:val="34"/>
    <w:pPr>
      <w:spacing w:line="240" w:lineRule="auto"/>
    </w:pPr>
    <w:rPr>
      <w:rFonts w:ascii="Calibri" w:hAnsi="Calibri"/>
      <w:szCs w:val="22"/>
    </w:rPr>
  </w:style>
  <w:style w:type="paragraph" w:customStyle="1" w:styleId="26">
    <w:name w:val="列表段落1"/>
    <w:basedOn w:val="1"/>
    <w:qFormat/>
    <w:uiPriority w:val="0"/>
    <w:pPr>
      <w:widowControl/>
      <w:jc w:val="left"/>
    </w:pPr>
    <w:rPr>
      <w:rFonts w:ascii="宋体" w:hAnsi="宋体" w:cs="宋体"/>
      <w:kern w:val="0"/>
      <w:sz w:val="24"/>
    </w:rPr>
  </w:style>
  <w:style w:type="paragraph" w:customStyle="1" w:styleId="27">
    <w:name w:val="Style1"/>
    <w:basedOn w:val="6"/>
    <w:qFormat/>
    <w:uiPriority w:val="0"/>
    <w:pPr>
      <w:widowControl/>
      <w:numPr>
        <w:ilvl w:val="0"/>
        <w:numId w:val="0"/>
      </w:numPr>
      <w:tabs>
        <w:tab w:val="left" w:pos="360"/>
      </w:tabs>
      <w:spacing w:afterLines="50" w:line="415" w:lineRule="auto"/>
    </w:pPr>
    <w:rPr>
      <w:rFonts w:ascii="Calibri" w:hAnsi="Calibri" w:eastAsia="黑体" w:cs="Calibri"/>
      <w:spacing w:val="20"/>
    </w:rPr>
  </w:style>
  <w:style w:type="character" w:customStyle="1" w:styleId="28">
    <w:name w:val="内容正文 Char"/>
    <w:link w:val="29"/>
    <w:qFormat/>
    <w:uiPriority w:val="0"/>
    <w:rPr>
      <w:rFonts w:ascii="Arial" w:hAnsi="Arial"/>
      <w:kern w:val="2"/>
      <w:sz w:val="21"/>
      <w:szCs w:val="21"/>
    </w:rPr>
  </w:style>
  <w:style w:type="paragraph" w:customStyle="1" w:styleId="29">
    <w:name w:val="内容正文"/>
    <w:basedOn w:val="1"/>
    <w:link w:val="28"/>
    <w:qFormat/>
    <w:uiPriority w:val="0"/>
    <w:pPr>
      <w:spacing w:beforeLines="50" w:afterLines="50"/>
    </w:pPr>
    <w:rPr>
      <w:rFonts w:ascii="Arial" w:hAnsi="Arial"/>
      <w:szCs w:val="21"/>
    </w:rPr>
  </w:style>
  <w:style w:type="paragraph" w:customStyle="1" w:styleId="30">
    <w:name w:val="_Style 1"/>
    <w:basedOn w:val="1"/>
    <w:qFormat/>
    <w:uiPriority w:val="34"/>
    <w:pPr>
      <w:spacing w:line="240" w:lineRule="auto"/>
    </w:pPr>
    <w:rPr>
      <w:rFonts w:ascii="Calibri" w:hAnsi="Calibri"/>
      <w:szCs w:val="22"/>
    </w:rPr>
  </w:style>
  <w:style w:type="character" w:customStyle="1" w:styleId="31">
    <w:name w:val="font41"/>
    <w:qFormat/>
    <w:uiPriority w:val="0"/>
    <w:rPr>
      <w:rFonts w:hint="eastAsia" w:ascii="宋体" w:hAnsi="宋体" w:eastAsia="宋体" w:cs="宋体"/>
      <w:i/>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远信科技</Company>
  <Pages>15</Pages>
  <Words>5393</Words>
  <Characters>5578</Characters>
  <Lines>44</Lines>
  <Paragraphs>12</Paragraphs>
  <TotalTime>12</TotalTime>
  <ScaleCrop>false</ScaleCrop>
  <LinksUpToDate>false</LinksUpToDate>
  <CharactersWithSpaces>5656</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2019-04-22T07:40:00Z</dcterms:created>
  <dc:creator>Administrator</dc:creator>
  <cp:lastModifiedBy>斗小花</cp:lastModifiedBy>
  <dcterms:modified xsi:type="dcterms:W3CDTF">2024-05-13T08:17:34Z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y fmtid="{D5CDD505-2E9C-101B-9397-08002B2CF9AE}" pid="3" name="ICV">
    <vt:lpwstr>3ADC7CBBAB954330B6EC2E433C0A17F6</vt:lpwstr>
  </property>
</Properties>
</file>