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widowControl/>
        <w:snapToGrid w:val="0"/>
        <w:spacing w:line="480" w:lineRule="auto"/>
        <w:ind w:firstLine="0" w:firstLineChars="0"/>
        <w:jc w:val="center"/>
        <w:rPr>
          <w:rFonts w:hint="eastAsia" w:ascii="宋体" w:hAnsi="宋体" w:eastAsia="宋体" w:cs="宋体"/>
          <w:b/>
          <w:bCs w:val="0"/>
          <w:sz w:val="52"/>
          <w:szCs w:val="52"/>
        </w:rPr>
      </w:pPr>
      <w:bookmarkStart w:id="0" w:name="_Toc371343936"/>
      <w:bookmarkStart w:id="1" w:name="_Toc371453820"/>
      <w:bookmarkStart w:id="2" w:name="_Toc339216642"/>
      <w:bookmarkStart w:id="3" w:name="_Toc244916004"/>
      <w:bookmarkStart w:id="4" w:name="_Toc371453819"/>
      <w:bookmarkStart w:id="5" w:name="_Toc274903054"/>
      <w:bookmarkStart w:id="6" w:name="_Toc323572795"/>
      <w:bookmarkStart w:id="7" w:name="_Toc371343937"/>
      <w:bookmarkStart w:id="8" w:name="_Toc339216643"/>
      <w:bookmarkStart w:id="9" w:name="_Toc274902993"/>
      <w:r>
        <w:rPr>
          <w:rFonts w:hint="eastAsia" w:ascii="宋体" w:hAnsi="宋体" w:eastAsia="宋体" w:cs="宋体"/>
          <w:b/>
          <w:bCs w:val="0"/>
          <w:sz w:val="52"/>
          <w:szCs w:val="52"/>
        </w:rPr>
        <w:t>广西电力线路器材厂</w:t>
      </w:r>
      <w:r>
        <w:rPr>
          <w:rFonts w:hint="eastAsia" w:ascii="宋体" w:hAnsi="宋体" w:eastAsia="宋体" w:cs="宋体"/>
          <w:b/>
          <w:bCs w:val="0"/>
          <w:sz w:val="52"/>
          <w:szCs w:val="52"/>
          <w:lang w:eastAsia="zh-CN"/>
        </w:rPr>
        <w:t>有限责任公司</w:t>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ascii="黑体" w:hAnsi="黑体" w:eastAsia="黑体"/>
          <w:b/>
          <w:color w:val="auto"/>
          <w:sz w:val="32"/>
          <w:szCs w:val="32"/>
          <w:highlight w:val="none"/>
        </w:rPr>
      </w:pPr>
      <w:r>
        <w:rPr>
          <w:rFonts w:hint="eastAsia" w:asciiTheme="majorEastAsia" w:hAnsiTheme="majorEastAsia" w:eastAsiaTheme="majorEastAsia" w:cstheme="majorEastAsia"/>
          <w:b/>
          <w:color w:val="auto"/>
          <w:sz w:val="44"/>
          <w:szCs w:val="44"/>
          <w:highlight w:val="none"/>
        </w:rPr>
        <w:t>管理体系认证服务项目技术规范书</w:t>
      </w: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bookmarkEnd w:id="0"/>
    <w:bookmarkEnd w:id="1"/>
    <w:bookmarkEnd w:id="2"/>
    <w:bookmarkEnd w:id="3"/>
    <w:bookmarkEnd w:id="4"/>
    <w:bookmarkEnd w:id="5"/>
    <w:bookmarkEnd w:id="6"/>
    <w:bookmarkEnd w:id="7"/>
    <w:bookmarkEnd w:id="8"/>
    <w:bookmarkEnd w:id="9"/>
    <w:p>
      <w:pPr>
        <w:ind w:firstLine="2249" w:firstLineChars="800"/>
        <w:rPr>
          <w:rFonts w:hint="eastAsia" w:ascii="宋体" w:hAnsi="宋体" w:eastAsia="宋体"/>
          <w:b/>
          <w:sz w:val="28"/>
          <w:szCs w:val="28"/>
          <w:lang w:eastAsia="zh-CN"/>
        </w:rPr>
      </w:pPr>
      <w:bookmarkStart w:id="10" w:name="_Toc369269815"/>
      <w:bookmarkStart w:id="11" w:name="_Toc372699294"/>
      <w:bookmarkStart w:id="12" w:name="_Toc371344042"/>
      <w:bookmarkStart w:id="13" w:name="_Toc371153697"/>
      <w:bookmarkStart w:id="14" w:name="_Toc399839020"/>
      <w:r>
        <w:rPr>
          <w:rFonts w:hint="eastAsia" w:ascii="宋体" w:hAnsi="宋体" w:eastAsia="宋体"/>
          <w:b/>
          <w:sz w:val="28"/>
          <w:szCs w:val="28"/>
          <w:lang w:eastAsia="zh-CN"/>
        </w:rPr>
        <w:t>广西电力线路器材厂有限责任公司</w:t>
      </w:r>
    </w:p>
    <w:p>
      <w:pPr>
        <w:ind w:firstLine="3092" w:firstLineChars="1100"/>
        <w:jc w:val="both"/>
        <w:rPr>
          <w:rFonts w:hint="eastAsia" w:ascii="宋体" w:hAnsi="宋体"/>
          <w:b/>
          <w:sz w:val="28"/>
          <w:szCs w:val="28"/>
        </w:rPr>
      </w:pPr>
      <w:r>
        <w:rPr>
          <w:rFonts w:hint="eastAsia" w:ascii="宋体" w:hAnsi="宋体"/>
          <w:b/>
          <w:sz w:val="28"/>
          <w:szCs w:val="28"/>
        </w:rPr>
        <w:t>20</w:t>
      </w:r>
      <w:r>
        <w:rPr>
          <w:rFonts w:hint="eastAsia" w:ascii="宋体" w:hAnsi="宋体"/>
          <w:b/>
          <w:sz w:val="28"/>
          <w:szCs w:val="28"/>
          <w:lang w:val="en-US" w:eastAsia="zh-CN"/>
        </w:rPr>
        <w:t>24</w:t>
      </w:r>
      <w:r>
        <w:rPr>
          <w:rFonts w:ascii="宋体" w:hAnsi="宋体"/>
          <w:b/>
          <w:sz w:val="28"/>
          <w:szCs w:val="28"/>
        </w:rPr>
        <w:t>年</w:t>
      </w:r>
      <w:r>
        <w:rPr>
          <w:rFonts w:hint="eastAsia" w:ascii="宋体" w:hAnsi="宋体"/>
          <w:b/>
          <w:sz w:val="28"/>
          <w:szCs w:val="28"/>
          <w:lang w:val="en-US" w:eastAsia="zh-CN"/>
        </w:rPr>
        <w:t>5</w:t>
      </w:r>
      <w:r>
        <w:rPr>
          <w:rFonts w:ascii="宋体" w:hAnsi="宋体"/>
          <w:b/>
          <w:sz w:val="28"/>
          <w:szCs w:val="28"/>
        </w:rPr>
        <w:t>月</w:t>
      </w:r>
      <w:r>
        <w:rPr>
          <w:rFonts w:hint="eastAsia" w:ascii="宋体" w:hAnsi="宋体"/>
          <w:b/>
          <w:sz w:val="28"/>
          <w:szCs w:val="28"/>
          <w:lang w:val="en-US" w:eastAsia="zh-CN"/>
        </w:rPr>
        <w:t>6</w:t>
      </w:r>
      <w:r>
        <w:rPr>
          <w:rFonts w:hint="eastAsia" w:ascii="宋体" w:hAnsi="宋体"/>
          <w:b/>
          <w:sz w:val="28"/>
          <w:szCs w:val="28"/>
        </w:rPr>
        <w:t>日</w:t>
      </w:r>
    </w:p>
    <w:p>
      <w:pPr>
        <w:numPr>
          <w:ilvl w:val="0"/>
          <w:numId w:val="0"/>
        </w:numPr>
        <w:adjustRightInd w:val="0"/>
        <w:snapToGrid w:val="0"/>
        <w:spacing w:line="360" w:lineRule="auto"/>
        <w:rPr>
          <w:rFonts w:hint="eastAsia" w:ascii="宋体" w:hAnsi="宋体"/>
          <w:b/>
          <w:bCs/>
          <w:color w:val="auto"/>
          <w:sz w:val="24"/>
          <w:highlight w:val="none"/>
          <w:lang w:val="en-US" w:eastAsia="zh-CN"/>
        </w:rPr>
      </w:pPr>
    </w:p>
    <w:p>
      <w:pPr>
        <w:numPr>
          <w:ilvl w:val="0"/>
          <w:numId w:val="0"/>
        </w:num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广西电力线路器材厂有限责任公司2024年管理体系认证服务零星采购项目。</w:t>
      </w:r>
    </w:p>
    <w:p>
      <w:pPr>
        <w:numPr>
          <w:ilvl w:val="0"/>
          <w:numId w:val="0"/>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2、项目概况</w:t>
      </w:r>
    </w:p>
    <w:p>
      <w:pPr>
        <w:numPr>
          <w:ilvl w:val="0"/>
          <w:numId w:val="0"/>
        </w:numPr>
        <w:adjustRightInd w:val="0"/>
        <w:snapToGrid w:val="0"/>
        <w:spacing w:line="360" w:lineRule="auto"/>
        <w:ind w:firstLine="481"/>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因广西电力线路器材厂有限责任公司ISO管理体系认证将于2024年8月1日到期，本次采购将完成管理体系初次认证审核。因ISO管理体系认证是企业规范化运作的重要标志，是公司参与招投标活动等业务的必要条件，为确保公司管理体系认证顺利通过初次认证审核，特申请采购管理体系初次认证审核服务。</w:t>
      </w:r>
    </w:p>
    <w:p>
      <w:pPr>
        <w:numPr>
          <w:ilvl w:val="0"/>
          <w:numId w:val="3"/>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rPr>
        <w:t>项目需求</w:t>
      </w:r>
      <w:r>
        <w:rPr>
          <w:rFonts w:hint="eastAsia" w:ascii="宋体" w:hAnsi="宋体"/>
          <w:b/>
          <w:bCs/>
          <w:color w:val="auto"/>
          <w:sz w:val="24"/>
          <w:highlight w:val="none"/>
          <w:lang w:val="en-US" w:eastAsia="zh-CN"/>
        </w:rPr>
        <w:t xml:space="preserve">内容    </w:t>
      </w:r>
    </w:p>
    <w:p>
      <w:pPr>
        <w:adjustRightInd w:val="0"/>
        <w:snapToGrid w:val="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（1）内容：质量管理体系认证、环境管理体系认证、职业健康管理体系认证，都带IAF、CNAS标识。</w:t>
      </w:r>
    </w:p>
    <w:p>
      <w:pPr>
        <w:adjustRightInd w:val="0"/>
        <w:snapToGrid w:val="0"/>
        <w:spacing w:line="360" w:lineRule="auto"/>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（2）覆盖范围：电力金具（锻压类、铸铁类、铝铜铝类）、500kV及以下输电线路铁塔及类似钢结构、环形混凝土电杆及混凝土盖板等类似混凝土制品的制造及相关活动和场所。</w:t>
      </w:r>
    </w:p>
    <w:p>
      <w:pPr>
        <w:adjustRightInd w:val="0"/>
        <w:snapToGrid w:val="0"/>
        <w:spacing w:line="360" w:lineRule="auto"/>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（3）公司规模：738人</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4、采购方式</w:t>
      </w:r>
    </w:p>
    <w:p>
      <w:pPr>
        <w:adjustRightInd w:val="0"/>
        <w:snapToGrid w:val="0"/>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lang w:val="en-US" w:eastAsia="zh-CN"/>
        </w:rPr>
        <w:t>零星采购</w:t>
      </w:r>
      <w:bookmarkStart w:id="15" w:name="_GoBack"/>
      <w:bookmarkEnd w:id="15"/>
    </w:p>
    <w:p>
      <w:pPr>
        <w:adjustRightInd w:val="0"/>
        <w:snapToGrid w:val="0"/>
        <w:spacing w:line="360" w:lineRule="auto"/>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5、</w:t>
      </w:r>
      <w:r>
        <w:rPr>
          <w:rFonts w:hint="eastAsia" w:ascii="宋体" w:hAnsi="宋体" w:eastAsia="宋体"/>
          <w:b/>
          <w:bCs/>
          <w:color w:val="auto"/>
          <w:sz w:val="24"/>
          <w:highlight w:val="none"/>
          <w:lang w:val="en-US" w:eastAsia="zh-CN"/>
        </w:rPr>
        <w:t>项目类别</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b w:val="0"/>
          <w:bCs w:val="0"/>
          <w:color w:val="auto"/>
          <w:sz w:val="24"/>
          <w:highlight w:val="none"/>
          <w:lang w:val="en-US" w:eastAsia="zh-CN"/>
        </w:rPr>
        <w:t>服务</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6、</w:t>
      </w:r>
      <w:r>
        <w:rPr>
          <w:rFonts w:hint="eastAsia" w:ascii="宋体" w:hAnsi="宋体"/>
          <w:b/>
          <w:bCs/>
          <w:color w:val="auto"/>
          <w:sz w:val="24"/>
          <w:highlight w:val="none"/>
        </w:rPr>
        <w:t>资质要求</w:t>
      </w:r>
    </w:p>
    <w:tbl>
      <w:tblPr>
        <w:tblStyle w:val="21"/>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有合法有效的企业法人营业执照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4.5</w:t>
            </w:r>
          </w:p>
        </w:tc>
        <w:tc>
          <w:tcPr>
            <w:tcW w:w="7229" w:type="dxa"/>
            <w:vAlign w:val="center"/>
          </w:tcPr>
          <w:p>
            <w:pPr>
              <w:ind w:left="113" w:leftChars="0"/>
              <w:rPr>
                <w:rFonts w:hint="default" w:ascii="宋体" w:hAnsi="宋体" w:eastAsia="宋体"/>
                <w:sz w:val="24"/>
                <w:highlight w:val="none"/>
                <w:lang w:val="en-US"/>
              </w:rPr>
            </w:pPr>
            <w:r>
              <w:rPr>
                <w:rFonts w:hint="eastAsia" w:ascii="宋体" w:hAnsi="宋体"/>
                <w:sz w:val="24"/>
                <w:highlight w:val="none"/>
                <w:lang w:val="en-US" w:eastAsia="zh-CN"/>
              </w:rPr>
              <w:t>认证机构批准书、认证机构认可证书等</w:t>
            </w:r>
          </w:p>
        </w:tc>
      </w:tr>
    </w:tbl>
    <w:p>
      <w:pPr>
        <w:adjustRightInd w:val="0"/>
        <w:snapToGrid w:val="0"/>
        <w:spacing w:line="360" w:lineRule="auto"/>
        <w:rPr>
          <w:rFonts w:hint="eastAsia" w:ascii="宋体" w:hAnsi="宋体"/>
          <w:b/>
          <w:bCs/>
          <w:color w:val="auto"/>
          <w:sz w:val="24"/>
          <w:highlight w:val="none"/>
          <w:lang w:val="en-US" w:eastAsia="zh-CN"/>
        </w:rPr>
      </w:pP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7、供应商需提供证明文件</w:t>
      </w:r>
    </w:p>
    <w:p>
      <w:pPr>
        <w:adjustRightInd w:val="0"/>
        <w:snapToGrid w:val="0"/>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eastAsia="宋体"/>
          <w:sz w:val="24"/>
          <w:highlight w:val="none"/>
        </w:rPr>
        <w:t>营业执照</w:t>
      </w:r>
      <w:r>
        <w:rPr>
          <w:rFonts w:hint="eastAsia" w:ascii="宋体" w:hAnsi="宋体" w:eastAsia="宋体"/>
          <w:sz w:val="24"/>
          <w:highlight w:val="none"/>
          <w:lang w:eastAsia="zh-CN"/>
        </w:rPr>
        <w:t>、</w:t>
      </w:r>
      <w:r>
        <w:rPr>
          <w:rFonts w:hint="eastAsia" w:ascii="宋体" w:hAnsi="宋体"/>
          <w:sz w:val="24"/>
          <w:highlight w:val="none"/>
          <w:lang w:val="en-US" w:eastAsia="zh-CN"/>
        </w:rPr>
        <w:t>认证机构批准书及</w:t>
      </w:r>
      <w:r>
        <w:rPr>
          <w:rFonts w:hint="eastAsia" w:ascii="宋体" w:hAnsi="宋体"/>
          <w:color w:val="auto"/>
          <w:sz w:val="24"/>
          <w:highlight w:val="none"/>
          <w:lang w:val="en-US" w:eastAsia="zh-CN"/>
        </w:rPr>
        <w:t>相关资质能力证明材料</w:t>
      </w:r>
      <w:r>
        <w:rPr>
          <w:rFonts w:hint="eastAsia" w:ascii="宋体" w:hAnsi="宋体" w:eastAsia="宋体"/>
          <w:color w:val="auto"/>
          <w:sz w:val="24"/>
          <w:highlight w:val="none"/>
          <w:lang w:val="en-US" w:eastAsia="zh-CN"/>
        </w:rPr>
        <w:t>。</w:t>
      </w:r>
    </w:p>
    <w:p>
      <w:pPr>
        <w:adjustRightInd w:val="0"/>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8、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p>
      <w:pPr>
        <w:adjustRightInd w:val="0"/>
        <w:snapToGrid w:val="0"/>
        <w:spacing w:line="360" w:lineRule="auto"/>
        <w:rPr>
          <w:rFonts w:hint="eastAsia" w:ascii="宋体" w:hAnsi="宋体"/>
          <w:b/>
          <w:bCs/>
          <w:color w:val="auto"/>
          <w:sz w:val="24"/>
          <w:highlight w:val="none"/>
        </w:rPr>
      </w:pPr>
    </w:p>
    <w:tbl>
      <w:tblPr>
        <w:tblStyle w:val="20"/>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30"/>
        <w:gridCol w:w="2723"/>
        <w:gridCol w:w="2070"/>
        <w:gridCol w:w="1088"/>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8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2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07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（元）</w:t>
            </w:r>
          </w:p>
        </w:tc>
        <w:tc>
          <w:tcPr>
            <w:tcW w:w="1159"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830" w:type="dxa"/>
            <w:tcBorders>
              <w:tl2br w:val="nil"/>
              <w:tr2bl w:val="nil"/>
            </w:tcBorders>
            <w:shd w:val="clear" w:color="auto" w:fill="auto"/>
            <w:vAlign w:val="center"/>
          </w:tcPr>
          <w:p>
            <w:pPr>
              <w:ind w:left="113" w:leftChars="0"/>
              <w:jc w:val="center"/>
              <w:rPr>
                <w:rFonts w:hint="eastAsia" w:ascii="宋体" w:hAnsi="宋体" w:eastAsia="宋体"/>
                <w:sz w:val="24"/>
                <w:highlight w:val="none"/>
              </w:rPr>
            </w:pPr>
            <w:r>
              <w:rPr>
                <w:rFonts w:hint="eastAsia" w:ascii="宋体" w:hAnsi="宋体" w:eastAsia="宋体"/>
                <w:sz w:val="24"/>
                <w:highlight w:val="none"/>
              </w:rPr>
              <w:t>1</w:t>
            </w:r>
          </w:p>
        </w:tc>
        <w:tc>
          <w:tcPr>
            <w:tcW w:w="2723"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r>
              <w:rPr>
                <w:rFonts w:hint="eastAsia" w:ascii="宋体" w:hAnsi="宋体" w:cs="宋体"/>
                <w:spacing w:val="-1"/>
                <w:sz w:val="21"/>
                <w:szCs w:val="21"/>
                <w:lang w:val="en-US" w:eastAsia="zh-CN"/>
              </w:rPr>
              <w:t>质量、环境、职业健康管理体系认证服务项目</w:t>
            </w:r>
          </w:p>
        </w:tc>
        <w:tc>
          <w:tcPr>
            <w:tcW w:w="2070" w:type="dxa"/>
            <w:tcBorders>
              <w:tl2br w:val="nil"/>
              <w:tr2bl w:val="nil"/>
            </w:tcBorders>
            <w:shd w:val="clear" w:color="auto" w:fill="auto"/>
            <w:vAlign w:val="center"/>
          </w:tcPr>
          <w:p>
            <w:pPr>
              <w:rPr>
                <w:rFonts w:hint="default" w:ascii="宋体" w:hAnsi="宋体" w:eastAsia="宋体"/>
                <w:sz w:val="24"/>
                <w:highlight w:val="none"/>
                <w:lang w:val="en-US" w:eastAsia="zh-CN"/>
              </w:rPr>
            </w:pPr>
            <w:r>
              <w:rPr>
                <w:rFonts w:hint="default"/>
                <w:vertAlign w:val="baseline"/>
                <w:lang w:val="en-US" w:eastAsia="zh-CN"/>
              </w:rPr>
              <w:t>广西宾阳县黎塘镇永安东路224-4号</w:t>
            </w:r>
          </w:p>
        </w:tc>
        <w:tc>
          <w:tcPr>
            <w:tcW w:w="1088" w:type="dxa"/>
            <w:tcBorders>
              <w:tl2br w:val="nil"/>
              <w:tr2bl w:val="nil"/>
            </w:tcBorders>
            <w:shd w:val="clear" w:color="auto" w:fill="auto"/>
            <w:vAlign w:val="center"/>
          </w:tcPr>
          <w:p>
            <w:pPr>
              <w:jc w:val="center"/>
              <w:rPr>
                <w:rFonts w:hint="default" w:ascii="宋体" w:hAnsi="宋体" w:eastAsia="宋体"/>
                <w:sz w:val="24"/>
                <w:highlight w:val="none"/>
                <w:lang w:val="en-US" w:eastAsia="zh-CN"/>
              </w:rPr>
            </w:pPr>
            <w:r>
              <w:rPr>
                <w:rFonts w:hint="eastAsia" w:ascii="宋体" w:hAnsi="宋体" w:eastAsia="宋体" w:cs="宋体"/>
                <w:sz w:val="24"/>
                <w:szCs w:val="24"/>
                <w:vertAlign w:val="baseline"/>
                <w:lang w:val="en-US" w:eastAsia="zh-CN"/>
              </w:rPr>
              <w:t>3</w:t>
            </w:r>
            <w:r>
              <w:rPr>
                <w:rFonts w:hint="eastAsia" w:ascii="宋体" w:hAnsi="宋体" w:cs="宋体"/>
                <w:sz w:val="24"/>
                <w:szCs w:val="24"/>
                <w:vertAlign w:val="baseline"/>
                <w:lang w:val="en-US" w:eastAsia="zh-CN"/>
              </w:rPr>
              <w:t>60</w:t>
            </w:r>
            <w:r>
              <w:rPr>
                <w:rFonts w:hint="eastAsia" w:ascii="宋体" w:hAnsi="宋体" w:eastAsia="宋体" w:cs="宋体"/>
                <w:sz w:val="24"/>
                <w:szCs w:val="24"/>
                <w:vertAlign w:val="baseline"/>
                <w:lang w:val="en-US" w:eastAsia="zh-CN"/>
              </w:rPr>
              <w:t>00.00</w:t>
            </w:r>
          </w:p>
        </w:tc>
        <w:tc>
          <w:tcPr>
            <w:tcW w:w="1159"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r>
              <w:rPr>
                <w:rFonts w:hint="eastAsia" w:ascii="宋体" w:hAnsi="宋体"/>
                <w:sz w:val="24"/>
                <w:highlight w:val="none"/>
                <w:lang w:val="en-US" w:eastAsia="zh-CN"/>
              </w:rPr>
              <w:t>服务期限1年</w:t>
            </w:r>
          </w:p>
        </w:tc>
      </w:tr>
      <w:bookmarkEnd w:id="10"/>
      <w:bookmarkEnd w:id="11"/>
      <w:bookmarkEnd w:id="12"/>
      <w:bookmarkEnd w:id="13"/>
      <w:bookmarkEnd w:id="14"/>
    </w:tbl>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rPr>
        <w:t>发票要求：</w:t>
      </w:r>
    </w:p>
    <w:p>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提供真实有效的1%增值税专用发票。</w:t>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10、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报价文件，报价文件包括但不限于</w:t>
      </w:r>
      <w:r>
        <w:rPr>
          <w:rFonts w:hint="eastAsia" w:ascii="宋体" w:hAnsi="宋体" w:cs="宋体"/>
          <w:color w:val="auto"/>
          <w:sz w:val="24"/>
          <w:highlight w:val="none"/>
          <w:lang w:eastAsia="zh-CN"/>
        </w:rPr>
        <w:t>：认证机构批准书</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相关资质文件（</w:t>
      </w:r>
      <w:r>
        <w:rPr>
          <w:rFonts w:hint="eastAsia" w:ascii="宋体" w:hAnsi="宋体" w:cs="宋体"/>
          <w:color w:val="auto"/>
          <w:sz w:val="24"/>
          <w:highlight w:val="none"/>
          <w:lang w:val="en-US" w:eastAsia="zh-CN"/>
        </w:rPr>
        <w:t>彩色</w:t>
      </w:r>
      <w:r>
        <w:rPr>
          <w:rFonts w:hint="eastAsia" w:ascii="宋体" w:hAnsi="宋体" w:cs="宋体"/>
          <w:color w:val="auto"/>
          <w:sz w:val="24"/>
          <w:highlight w:val="none"/>
        </w:rPr>
        <w:t>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项目名称：广西电力线路器材厂有限责任公司2024年管理体系认证服务零星采购项目</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1"/>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029"/>
        <w:gridCol w:w="308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302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3080" w:type="dxa"/>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项目总价（元）</w:t>
            </w:r>
          </w:p>
        </w:tc>
        <w:tc>
          <w:tcPr>
            <w:tcW w:w="2395" w:type="dxa"/>
            <w:vAlign w:val="center"/>
          </w:tcPr>
          <w:p>
            <w:pPr>
              <w:adjustRightInd w:val="0"/>
              <w:snapToGrid w:val="0"/>
              <w:spacing w:line="240" w:lineRule="auto"/>
              <w:jc w:val="center"/>
              <w:rPr>
                <w:rFonts w:hint="default" w:ascii="宋体" w:hAnsi="宋体" w:cs="宋体"/>
                <w:b/>
                <w:bCs/>
                <w:kern w:val="0"/>
                <w:sz w:val="20"/>
                <w:szCs w:val="21"/>
                <w:lang w:val="en-US" w:eastAsia="zh-CN"/>
              </w:rPr>
            </w:pPr>
            <w:r>
              <w:rPr>
                <w:rFonts w:hint="eastAsia" w:ascii="宋体" w:hAnsi="宋体" w:cs="宋体"/>
                <w:b/>
                <w:bCs/>
                <w:kern w:val="0"/>
                <w:sz w:val="2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spacing w:line="360" w:lineRule="auto"/>
              <w:ind w:firstLine="208" w:firstLineChars="100"/>
              <w:rPr>
                <w:rFonts w:hint="eastAsia" w:ascii="宋体" w:hAnsi="宋体" w:cs="宋体"/>
                <w:spacing w:val="-1"/>
                <w:szCs w:val="21"/>
              </w:rPr>
            </w:pPr>
            <w:r>
              <w:rPr>
                <w:rFonts w:hint="eastAsia" w:ascii="宋体" w:hAnsi="宋体" w:cs="宋体"/>
                <w:spacing w:val="-1"/>
                <w:szCs w:val="21"/>
              </w:rPr>
              <w:t>1</w:t>
            </w:r>
          </w:p>
        </w:tc>
        <w:tc>
          <w:tcPr>
            <w:tcW w:w="3029" w:type="dxa"/>
            <w:vAlign w:val="center"/>
          </w:tcPr>
          <w:p>
            <w:pPr>
              <w:numPr>
                <w:ilvl w:val="0"/>
                <w:numId w:val="0"/>
              </w:numPr>
              <w:adjustRightInd w:val="0"/>
              <w:snapToGrid w:val="0"/>
              <w:spacing w:line="360" w:lineRule="auto"/>
              <w:rPr>
                <w:rFonts w:hint="default" w:ascii="宋体" w:hAnsi="宋体" w:cs="宋体"/>
                <w:spacing w:val="-1"/>
                <w:sz w:val="21"/>
                <w:szCs w:val="21"/>
                <w:lang w:val="en-US" w:eastAsia="zh-CN"/>
              </w:rPr>
            </w:pPr>
            <w:r>
              <w:rPr>
                <w:rFonts w:hint="eastAsia" w:ascii="宋体" w:hAnsi="宋体" w:cs="宋体"/>
                <w:spacing w:val="-1"/>
                <w:sz w:val="21"/>
                <w:szCs w:val="21"/>
                <w:lang w:val="en-US" w:eastAsia="zh-CN"/>
              </w:rPr>
              <w:t>质量、环境、职业健康管理体系认证服务项目</w:t>
            </w:r>
          </w:p>
        </w:tc>
        <w:tc>
          <w:tcPr>
            <w:tcW w:w="3080" w:type="dxa"/>
            <w:vAlign w:val="center"/>
          </w:tcPr>
          <w:p>
            <w:pPr>
              <w:spacing w:line="36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 </w:t>
            </w:r>
          </w:p>
        </w:tc>
        <w:tc>
          <w:tcPr>
            <w:tcW w:w="2395" w:type="dxa"/>
            <w:vAlign w:val="center"/>
          </w:tcPr>
          <w:p>
            <w:pPr>
              <w:spacing w:line="360" w:lineRule="auto"/>
              <w:rPr>
                <w:rFonts w:hint="eastAsia" w:ascii="宋体" w:hAnsi="宋体" w:cs="宋体"/>
                <w:spacing w:val="-1"/>
                <w:szCs w:val="21"/>
                <w:lang w:val="en-US" w:eastAsia="zh-CN"/>
              </w:rPr>
            </w:pPr>
            <w:r>
              <w:rPr>
                <w:rFonts w:hint="eastAsia" w:ascii="宋体" w:hAnsi="宋体"/>
                <w:sz w:val="24"/>
                <w:highlight w:val="none"/>
                <w:lang w:val="en-US" w:eastAsia="zh-CN"/>
              </w:rPr>
              <w:t>服务期限1年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r>
              <w:rPr>
                <w:rFonts w:hint="eastAsia" w:ascii="宋体" w:hAnsi="宋体" w:eastAsia="宋体" w:cs="宋体"/>
                <w:b/>
                <w:bCs/>
                <w:kern w:val="0"/>
                <w:sz w:val="21"/>
                <w:szCs w:val="21"/>
                <w:lang w:val="en-US" w:eastAsia="zh-CN" w:bidi="ar"/>
              </w:rPr>
              <w:t>合计</w:t>
            </w:r>
          </w:p>
        </w:tc>
        <w:tc>
          <w:tcPr>
            <w:tcW w:w="6109" w:type="dxa"/>
            <w:gridSpan w:val="2"/>
            <w:vAlign w:val="center"/>
          </w:tcPr>
          <w:p>
            <w:pPr>
              <w:adjustRightInd w:val="0"/>
              <w:snapToGrid w:val="0"/>
              <w:spacing w:line="240" w:lineRule="auto"/>
              <w:jc w:val="both"/>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大写：                           小写：</w:t>
            </w:r>
          </w:p>
        </w:tc>
        <w:tc>
          <w:tcPr>
            <w:tcW w:w="2395"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numPr>
          <w:ilvl w:val="0"/>
          <w:numId w:val="4"/>
        </w:numPr>
        <w:spacing w:line="360" w:lineRule="auto"/>
        <w:ind w:firstLine="416" w:firstLineChars="200"/>
        <w:rPr>
          <w:rFonts w:hint="eastAsia" w:ascii="宋体" w:hAnsi="宋体" w:cs="宋体"/>
          <w:spacing w:val="-1"/>
          <w:szCs w:val="21"/>
          <w:lang w:val="en-US" w:eastAsia="zh-CN"/>
        </w:rPr>
      </w:pPr>
      <w:r>
        <w:rPr>
          <w:rFonts w:hint="eastAsia" w:ascii="宋体" w:hAnsi="宋体" w:cs="宋体"/>
          <w:spacing w:val="-1"/>
          <w:szCs w:val="21"/>
          <w:lang w:eastAsia="zh-CN"/>
        </w:rPr>
        <w:t>本次报价</w:t>
      </w:r>
      <w:r>
        <w:rPr>
          <w:rFonts w:hint="eastAsia" w:ascii="宋体" w:hAnsi="宋体" w:cs="宋体"/>
          <w:spacing w:val="-1"/>
          <w:szCs w:val="21"/>
          <w:lang w:val="en-US" w:eastAsia="zh-CN"/>
        </w:rPr>
        <w:t>为项目总价格，项目最高不得超过</w:t>
      </w:r>
      <w:r>
        <w:rPr>
          <w:rFonts w:hint="eastAsia" w:ascii="宋体" w:hAnsi="宋体" w:eastAsia="宋体" w:cs="宋体"/>
          <w:spacing w:val="-1"/>
          <w:szCs w:val="21"/>
          <w:lang w:val="en-US" w:eastAsia="zh-CN"/>
        </w:rPr>
        <w:t>￥3</w:t>
      </w:r>
      <w:r>
        <w:rPr>
          <w:rFonts w:hint="eastAsia" w:ascii="宋体" w:hAnsi="宋体" w:cs="宋体"/>
          <w:spacing w:val="-1"/>
          <w:szCs w:val="21"/>
          <w:lang w:val="en-US" w:eastAsia="zh-CN"/>
        </w:rPr>
        <w:t>60</w:t>
      </w:r>
      <w:r>
        <w:rPr>
          <w:rFonts w:hint="eastAsia" w:ascii="宋体" w:hAnsi="宋体" w:eastAsia="宋体" w:cs="宋体"/>
          <w:spacing w:val="-1"/>
          <w:szCs w:val="21"/>
          <w:lang w:val="en-US" w:eastAsia="zh-CN"/>
        </w:rPr>
        <w:t>00.00</w:t>
      </w:r>
      <w:r>
        <w:rPr>
          <w:rFonts w:hint="eastAsia" w:ascii="宋体" w:hAnsi="宋体" w:cs="宋体"/>
          <w:spacing w:val="-1"/>
          <w:szCs w:val="21"/>
          <w:lang w:val="en-US" w:eastAsia="zh-CN"/>
        </w:rPr>
        <w:t>元。</w:t>
      </w:r>
    </w:p>
    <w:p>
      <w:pPr>
        <w:numPr>
          <w:ilvl w:val="0"/>
          <w:numId w:val="0"/>
        </w:numPr>
        <w:spacing w:line="360" w:lineRule="auto"/>
        <w:ind w:firstLine="416" w:firstLineChars="200"/>
        <w:rPr>
          <w:rFonts w:hint="default" w:ascii="宋体" w:hAnsi="宋体" w:cs="宋体"/>
          <w:spacing w:val="-1"/>
          <w:szCs w:val="21"/>
          <w:lang w:val="en-US" w:eastAsia="zh-CN"/>
        </w:rPr>
      </w:pPr>
      <w:r>
        <w:rPr>
          <w:rFonts w:hint="eastAsia" w:ascii="宋体" w:hAnsi="宋体" w:cs="宋体"/>
          <w:spacing w:val="-1"/>
          <w:szCs w:val="21"/>
          <w:lang w:val="en-US" w:eastAsia="zh-CN"/>
        </w:rPr>
        <w:t>2、</w:t>
      </w:r>
      <w:r>
        <w:rPr>
          <w:rFonts w:hint="eastAsia" w:ascii="宋体" w:hAnsi="宋体" w:cs="宋体"/>
          <w:spacing w:val="-1"/>
          <w:szCs w:val="21"/>
        </w:rPr>
        <w:t>报价为综合报价</w:t>
      </w:r>
      <w:r>
        <w:rPr>
          <w:rFonts w:hint="eastAsia" w:ascii="宋体" w:hAnsi="宋体" w:cs="宋体"/>
          <w:spacing w:val="-1"/>
          <w:szCs w:val="21"/>
          <w:lang w:eastAsia="zh-CN"/>
        </w:rPr>
        <w:t>，</w:t>
      </w:r>
      <w:r>
        <w:rPr>
          <w:rFonts w:hint="eastAsia" w:ascii="宋体" w:hAnsi="宋体" w:cs="宋体"/>
          <w:spacing w:val="-1"/>
          <w:szCs w:val="21"/>
        </w:rPr>
        <w:t>包括</w:t>
      </w:r>
      <w:r>
        <w:rPr>
          <w:rFonts w:hint="eastAsia" w:ascii="宋体" w:hAnsi="宋体" w:cs="宋体"/>
          <w:spacing w:val="-1"/>
          <w:szCs w:val="21"/>
          <w:lang w:val="en-US" w:eastAsia="zh-CN"/>
        </w:rPr>
        <w:t>差旅费</w:t>
      </w:r>
      <w:r>
        <w:rPr>
          <w:rFonts w:hint="eastAsia" w:ascii="宋体" w:hAnsi="宋体" w:cs="宋体"/>
          <w:spacing w:val="-1"/>
          <w:szCs w:val="21"/>
        </w:rPr>
        <w:t>及</w:t>
      </w:r>
      <w:r>
        <w:rPr>
          <w:rFonts w:hint="eastAsia" w:ascii="宋体" w:hAnsi="宋体" w:cs="宋体"/>
          <w:color w:val="auto"/>
          <w:spacing w:val="-1"/>
          <w:szCs w:val="21"/>
          <w:lang w:val="en-US" w:eastAsia="zh-CN"/>
        </w:rPr>
        <w:t>1</w:t>
      </w:r>
      <w:r>
        <w:rPr>
          <w:rFonts w:hint="eastAsia" w:ascii="宋体" w:hAnsi="宋体" w:cs="宋体"/>
          <w:color w:val="auto"/>
          <w:spacing w:val="-1"/>
          <w:szCs w:val="21"/>
        </w:rPr>
        <w:t>﹪增值税费</w:t>
      </w:r>
      <w:r>
        <w:rPr>
          <w:rFonts w:hint="eastAsia" w:ascii="宋体" w:hAnsi="宋体" w:cs="宋体"/>
          <w:spacing w:val="-1"/>
          <w:szCs w:val="21"/>
        </w:rPr>
        <w:t>等。</w:t>
      </w:r>
    </w:p>
    <w:p>
      <w:pPr>
        <w:spacing w:line="360" w:lineRule="auto"/>
        <w:ind w:firstLine="416" w:firstLineChars="200"/>
        <w:rPr>
          <w:rFonts w:hint="eastAsia" w:ascii="宋体" w:hAnsi="宋体" w:cs="宋体"/>
          <w:spacing w:val="-1"/>
          <w:szCs w:val="21"/>
        </w:rPr>
      </w:pPr>
      <w:r>
        <w:rPr>
          <w:rFonts w:hint="eastAsia" w:ascii="宋体" w:hAnsi="宋体" w:cs="宋体"/>
          <w:spacing w:val="-1"/>
          <w:szCs w:val="21"/>
          <w:lang w:val="en-US" w:eastAsia="zh-CN"/>
        </w:rPr>
        <w:t>3</w:t>
      </w:r>
      <w:r>
        <w:rPr>
          <w:rFonts w:hint="eastAsia" w:ascii="宋体" w:hAnsi="宋体" w:cs="宋体"/>
          <w:spacing w:val="-1"/>
          <w:szCs w:val="21"/>
        </w:rPr>
        <w:t>、服务地址：广西宾阳县黎塘镇永安东路224-4号。</w:t>
      </w:r>
    </w:p>
    <w:p>
      <w:pPr>
        <w:spacing w:line="360" w:lineRule="auto"/>
        <w:jc w:val="center"/>
        <w:outlineLvl w:val="5"/>
        <w:rPr>
          <w:rFonts w:hint="eastAsia"/>
          <w:b/>
          <w:bCs/>
          <w:color w:val="auto"/>
          <w:spacing w:val="14"/>
          <w:kern w:val="0"/>
          <w:sz w:val="28"/>
          <w:szCs w:val="28"/>
          <w:highlight w:val="none"/>
        </w:rPr>
      </w:pP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pPr>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9F67C"/>
    <w:multiLevelType w:val="singleLevel"/>
    <w:tmpl w:val="D179F67C"/>
    <w:lvl w:ilvl="0" w:tentative="0">
      <w:start w:val="3"/>
      <w:numFmt w:val="decimal"/>
      <w:suff w:val="nothing"/>
      <w:lvlText w:val="%1、"/>
      <w:lvlJc w:val="left"/>
    </w:lvl>
  </w:abstractNum>
  <w:abstractNum w:abstractNumId="1">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3">
    <w:nsid w:val="7411180D"/>
    <w:multiLevelType w:val="singleLevel"/>
    <w:tmpl w:val="7411180D"/>
    <w:lvl w:ilvl="0" w:tentative="0">
      <w:start w:val="1"/>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20233D"/>
    <w:rsid w:val="002E5D2B"/>
    <w:rsid w:val="003008FE"/>
    <w:rsid w:val="00365916"/>
    <w:rsid w:val="003E3323"/>
    <w:rsid w:val="004913D8"/>
    <w:rsid w:val="004938A7"/>
    <w:rsid w:val="00526283"/>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361389"/>
    <w:rsid w:val="01A40F8A"/>
    <w:rsid w:val="01D36C84"/>
    <w:rsid w:val="01EB5B10"/>
    <w:rsid w:val="02176E23"/>
    <w:rsid w:val="02865938"/>
    <w:rsid w:val="02E84E1B"/>
    <w:rsid w:val="035F7C75"/>
    <w:rsid w:val="039A1E76"/>
    <w:rsid w:val="04501704"/>
    <w:rsid w:val="045E1EC9"/>
    <w:rsid w:val="046B4A83"/>
    <w:rsid w:val="04B64D4F"/>
    <w:rsid w:val="04CA6BD2"/>
    <w:rsid w:val="04F62CC6"/>
    <w:rsid w:val="059852A9"/>
    <w:rsid w:val="05B044D5"/>
    <w:rsid w:val="05B67AF4"/>
    <w:rsid w:val="05CD2719"/>
    <w:rsid w:val="05F41940"/>
    <w:rsid w:val="060804A0"/>
    <w:rsid w:val="060F4BD6"/>
    <w:rsid w:val="064A46A9"/>
    <w:rsid w:val="06910EC7"/>
    <w:rsid w:val="06AB0929"/>
    <w:rsid w:val="06E64E63"/>
    <w:rsid w:val="070A0B6B"/>
    <w:rsid w:val="07961E4E"/>
    <w:rsid w:val="079973BB"/>
    <w:rsid w:val="08387C94"/>
    <w:rsid w:val="08B379B6"/>
    <w:rsid w:val="08B46187"/>
    <w:rsid w:val="08B76F6B"/>
    <w:rsid w:val="08D01A69"/>
    <w:rsid w:val="095B0EE9"/>
    <w:rsid w:val="09B91536"/>
    <w:rsid w:val="09BD193B"/>
    <w:rsid w:val="09C01785"/>
    <w:rsid w:val="0A07485D"/>
    <w:rsid w:val="0A5033A4"/>
    <w:rsid w:val="0A5C68BB"/>
    <w:rsid w:val="0A726C5D"/>
    <w:rsid w:val="0A911DA6"/>
    <w:rsid w:val="0A9C5575"/>
    <w:rsid w:val="0AB60694"/>
    <w:rsid w:val="0B3145BB"/>
    <w:rsid w:val="0B5308D4"/>
    <w:rsid w:val="0B62608C"/>
    <w:rsid w:val="0B950165"/>
    <w:rsid w:val="0BD41778"/>
    <w:rsid w:val="0BDC2838"/>
    <w:rsid w:val="0BE466BD"/>
    <w:rsid w:val="0BF7440E"/>
    <w:rsid w:val="0C122F13"/>
    <w:rsid w:val="0C183058"/>
    <w:rsid w:val="0C513AF7"/>
    <w:rsid w:val="0C8849AD"/>
    <w:rsid w:val="0C95712B"/>
    <w:rsid w:val="0C9E193A"/>
    <w:rsid w:val="0CBD44D5"/>
    <w:rsid w:val="0CC4072B"/>
    <w:rsid w:val="0CF24637"/>
    <w:rsid w:val="0CFD0263"/>
    <w:rsid w:val="0D9D0D63"/>
    <w:rsid w:val="0DF517DA"/>
    <w:rsid w:val="0E2B54C7"/>
    <w:rsid w:val="0E7145BF"/>
    <w:rsid w:val="0E8F38EB"/>
    <w:rsid w:val="0F7B2D38"/>
    <w:rsid w:val="0FF27226"/>
    <w:rsid w:val="10090346"/>
    <w:rsid w:val="100E20E9"/>
    <w:rsid w:val="10116269"/>
    <w:rsid w:val="101428C2"/>
    <w:rsid w:val="10181260"/>
    <w:rsid w:val="108F47AF"/>
    <w:rsid w:val="109C7D56"/>
    <w:rsid w:val="11325498"/>
    <w:rsid w:val="114752DA"/>
    <w:rsid w:val="11727245"/>
    <w:rsid w:val="11797585"/>
    <w:rsid w:val="11C13F63"/>
    <w:rsid w:val="11C4398B"/>
    <w:rsid w:val="11DD40A3"/>
    <w:rsid w:val="11F41C82"/>
    <w:rsid w:val="124B085A"/>
    <w:rsid w:val="127C43FA"/>
    <w:rsid w:val="12B82CC5"/>
    <w:rsid w:val="12E542C2"/>
    <w:rsid w:val="13340E23"/>
    <w:rsid w:val="13674243"/>
    <w:rsid w:val="1376193B"/>
    <w:rsid w:val="13AF2A62"/>
    <w:rsid w:val="13F81AB2"/>
    <w:rsid w:val="140E14EE"/>
    <w:rsid w:val="14A53C48"/>
    <w:rsid w:val="14C13416"/>
    <w:rsid w:val="15031A58"/>
    <w:rsid w:val="15043F04"/>
    <w:rsid w:val="15127864"/>
    <w:rsid w:val="153E2707"/>
    <w:rsid w:val="155E747D"/>
    <w:rsid w:val="15CE0DB9"/>
    <w:rsid w:val="15FB7D19"/>
    <w:rsid w:val="161F112E"/>
    <w:rsid w:val="163D0A11"/>
    <w:rsid w:val="169F551D"/>
    <w:rsid w:val="16A076A8"/>
    <w:rsid w:val="16E17FD7"/>
    <w:rsid w:val="17087877"/>
    <w:rsid w:val="170F3531"/>
    <w:rsid w:val="17192215"/>
    <w:rsid w:val="17292A78"/>
    <w:rsid w:val="17F90724"/>
    <w:rsid w:val="181B13EA"/>
    <w:rsid w:val="18377B1D"/>
    <w:rsid w:val="187E67B4"/>
    <w:rsid w:val="188E7C69"/>
    <w:rsid w:val="18DB7358"/>
    <w:rsid w:val="18DC7149"/>
    <w:rsid w:val="18E46631"/>
    <w:rsid w:val="18E65311"/>
    <w:rsid w:val="1968469D"/>
    <w:rsid w:val="19775419"/>
    <w:rsid w:val="197E0408"/>
    <w:rsid w:val="19FA202D"/>
    <w:rsid w:val="1A1272AA"/>
    <w:rsid w:val="1AD958F4"/>
    <w:rsid w:val="1B0A4145"/>
    <w:rsid w:val="1B0C1C4C"/>
    <w:rsid w:val="1B750DBC"/>
    <w:rsid w:val="1B7A6B81"/>
    <w:rsid w:val="1C27355C"/>
    <w:rsid w:val="1C3C4358"/>
    <w:rsid w:val="1C601D9D"/>
    <w:rsid w:val="1C8D6788"/>
    <w:rsid w:val="1C954E9B"/>
    <w:rsid w:val="1C9949F3"/>
    <w:rsid w:val="1C9B0B55"/>
    <w:rsid w:val="1CE65E64"/>
    <w:rsid w:val="1CF60711"/>
    <w:rsid w:val="1D110334"/>
    <w:rsid w:val="1D113460"/>
    <w:rsid w:val="1D436A68"/>
    <w:rsid w:val="1D7651D8"/>
    <w:rsid w:val="1D792C9F"/>
    <w:rsid w:val="1E0A47EB"/>
    <w:rsid w:val="1E41056E"/>
    <w:rsid w:val="1E425E07"/>
    <w:rsid w:val="1E616B96"/>
    <w:rsid w:val="1EA91661"/>
    <w:rsid w:val="1EF814B6"/>
    <w:rsid w:val="1F5A7B28"/>
    <w:rsid w:val="1F8216D4"/>
    <w:rsid w:val="1FB61E73"/>
    <w:rsid w:val="1FC82897"/>
    <w:rsid w:val="1FEA2DF0"/>
    <w:rsid w:val="202A5DF5"/>
    <w:rsid w:val="205C6FC7"/>
    <w:rsid w:val="207A4B27"/>
    <w:rsid w:val="20C2474B"/>
    <w:rsid w:val="20DE7F97"/>
    <w:rsid w:val="2107693C"/>
    <w:rsid w:val="21086AC5"/>
    <w:rsid w:val="21164180"/>
    <w:rsid w:val="216A0157"/>
    <w:rsid w:val="21D11228"/>
    <w:rsid w:val="21D65FA3"/>
    <w:rsid w:val="21EA76D2"/>
    <w:rsid w:val="22023C4F"/>
    <w:rsid w:val="22410CA3"/>
    <w:rsid w:val="22D54E29"/>
    <w:rsid w:val="230D5F83"/>
    <w:rsid w:val="231435E3"/>
    <w:rsid w:val="23C358BC"/>
    <w:rsid w:val="2404685B"/>
    <w:rsid w:val="24147F02"/>
    <w:rsid w:val="242C1836"/>
    <w:rsid w:val="24DA55B7"/>
    <w:rsid w:val="259C5A45"/>
    <w:rsid w:val="26B143E9"/>
    <w:rsid w:val="26C64B0B"/>
    <w:rsid w:val="26CF68D5"/>
    <w:rsid w:val="26D06059"/>
    <w:rsid w:val="270D40BA"/>
    <w:rsid w:val="27981887"/>
    <w:rsid w:val="27F77F60"/>
    <w:rsid w:val="289663AC"/>
    <w:rsid w:val="291D3964"/>
    <w:rsid w:val="298B6166"/>
    <w:rsid w:val="29D439C5"/>
    <w:rsid w:val="29DE4455"/>
    <w:rsid w:val="29F6505D"/>
    <w:rsid w:val="29F71DCE"/>
    <w:rsid w:val="2A5D4013"/>
    <w:rsid w:val="2A73216B"/>
    <w:rsid w:val="2AE728D8"/>
    <w:rsid w:val="2BB6604C"/>
    <w:rsid w:val="2BE67C54"/>
    <w:rsid w:val="2BE76C7E"/>
    <w:rsid w:val="2C4634F8"/>
    <w:rsid w:val="2C8A7F2A"/>
    <w:rsid w:val="2CA351F8"/>
    <w:rsid w:val="2CDE5006"/>
    <w:rsid w:val="2CE0294C"/>
    <w:rsid w:val="2D0E4255"/>
    <w:rsid w:val="2DDB37E6"/>
    <w:rsid w:val="2E0A0EFD"/>
    <w:rsid w:val="2E5F2221"/>
    <w:rsid w:val="2E9D0FDA"/>
    <w:rsid w:val="2EB62CF8"/>
    <w:rsid w:val="2ECC1AD7"/>
    <w:rsid w:val="2F393534"/>
    <w:rsid w:val="2F3C75DF"/>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F1799F"/>
    <w:rsid w:val="323B559E"/>
    <w:rsid w:val="32AC098F"/>
    <w:rsid w:val="32D624B2"/>
    <w:rsid w:val="32FC2794"/>
    <w:rsid w:val="3327180B"/>
    <w:rsid w:val="33591408"/>
    <w:rsid w:val="338E2CB9"/>
    <w:rsid w:val="33977525"/>
    <w:rsid w:val="33AE5DBB"/>
    <w:rsid w:val="33E33E76"/>
    <w:rsid w:val="34347CB3"/>
    <w:rsid w:val="34485725"/>
    <w:rsid w:val="344C3454"/>
    <w:rsid w:val="346C1865"/>
    <w:rsid w:val="349730C3"/>
    <w:rsid w:val="34FB1B75"/>
    <w:rsid w:val="350967C7"/>
    <w:rsid w:val="35A54830"/>
    <w:rsid w:val="35E26F61"/>
    <w:rsid w:val="365259A0"/>
    <w:rsid w:val="365E4C2C"/>
    <w:rsid w:val="36A93D34"/>
    <w:rsid w:val="36BD6F3C"/>
    <w:rsid w:val="36BF4C53"/>
    <w:rsid w:val="36C4459F"/>
    <w:rsid w:val="36CA6E36"/>
    <w:rsid w:val="36CA7098"/>
    <w:rsid w:val="36CE7125"/>
    <w:rsid w:val="36DD06B5"/>
    <w:rsid w:val="37561A92"/>
    <w:rsid w:val="38107BBE"/>
    <w:rsid w:val="38180E0D"/>
    <w:rsid w:val="383A560B"/>
    <w:rsid w:val="38592D41"/>
    <w:rsid w:val="385A3B79"/>
    <w:rsid w:val="38723B01"/>
    <w:rsid w:val="38763868"/>
    <w:rsid w:val="38B17DB0"/>
    <w:rsid w:val="393307F8"/>
    <w:rsid w:val="39345BEF"/>
    <w:rsid w:val="399E5A8D"/>
    <w:rsid w:val="39FD6A6D"/>
    <w:rsid w:val="3A482167"/>
    <w:rsid w:val="3A4E0F54"/>
    <w:rsid w:val="3A6C425E"/>
    <w:rsid w:val="3A7115CF"/>
    <w:rsid w:val="3A762EA6"/>
    <w:rsid w:val="3AE871ED"/>
    <w:rsid w:val="3B166795"/>
    <w:rsid w:val="3B3A4A72"/>
    <w:rsid w:val="3B426DFA"/>
    <w:rsid w:val="3B4F1851"/>
    <w:rsid w:val="3BFC35AD"/>
    <w:rsid w:val="3C0C0FD1"/>
    <w:rsid w:val="3C0D22F1"/>
    <w:rsid w:val="3C4F3894"/>
    <w:rsid w:val="3C75750F"/>
    <w:rsid w:val="3CBF09C5"/>
    <w:rsid w:val="3CC9255C"/>
    <w:rsid w:val="3CFD0D4E"/>
    <w:rsid w:val="3CFD24F4"/>
    <w:rsid w:val="3D932ECE"/>
    <w:rsid w:val="3DF002EE"/>
    <w:rsid w:val="3DF6298B"/>
    <w:rsid w:val="3E032F55"/>
    <w:rsid w:val="3E195AFB"/>
    <w:rsid w:val="3E5A5D0F"/>
    <w:rsid w:val="3ED75761"/>
    <w:rsid w:val="3EE60069"/>
    <w:rsid w:val="3F037F80"/>
    <w:rsid w:val="3F5D7C25"/>
    <w:rsid w:val="3F6E7356"/>
    <w:rsid w:val="3F8E2D81"/>
    <w:rsid w:val="3FA920FA"/>
    <w:rsid w:val="3FBF1225"/>
    <w:rsid w:val="40711ECD"/>
    <w:rsid w:val="407E648F"/>
    <w:rsid w:val="4089046A"/>
    <w:rsid w:val="40CE4481"/>
    <w:rsid w:val="41044933"/>
    <w:rsid w:val="4115326B"/>
    <w:rsid w:val="41A951B9"/>
    <w:rsid w:val="41AA0A79"/>
    <w:rsid w:val="41B64242"/>
    <w:rsid w:val="41D930E9"/>
    <w:rsid w:val="420172F8"/>
    <w:rsid w:val="4214444F"/>
    <w:rsid w:val="42332763"/>
    <w:rsid w:val="4264419B"/>
    <w:rsid w:val="428178ED"/>
    <w:rsid w:val="429645A5"/>
    <w:rsid w:val="42EB23F3"/>
    <w:rsid w:val="43574B8F"/>
    <w:rsid w:val="43646835"/>
    <w:rsid w:val="437870ED"/>
    <w:rsid w:val="437F3C55"/>
    <w:rsid w:val="437F527F"/>
    <w:rsid w:val="43CB3B9E"/>
    <w:rsid w:val="43DB7C71"/>
    <w:rsid w:val="4412053F"/>
    <w:rsid w:val="44265C90"/>
    <w:rsid w:val="443E1922"/>
    <w:rsid w:val="445544D0"/>
    <w:rsid w:val="44741832"/>
    <w:rsid w:val="44883556"/>
    <w:rsid w:val="44942CE1"/>
    <w:rsid w:val="44ED5E27"/>
    <w:rsid w:val="45081DE6"/>
    <w:rsid w:val="453B2BB3"/>
    <w:rsid w:val="4553205D"/>
    <w:rsid w:val="4566672F"/>
    <w:rsid w:val="4597553F"/>
    <w:rsid w:val="45B96669"/>
    <w:rsid w:val="45DD6DD6"/>
    <w:rsid w:val="45E83F3B"/>
    <w:rsid w:val="467F0616"/>
    <w:rsid w:val="46B251D5"/>
    <w:rsid w:val="46D75F15"/>
    <w:rsid w:val="46DB1D55"/>
    <w:rsid w:val="47794EC5"/>
    <w:rsid w:val="47873FED"/>
    <w:rsid w:val="478A5985"/>
    <w:rsid w:val="47D5260D"/>
    <w:rsid w:val="48077665"/>
    <w:rsid w:val="484E0CAF"/>
    <w:rsid w:val="485A7764"/>
    <w:rsid w:val="48697707"/>
    <w:rsid w:val="487D34CE"/>
    <w:rsid w:val="48812C6D"/>
    <w:rsid w:val="48FA0CCE"/>
    <w:rsid w:val="497E67FC"/>
    <w:rsid w:val="49AB3619"/>
    <w:rsid w:val="49E83BBF"/>
    <w:rsid w:val="49FA4AA8"/>
    <w:rsid w:val="4A340908"/>
    <w:rsid w:val="4A646BE7"/>
    <w:rsid w:val="4A654689"/>
    <w:rsid w:val="4A8955BD"/>
    <w:rsid w:val="4AC61286"/>
    <w:rsid w:val="4AE23D9C"/>
    <w:rsid w:val="4AFB712A"/>
    <w:rsid w:val="4B3F2937"/>
    <w:rsid w:val="4B722F98"/>
    <w:rsid w:val="4B791C20"/>
    <w:rsid w:val="4BDA732C"/>
    <w:rsid w:val="4C362F61"/>
    <w:rsid w:val="4C747C00"/>
    <w:rsid w:val="4C843198"/>
    <w:rsid w:val="4CAE23D4"/>
    <w:rsid w:val="4CF16EBB"/>
    <w:rsid w:val="4CF27A3F"/>
    <w:rsid w:val="4D952847"/>
    <w:rsid w:val="4D9A6D61"/>
    <w:rsid w:val="4DA335EF"/>
    <w:rsid w:val="4DD62762"/>
    <w:rsid w:val="4E111E7F"/>
    <w:rsid w:val="4E1F0A8F"/>
    <w:rsid w:val="4E7D0D54"/>
    <w:rsid w:val="4E9B72CC"/>
    <w:rsid w:val="4EAA6760"/>
    <w:rsid w:val="4ED834AA"/>
    <w:rsid w:val="4EFE4BD1"/>
    <w:rsid w:val="4FB44EC5"/>
    <w:rsid w:val="4FC91CA8"/>
    <w:rsid w:val="4FCE0316"/>
    <w:rsid w:val="4FF36AD1"/>
    <w:rsid w:val="500F7927"/>
    <w:rsid w:val="503B6ED8"/>
    <w:rsid w:val="506E60D9"/>
    <w:rsid w:val="50A32F8F"/>
    <w:rsid w:val="50BF75C6"/>
    <w:rsid w:val="50E312B5"/>
    <w:rsid w:val="50F4209B"/>
    <w:rsid w:val="519E2D4E"/>
    <w:rsid w:val="51B306F8"/>
    <w:rsid w:val="51D17917"/>
    <w:rsid w:val="52270962"/>
    <w:rsid w:val="52910845"/>
    <w:rsid w:val="53646DCD"/>
    <w:rsid w:val="538A54C6"/>
    <w:rsid w:val="53932D81"/>
    <w:rsid w:val="539D4641"/>
    <w:rsid w:val="53A37439"/>
    <w:rsid w:val="53AB1337"/>
    <w:rsid w:val="53EF0B3B"/>
    <w:rsid w:val="54507861"/>
    <w:rsid w:val="547919F2"/>
    <w:rsid w:val="54FC1BBE"/>
    <w:rsid w:val="54FC7620"/>
    <w:rsid w:val="550E459E"/>
    <w:rsid w:val="553F47A0"/>
    <w:rsid w:val="554561C6"/>
    <w:rsid w:val="555108DF"/>
    <w:rsid w:val="55AE0DFF"/>
    <w:rsid w:val="55F857FB"/>
    <w:rsid w:val="560C77A6"/>
    <w:rsid w:val="56927883"/>
    <w:rsid w:val="569D378C"/>
    <w:rsid w:val="56AB6EAC"/>
    <w:rsid w:val="56F56768"/>
    <w:rsid w:val="571C15EB"/>
    <w:rsid w:val="575512DA"/>
    <w:rsid w:val="57A9641E"/>
    <w:rsid w:val="582553F9"/>
    <w:rsid w:val="583F4C58"/>
    <w:rsid w:val="585D55F4"/>
    <w:rsid w:val="58734628"/>
    <w:rsid w:val="58755F79"/>
    <w:rsid w:val="58FF3A11"/>
    <w:rsid w:val="59703A3B"/>
    <w:rsid w:val="59833FEA"/>
    <w:rsid w:val="598F0310"/>
    <w:rsid w:val="59B4187B"/>
    <w:rsid w:val="59FD2825"/>
    <w:rsid w:val="5A0B5058"/>
    <w:rsid w:val="5A1246F1"/>
    <w:rsid w:val="5A2D2676"/>
    <w:rsid w:val="5A881682"/>
    <w:rsid w:val="5B1F26BA"/>
    <w:rsid w:val="5B2F412D"/>
    <w:rsid w:val="5B316EB3"/>
    <w:rsid w:val="5B406DD0"/>
    <w:rsid w:val="5B4162F2"/>
    <w:rsid w:val="5B5C4B82"/>
    <w:rsid w:val="5B6B1990"/>
    <w:rsid w:val="5B6E2B3B"/>
    <w:rsid w:val="5BB746B8"/>
    <w:rsid w:val="5C270F1D"/>
    <w:rsid w:val="5C8A7D93"/>
    <w:rsid w:val="5C8F3336"/>
    <w:rsid w:val="5C927AE0"/>
    <w:rsid w:val="5CC0247A"/>
    <w:rsid w:val="5CDA582D"/>
    <w:rsid w:val="5CDE243B"/>
    <w:rsid w:val="5D337748"/>
    <w:rsid w:val="5D5D0257"/>
    <w:rsid w:val="5D754213"/>
    <w:rsid w:val="5D837E1D"/>
    <w:rsid w:val="5DAF4A90"/>
    <w:rsid w:val="5DDF1B33"/>
    <w:rsid w:val="5E102188"/>
    <w:rsid w:val="5EA6472F"/>
    <w:rsid w:val="5EBF7956"/>
    <w:rsid w:val="5EC22C27"/>
    <w:rsid w:val="5EEB46FC"/>
    <w:rsid w:val="5F041F5F"/>
    <w:rsid w:val="5F1337E9"/>
    <w:rsid w:val="5F3F4450"/>
    <w:rsid w:val="5F3F6973"/>
    <w:rsid w:val="5F4B3F83"/>
    <w:rsid w:val="5F587C84"/>
    <w:rsid w:val="5FA75912"/>
    <w:rsid w:val="5FB55714"/>
    <w:rsid w:val="5FE45DE0"/>
    <w:rsid w:val="5FE5141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31CF3"/>
    <w:rsid w:val="62FE7930"/>
    <w:rsid w:val="6315604E"/>
    <w:rsid w:val="638E7B5A"/>
    <w:rsid w:val="63B71B40"/>
    <w:rsid w:val="644A2166"/>
    <w:rsid w:val="64BE7804"/>
    <w:rsid w:val="64F54A79"/>
    <w:rsid w:val="65037CE8"/>
    <w:rsid w:val="65043BB8"/>
    <w:rsid w:val="651821A3"/>
    <w:rsid w:val="65186C66"/>
    <w:rsid w:val="651B7FB1"/>
    <w:rsid w:val="652C0601"/>
    <w:rsid w:val="652D0705"/>
    <w:rsid w:val="653257CF"/>
    <w:rsid w:val="65676159"/>
    <w:rsid w:val="65E26DFB"/>
    <w:rsid w:val="65EF3B0C"/>
    <w:rsid w:val="66511CB8"/>
    <w:rsid w:val="66740FA8"/>
    <w:rsid w:val="670B0B64"/>
    <w:rsid w:val="67522015"/>
    <w:rsid w:val="67C65F33"/>
    <w:rsid w:val="68661537"/>
    <w:rsid w:val="6877638B"/>
    <w:rsid w:val="687810E1"/>
    <w:rsid w:val="68BD7C5B"/>
    <w:rsid w:val="690B57BB"/>
    <w:rsid w:val="693718D7"/>
    <w:rsid w:val="69683C95"/>
    <w:rsid w:val="697D6879"/>
    <w:rsid w:val="69801D62"/>
    <w:rsid w:val="69AB4FCF"/>
    <w:rsid w:val="69AB7271"/>
    <w:rsid w:val="69B27FF1"/>
    <w:rsid w:val="6A5B058F"/>
    <w:rsid w:val="6AFB15BD"/>
    <w:rsid w:val="6B0C7C6D"/>
    <w:rsid w:val="6B545339"/>
    <w:rsid w:val="6B8B15B7"/>
    <w:rsid w:val="6BA04A3E"/>
    <w:rsid w:val="6BEE077B"/>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F2A656C"/>
    <w:rsid w:val="6F4D7433"/>
    <w:rsid w:val="6F6944D6"/>
    <w:rsid w:val="6F9159A1"/>
    <w:rsid w:val="6FBF340D"/>
    <w:rsid w:val="6FE95093"/>
    <w:rsid w:val="6FE96964"/>
    <w:rsid w:val="70255170"/>
    <w:rsid w:val="708764A4"/>
    <w:rsid w:val="70966945"/>
    <w:rsid w:val="70D46D82"/>
    <w:rsid w:val="711E68DF"/>
    <w:rsid w:val="71462673"/>
    <w:rsid w:val="718267C6"/>
    <w:rsid w:val="71CC0B94"/>
    <w:rsid w:val="724E3782"/>
    <w:rsid w:val="72902DA7"/>
    <w:rsid w:val="72A57890"/>
    <w:rsid w:val="72AD55AD"/>
    <w:rsid w:val="732B4F01"/>
    <w:rsid w:val="73401DD2"/>
    <w:rsid w:val="73673268"/>
    <w:rsid w:val="73B54DDE"/>
    <w:rsid w:val="74255F70"/>
    <w:rsid w:val="743F2AD2"/>
    <w:rsid w:val="7470173A"/>
    <w:rsid w:val="747651D8"/>
    <w:rsid w:val="74CB497C"/>
    <w:rsid w:val="75BD5F6C"/>
    <w:rsid w:val="75F82604"/>
    <w:rsid w:val="76301283"/>
    <w:rsid w:val="764F12F9"/>
    <w:rsid w:val="767874E3"/>
    <w:rsid w:val="768024F8"/>
    <w:rsid w:val="76D7556C"/>
    <w:rsid w:val="77187B21"/>
    <w:rsid w:val="774B1B00"/>
    <w:rsid w:val="775725A0"/>
    <w:rsid w:val="777A2A82"/>
    <w:rsid w:val="77860A01"/>
    <w:rsid w:val="78D70170"/>
    <w:rsid w:val="78FE2CC9"/>
    <w:rsid w:val="79123E17"/>
    <w:rsid w:val="791952BB"/>
    <w:rsid w:val="791C4225"/>
    <w:rsid w:val="792B04A4"/>
    <w:rsid w:val="79387F53"/>
    <w:rsid w:val="7A31432B"/>
    <w:rsid w:val="7A7D2F58"/>
    <w:rsid w:val="7A8536D8"/>
    <w:rsid w:val="7AE925C7"/>
    <w:rsid w:val="7B327A78"/>
    <w:rsid w:val="7B50712A"/>
    <w:rsid w:val="7B5534BE"/>
    <w:rsid w:val="7B721C6D"/>
    <w:rsid w:val="7C142488"/>
    <w:rsid w:val="7C2D6B7E"/>
    <w:rsid w:val="7C94167F"/>
    <w:rsid w:val="7CBD5C6B"/>
    <w:rsid w:val="7D104923"/>
    <w:rsid w:val="7D580C1E"/>
    <w:rsid w:val="7DB76D14"/>
    <w:rsid w:val="7E6D5DEA"/>
    <w:rsid w:val="7EAC0116"/>
    <w:rsid w:val="7EFB0050"/>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3"/>
    <w:unhideWhenUsed/>
    <w:qFormat/>
    <w:uiPriority w:val="99"/>
    <w:rPr>
      <w:rFonts w:ascii="宋体"/>
      <w:sz w:val="18"/>
      <w:szCs w:val="18"/>
    </w:rPr>
  </w:style>
  <w:style w:type="paragraph" w:styleId="8">
    <w:name w:val="annotation text"/>
    <w:basedOn w:val="1"/>
    <w:semiHidden/>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6"/>
    <w:qFormat/>
    <w:uiPriority w:val="99"/>
    <w:rPr>
      <w:rFonts w:ascii="宋体" w:hAnsi="Courier New" w:eastAsiaTheme="minorEastAsia" w:cstheme="minorBidi"/>
    </w:rPr>
  </w:style>
  <w:style w:type="paragraph" w:styleId="11">
    <w:name w:val="Balloon Text"/>
    <w:basedOn w:val="1"/>
    <w:link w:val="41"/>
    <w:qFormat/>
    <w:uiPriority w:val="0"/>
    <w:rPr>
      <w:rFonts w:asciiTheme="minorHAnsi" w:hAnsiTheme="minorHAnsi" w:cstheme="minorBidi"/>
      <w:sz w:val="18"/>
      <w:szCs w:val="18"/>
    </w:rPr>
  </w:style>
  <w:style w:type="paragraph" w:styleId="12">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19">
    <w:name w:val="Body Text First Indent"/>
    <w:basedOn w:val="1"/>
    <w:unhideWhenUsed/>
    <w:qFormat/>
    <w:uiPriority w:val="99"/>
    <w:pPr>
      <w:ind w:firstLine="420" w:firstLineChars="100"/>
    </w:p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0"/>
    <w:qFormat/>
    <w:uiPriority w:val="0"/>
    <w:rPr>
      <w:rFonts w:ascii="宋体" w:hAnsi="Courier New"/>
      <w:szCs w:val="24"/>
    </w:rPr>
  </w:style>
  <w:style w:type="character" w:customStyle="1" w:styleId="27">
    <w:name w:val="页脚 字符"/>
    <w:link w:val="12"/>
    <w:qFormat/>
    <w:uiPriority w:val="99"/>
    <w:rPr>
      <w:rFonts w:eastAsia="宋体"/>
      <w:sz w:val="18"/>
      <w:szCs w:val="18"/>
    </w:rPr>
  </w:style>
  <w:style w:type="character" w:customStyle="1" w:styleId="28">
    <w:name w:val="标题 字符"/>
    <w:link w:val="18"/>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3"/>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2"/>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3"/>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4"/>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1"/>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7"/>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4</TotalTime>
  <ScaleCrop>false</ScaleCrop>
  <LinksUpToDate>false</LinksUpToDate>
  <CharactersWithSpaces>2663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戴慧</cp:lastModifiedBy>
  <cp:lastPrinted>2021-04-23T02:05:00Z</cp:lastPrinted>
  <dcterms:modified xsi:type="dcterms:W3CDTF">2024-05-06T00:41:58Z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26295538217D435D9FFA98B10389123D</vt:lpwstr>
  </property>
</Properties>
</file>