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numPr>
          <w:ilvl w:val="0"/>
          <w:numId w:val="0"/>
        </w:numPr>
        <w:jc w:val="center"/>
        <w:rPr>
          <w:rFonts w:hint="eastAsia"/>
          <w:color w:val="auto"/>
          <w:highlight w:val="none"/>
          <w:lang w:val="en-US" w:eastAsia="zh-CN"/>
        </w:rPr>
      </w:pPr>
      <w:r>
        <w:rPr>
          <w:rFonts w:hint="default" w:ascii="Times New Roman" w:hAnsi="Times New Roman" w:eastAsia="宋体" w:cs="Times New Roman"/>
          <w:color w:val="auto"/>
          <w:highlight w:val="none"/>
          <w:lang w:val="en-US" w:eastAsia="zh-CN"/>
        </w:rPr>
        <w:t>2024年云南电力试验研究院（集团）有限公司检验检测事业部</w:t>
      </w:r>
      <w:r>
        <w:rPr>
          <w:rFonts w:hint="eastAsia"/>
          <w:color w:val="auto"/>
          <w:highlight w:val="none"/>
          <w:lang w:val="en-US" w:eastAsia="zh-CN"/>
        </w:rPr>
        <w:t>干式变压器</w:t>
      </w:r>
      <w:r>
        <w:rPr>
          <w:rFonts w:hint="eastAsia" w:cs="Times New Roman"/>
          <w:color w:val="auto"/>
          <w:highlight w:val="none"/>
          <w:lang w:val="en-US" w:eastAsia="zh-CN"/>
        </w:rPr>
        <w:t>零星采购（二次采购）技术规范书</w:t>
      </w:r>
      <w:bookmarkStart w:id="5" w:name="_GoBack"/>
      <w:bookmarkEnd w:id="5"/>
    </w:p>
    <w:p>
      <w:pPr>
        <w:keepNext w:val="0"/>
        <w:keepLines w:val="0"/>
        <w:pageBreakBefore w:val="0"/>
        <w:numPr>
          <w:ilvl w:val="0"/>
          <w:numId w:val="0"/>
        </w:numPr>
        <w:kinsoku/>
        <w:wordWrap/>
        <w:overflowPunct/>
        <w:topLinePunct w:val="0"/>
        <w:bidi w:val="0"/>
        <w:spacing w:line="360" w:lineRule="auto"/>
        <w:rPr>
          <w:rFonts w:hint="eastAsia" w:ascii="仿宋" w:hAnsi="仿宋" w:eastAsia="仿宋" w:cs="仿宋"/>
          <w:b/>
          <w:bCs/>
          <w:color w:val="auto"/>
          <w:sz w:val="21"/>
          <w:szCs w:val="21"/>
          <w:highlight w:val="none"/>
          <w:lang w:val="en-US" w:eastAsia="zh-CN"/>
        </w:rPr>
      </w:pPr>
      <w:bookmarkStart w:id="0" w:name="_Toc441159752"/>
      <w:bookmarkEnd w:id="0"/>
      <w:r>
        <w:rPr>
          <w:rFonts w:hint="eastAsia" w:ascii="仿宋" w:hAnsi="仿宋" w:eastAsia="仿宋" w:cs="仿宋"/>
          <w:b/>
          <w:bCs/>
          <w:color w:val="auto"/>
          <w:sz w:val="21"/>
          <w:szCs w:val="21"/>
          <w:highlight w:val="none"/>
          <w:lang w:val="en-US" w:eastAsia="zh-CN"/>
        </w:rPr>
        <w:t>一.项目概要</w:t>
      </w:r>
    </w:p>
    <w:p>
      <w:pPr>
        <w:keepNext w:val="0"/>
        <w:keepLines w:val="0"/>
        <w:pageBreakBefore w:val="0"/>
        <w:numPr>
          <w:ilvl w:val="0"/>
          <w:numId w:val="0"/>
        </w:numPr>
        <w:kinsoku/>
        <w:wordWrap/>
        <w:overflowPunct/>
        <w:topLinePunct w:val="0"/>
        <w:bidi w:val="0"/>
        <w:spacing w:line="360" w:lineRule="auto"/>
        <w:ind w:firstLine="420" w:firstLineChars="2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本技术规范书适用于云南电力试验研究院（集团）有限公司采购的10kV干式铜绕组配电变压器和电缆分支箱，投标方应按本技术规范书的要求提供全新的、合格的10kV干式铜绕组配电变压器和电缆分支箱及其附属设备、备品备件、专用工具和仪器。</w:t>
      </w:r>
    </w:p>
    <w:p>
      <w:pPr>
        <w:keepNext w:val="0"/>
        <w:keepLines w:val="0"/>
        <w:pageBreakBefore w:val="0"/>
        <w:numPr>
          <w:ilvl w:val="0"/>
          <w:numId w:val="0"/>
        </w:numPr>
        <w:kinsoku/>
        <w:wordWrap/>
        <w:overflowPunct/>
        <w:topLinePunct w:val="0"/>
        <w:bidi w:val="0"/>
        <w:spacing w:line="360" w:lineRule="auto"/>
        <w:ind w:firstLine="420" w:firstLineChars="2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投标方应对质量向招标方负责，并提供相应型式试验和出厂试验报告。</w:t>
      </w:r>
    </w:p>
    <w:p>
      <w:pPr>
        <w:keepNext w:val="0"/>
        <w:keepLines w:val="0"/>
        <w:pageBreakBefore w:val="0"/>
        <w:numPr>
          <w:ilvl w:val="0"/>
          <w:numId w:val="0"/>
        </w:numPr>
        <w:kinsoku/>
        <w:wordWrap/>
        <w:overflowPunct/>
        <w:topLinePunct w:val="0"/>
        <w:bidi w:val="0"/>
        <w:spacing w:line="360" w:lineRule="auto"/>
        <w:ind w:firstLine="420" w:firstLineChars="2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投标方所提供的要能够通过招标方依据有关国家标准和行业标准规定的项目、方法进行的试验，并且能确保各项试验结果应符合本及时规范书的相关要求。如不能通过招标方的试验，投标方赔付招标方所有损失并承担所有责任。</w:t>
      </w:r>
    </w:p>
    <w:p>
      <w:pPr>
        <w:keepNext w:val="0"/>
        <w:keepLines w:val="0"/>
        <w:pageBreakBefore w:val="0"/>
        <w:numPr>
          <w:ilvl w:val="0"/>
          <w:numId w:val="0"/>
        </w:numPr>
        <w:kinsoku/>
        <w:wordWrap/>
        <w:overflowPunct/>
        <w:topLinePunct w:val="0"/>
        <w:bidi w:val="0"/>
        <w:spacing w:line="36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二.项目范围</w:t>
      </w:r>
    </w:p>
    <w:p>
      <w:pPr>
        <w:keepNext w:val="0"/>
        <w:keepLines w:val="0"/>
        <w:pageBreakBefore w:val="0"/>
        <w:numPr>
          <w:ilvl w:val="0"/>
          <w:numId w:val="0"/>
        </w:numPr>
        <w:kinsoku/>
        <w:wordWrap/>
        <w:overflowPunct/>
        <w:topLinePunct w:val="0"/>
        <w:bidi w:val="0"/>
        <w:spacing w:line="360" w:lineRule="auto"/>
        <w:ind w:firstLine="630" w:firstLineChars="3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10kV三相干式变压器1台；</w:t>
      </w:r>
    </w:p>
    <w:p>
      <w:pPr>
        <w:keepNext w:val="0"/>
        <w:keepLines w:val="0"/>
        <w:pageBreakBefore w:val="0"/>
        <w:numPr>
          <w:ilvl w:val="0"/>
          <w:numId w:val="0"/>
        </w:numPr>
        <w:kinsoku/>
        <w:wordWrap/>
        <w:overflowPunct/>
        <w:topLinePunct w:val="0"/>
        <w:bidi w:val="0"/>
        <w:spacing w:line="360" w:lineRule="auto"/>
        <w:ind w:firstLine="630" w:firstLineChars="3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电缆分接箱1台。</w:t>
      </w:r>
    </w:p>
    <w:p>
      <w:pPr>
        <w:keepNext w:val="0"/>
        <w:keepLines w:val="0"/>
        <w:pageBreakBefore w:val="0"/>
        <w:numPr>
          <w:ilvl w:val="0"/>
          <w:numId w:val="0"/>
        </w:numPr>
        <w:kinsoku/>
        <w:wordWrap/>
        <w:overflowPunct/>
        <w:topLinePunct w:val="0"/>
        <w:bidi w:val="0"/>
        <w:spacing w:line="36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三.项目技术要求</w:t>
      </w:r>
    </w:p>
    <w:p>
      <w:pPr>
        <w:pStyle w:val="10"/>
        <w:keepNext w:val="0"/>
        <w:keepLines w:val="0"/>
        <w:pageBreakBefore w:val="0"/>
        <w:kinsoku/>
        <w:wordWrap/>
        <w:overflowPunct/>
        <w:topLinePunct w:val="0"/>
        <w:bidi w:val="0"/>
        <w:spacing w:line="360" w:lineRule="auto"/>
        <w:ind w:left="0" w:leftChars="0" w:firstLine="0" w:firstLineChars="0"/>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3.1项目技术要求（技术参数）</w:t>
      </w:r>
    </w:p>
    <w:p>
      <w:pPr>
        <w:jc w:val="center"/>
        <w:rPr>
          <w:rFonts w:hint="eastAsia" w:ascii="仿宋" w:hAnsi="仿宋" w:eastAsia="仿宋" w:cs="仿宋"/>
          <w:color w:val="auto"/>
          <w:sz w:val="18"/>
          <w:szCs w:val="21"/>
          <w:highlight w:val="none"/>
        </w:rPr>
      </w:pPr>
      <w:r>
        <w:rPr>
          <w:rFonts w:hint="eastAsia" w:ascii="仿宋" w:hAnsi="仿宋" w:eastAsia="仿宋" w:cs="仿宋"/>
          <w:color w:val="auto"/>
          <w:sz w:val="18"/>
          <w:szCs w:val="21"/>
          <w:highlight w:val="none"/>
          <w:lang w:val="en-US" w:eastAsia="zh-CN"/>
        </w:rPr>
        <w:t>变压器</w:t>
      </w:r>
      <w:r>
        <w:rPr>
          <w:rFonts w:hint="eastAsia" w:ascii="仿宋" w:hAnsi="仿宋" w:eastAsia="仿宋" w:cs="仿宋"/>
          <w:color w:val="auto"/>
          <w:sz w:val="18"/>
          <w:szCs w:val="21"/>
          <w:highlight w:val="none"/>
        </w:rPr>
        <w:t>技术参数表</w:t>
      </w:r>
    </w:p>
    <w:tbl>
      <w:tblPr>
        <w:tblStyle w:val="12"/>
        <w:tblW w:w="8377"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442"/>
        <w:gridCol w:w="1840"/>
        <w:gridCol w:w="1377"/>
        <w:gridCol w:w="1587"/>
        <w:gridCol w:w="1185"/>
        <w:gridCol w:w="976"/>
        <w:gridCol w:w="970"/>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63" w:hRule="atLeast"/>
          <w:tblHeader/>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b/>
                <w:color w:val="auto"/>
                <w:kern w:val="0"/>
                <w:sz w:val="18"/>
                <w:szCs w:val="18"/>
                <w:highlight w:val="none"/>
              </w:rPr>
              <w:t>序号</w:t>
            </w:r>
          </w:p>
        </w:tc>
        <w:tc>
          <w:tcPr>
            <w:tcW w:w="184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b/>
                <w:color w:val="auto"/>
                <w:kern w:val="0"/>
                <w:sz w:val="18"/>
                <w:szCs w:val="18"/>
                <w:highlight w:val="none"/>
              </w:rPr>
              <w:t>参数类型</w:t>
            </w:r>
          </w:p>
        </w:tc>
        <w:tc>
          <w:tcPr>
            <w:tcW w:w="1377"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b/>
                <w:color w:val="auto"/>
                <w:kern w:val="0"/>
                <w:sz w:val="18"/>
                <w:szCs w:val="18"/>
                <w:highlight w:val="none"/>
              </w:rPr>
              <w:t>标准参数值</w:t>
            </w:r>
          </w:p>
        </w:tc>
        <w:tc>
          <w:tcPr>
            <w:tcW w:w="1587" w:type="dxa"/>
            <w:tcBorders>
              <w:tl2br w:val="nil"/>
              <w:tr2bl w:val="nil"/>
            </w:tcBorders>
            <w:vAlign w:val="center"/>
          </w:tcPr>
          <w:p>
            <w:pPr>
              <w:widowControl/>
              <w:ind w:left="-101" w:leftChars="-48" w:right="-134" w:rightChars="-64"/>
              <w:jc w:val="center"/>
              <w:rPr>
                <w:rFonts w:hint="eastAsia" w:ascii="仿宋" w:hAnsi="仿宋" w:eastAsia="仿宋" w:cs="仿宋"/>
                <w:color w:val="auto"/>
                <w:kern w:val="0"/>
                <w:sz w:val="18"/>
                <w:szCs w:val="18"/>
                <w:highlight w:val="none"/>
              </w:rPr>
            </w:pPr>
            <w:r>
              <w:rPr>
                <w:rFonts w:hint="eastAsia" w:ascii="仿宋" w:hAnsi="仿宋" w:eastAsia="仿宋" w:cs="仿宋"/>
                <w:b/>
                <w:color w:val="auto"/>
                <w:kern w:val="0"/>
                <w:sz w:val="18"/>
                <w:szCs w:val="18"/>
                <w:highlight w:val="none"/>
              </w:rPr>
              <w:t>标准值特性</w:t>
            </w:r>
          </w:p>
        </w:tc>
        <w:tc>
          <w:tcPr>
            <w:tcW w:w="1185" w:type="dxa"/>
            <w:tcBorders>
              <w:tl2br w:val="nil"/>
              <w:tr2bl w:val="nil"/>
            </w:tcBorders>
            <w:vAlign w:val="center"/>
          </w:tcPr>
          <w:p>
            <w:pPr>
              <w:widowControl/>
              <w:ind w:left="-80" w:leftChars="-38" w:right="-103" w:rightChars="-49"/>
              <w:jc w:val="center"/>
              <w:rPr>
                <w:rFonts w:hint="eastAsia" w:ascii="仿宋" w:hAnsi="仿宋" w:eastAsia="仿宋" w:cs="仿宋"/>
                <w:color w:val="auto"/>
                <w:kern w:val="0"/>
                <w:sz w:val="18"/>
                <w:szCs w:val="18"/>
                <w:highlight w:val="none"/>
              </w:rPr>
            </w:pPr>
            <w:r>
              <w:rPr>
                <w:rFonts w:hint="eastAsia" w:ascii="仿宋" w:hAnsi="仿宋" w:eastAsia="仿宋" w:cs="仿宋"/>
                <w:b/>
                <w:color w:val="auto"/>
                <w:kern w:val="0"/>
                <w:sz w:val="18"/>
                <w:szCs w:val="18"/>
                <w:highlight w:val="none"/>
              </w:rPr>
              <w:t>项目单位要求值</w:t>
            </w:r>
          </w:p>
        </w:tc>
        <w:tc>
          <w:tcPr>
            <w:tcW w:w="976"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b/>
                <w:color w:val="auto"/>
                <w:kern w:val="0"/>
                <w:sz w:val="18"/>
                <w:szCs w:val="18"/>
                <w:highlight w:val="none"/>
              </w:rPr>
              <w:t>投标人响应值</w:t>
            </w:r>
          </w:p>
        </w:tc>
        <w:tc>
          <w:tcPr>
            <w:tcW w:w="970" w:type="dxa"/>
            <w:tcBorders>
              <w:tl2br w:val="nil"/>
              <w:tr2bl w:val="nil"/>
            </w:tcBorders>
            <w:vAlign w:val="center"/>
          </w:tcPr>
          <w:p>
            <w:pPr>
              <w:widowControl/>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证明材料</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87"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1</w:t>
            </w:r>
          </w:p>
        </w:tc>
        <w:tc>
          <w:tcPr>
            <w:tcW w:w="184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型号</w:t>
            </w:r>
          </w:p>
        </w:tc>
        <w:tc>
          <w:tcPr>
            <w:tcW w:w="1377"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sz w:val="18"/>
                <w:szCs w:val="21"/>
                <w:highlight w:val="none"/>
              </w:rPr>
              <w:t>S</w:t>
            </w:r>
            <w:r>
              <w:rPr>
                <w:rFonts w:hint="eastAsia" w:ascii="仿宋" w:hAnsi="仿宋" w:eastAsia="仿宋" w:cs="仿宋"/>
                <w:color w:val="auto"/>
                <w:sz w:val="18"/>
                <w:szCs w:val="21"/>
                <w:highlight w:val="none"/>
                <w:lang w:val="en-US" w:eastAsia="zh-CN"/>
              </w:rPr>
              <w:t>14型</w:t>
            </w:r>
          </w:p>
        </w:tc>
        <w:tc>
          <w:tcPr>
            <w:tcW w:w="1587"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eastAsia="zh-CN"/>
              </w:rPr>
            </w:pPr>
            <w:r>
              <w:rPr>
                <w:rFonts w:hint="eastAsia" w:ascii="仿宋" w:hAnsi="仿宋" w:eastAsia="仿宋" w:cs="仿宋"/>
                <w:color w:val="auto"/>
                <w:kern w:val="0"/>
                <w:sz w:val="18"/>
                <w:szCs w:val="18"/>
                <w:highlight w:val="none"/>
                <w:lang w:eastAsia="zh-CN"/>
              </w:rPr>
              <w:t>单一</w:t>
            </w:r>
          </w:p>
        </w:tc>
        <w:tc>
          <w:tcPr>
            <w:tcW w:w="1185"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w:t>
            </w:r>
          </w:p>
        </w:tc>
        <w:tc>
          <w:tcPr>
            <w:tcW w:w="976"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eastAsia="zh-CN"/>
              </w:rPr>
            </w:pPr>
            <w:r>
              <w:rPr>
                <w:rFonts w:hint="eastAsia" w:ascii="仿宋" w:hAnsi="仿宋" w:eastAsia="仿宋" w:cs="仿宋"/>
                <w:color w:val="auto"/>
                <w:kern w:val="0"/>
                <w:sz w:val="18"/>
                <w:szCs w:val="18"/>
                <w:highlight w:val="none"/>
                <w:lang w:val="en-US" w:eastAsia="zh-CN"/>
              </w:rPr>
              <w:t>/</w:t>
            </w:r>
          </w:p>
        </w:tc>
        <w:tc>
          <w:tcPr>
            <w:tcW w:w="97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84"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2</w:t>
            </w:r>
          </w:p>
        </w:tc>
        <w:tc>
          <w:tcPr>
            <w:tcW w:w="184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额定电压(kV)</w:t>
            </w:r>
          </w:p>
        </w:tc>
        <w:tc>
          <w:tcPr>
            <w:tcW w:w="1377"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 / 0.4</w:t>
            </w:r>
          </w:p>
        </w:tc>
        <w:tc>
          <w:tcPr>
            <w:tcW w:w="1587"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可选</w:t>
            </w:r>
          </w:p>
        </w:tc>
        <w:tc>
          <w:tcPr>
            <w:tcW w:w="1185"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项目单位选择(枚举型)</w:t>
            </w:r>
          </w:p>
        </w:tc>
        <w:tc>
          <w:tcPr>
            <w:tcW w:w="976"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w:t>
            </w:r>
          </w:p>
        </w:tc>
        <w:tc>
          <w:tcPr>
            <w:tcW w:w="97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87"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3</w:t>
            </w:r>
          </w:p>
        </w:tc>
        <w:tc>
          <w:tcPr>
            <w:tcW w:w="184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相数</w:t>
            </w:r>
          </w:p>
        </w:tc>
        <w:tc>
          <w:tcPr>
            <w:tcW w:w="1377"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eastAsia="zh-CN"/>
              </w:rPr>
            </w:pPr>
            <w:r>
              <w:rPr>
                <w:rFonts w:hint="eastAsia" w:ascii="仿宋" w:hAnsi="仿宋" w:eastAsia="仿宋" w:cs="仿宋"/>
                <w:color w:val="auto"/>
                <w:kern w:val="0"/>
                <w:sz w:val="18"/>
                <w:szCs w:val="18"/>
                <w:highlight w:val="none"/>
              </w:rPr>
              <w:t>三相</w:t>
            </w:r>
          </w:p>
        </w:tc>
        <w:tc>
          <w:tcPr>
            <w:tcW w:w="1587"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eastAsia="zh-CN"/>
              </w:rPr>
            </w:pPr>
            <w:r>
              <w:rPr>
                <w:rFonts w:hint="eastAsia" w:ascii="仿宋" w:hAnsi="仿宋" w:eastAsia="仿宋" w:cs="仿宋"/>
                <w:color w:val="auto"/>
                <w:kern w:val="0"/>
                <w:sz w:val="18"/>
                <w:szCs w:val="18"/>
                <w:highlight w:val="none"/>
                <w:lang w:eastAsia="zh-CN"/>
              </w:rPr>
              <w:t>可选</w:t>
            </w:r>
          </w:p>
        </w:tc>
        <w:tc>
          <w:tcPr>
            <w:tcW w:w="1185"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w:t>
            </w:r>
          </w:p>
        </w:tc>
        <w:tc>
          <w:tcPr>
            <w:tcW w:w="976"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w:t>
            </w:r>
          </w:p>
        </w:tc>
        <w:tc>
          <w:tcPr>
            <w:tcW w:w="97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1306"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lang w:val="en-US" w:eastAsia="zh-CN"/>
              </w:rPr>
              <w:t>4</w:t>
            </w:r>
          </w:p>
        </w:tc>
        <w:tc>
          <w:tcPr>
            <w:tcW w:w="184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绝缘系统耐热等级</w:t>
            </w:r>
          </w:p>
        </w:tc>
        <w:tc>
          <w:tcPr>
            <w:tcW w:w="1377"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Cs w:val="21"/>
                <w:highlight w:val="none"/>
              </w:rPr>
              <w:t>≥</w:t>
            </w:r>
            <w:r>
              <w:rPr>
                <w:rFonts w:hint="eastAsia" w:ascii="仿宋" w:hAnsi="仿宋" w:eastAsia="仿宋" w:cs="仿宋"/>
                <w:color w:val="auto"/>
                <w:kern w:val="0"/>
                <w:sz w:val="18"/>
                <w:szCs w:val="18"/>
                <w:highlight w:val="none"/>
                <w:lang w:val="en-US" w:eastAsia="zh-CN"/>
              </w:rPr>
              <w:t>F</w:t>
            </w:r>
            <w:r>
              <w:rPr>
                <w:rFonts w:hint="eastAsia" w:ascii="仿宋" w:hAnsi="仿宋" w:eastAsia="仿宋" w:cs="仿宋"/>
                <w:color w:val="auto"/>
                <w:kern w:val="0"/>
                <w:sz w:val="18"/>
                <w:szCs w:val="18"/>
                <w:highlight w:val="none"/>
              </w:rPr>
              <w:t>级</w:t>
            </w:r>
          </w:p>
        </w:tc>
        <w:tc>
          <w:tcPr>
            <w:tcW w:w="1587"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投标人响应</w:t>
            </w:r>
          </w:p>
        </w:tc>
        <w:tc>
          <w:tcPr>
            <w:tcW w:w="1185" w:type="dxa"/>
            <w:tcBorders>
              <w:tl2br w:val="nil"/>
              <w:tr2bl w:val="nil"/>
            </w:tcBorders>
            <w:vAlign w:val="center"/>
          </w:tcPr>
          <w:p>
            <w:pPr>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Cs w:val="21"/>
                <w:highlight w:val="none"/>
              </w:rPr>
              <w:t>/</w:t>
            </w:r>
          </w:p>
        </w:tc>
        <w:tc>
          <w:tcPr>
            <w:tcW w:w="976" w:type="dxa"/>
            <w:tcBorders>
              <w:tl2br w:val="nil"/>
              <w:tr2bl w:val="nil"/>
            </w:tcBorders>
            <w:vAlign w:val="center"/>
          </w:tcPr>
          <w:p>
            <w:pPr>
              <w:jc w:val="center"/>
              <w:rPr>
                <w:rFonts w:hint="eastAsia" w:ascii="仿宋" w:hAnsi="仿宋" w:eastAsia="仿宋" w:cs="仿宋"/>
                <w:color w:val="auto"/>
                <w:kern w:val="0"/>
                <w:sz w:val="18"/>
                <w:szCs w:val="18"/>
                <w:highlight w:val="none"/>
              </w:rPr>
            </w:pPr>
            <w:r>
              <w:rPr>
                <w:rFonts w:hint="eastAsia" w:ascii="仿宋" w:hAnsi="仿宋" w:eastAsia="仿宋" w:cs="仿宋"/>
                <w:bCs/>
                <w:color w:val="auto"/>
                <w:kern w:val="0"/>
                <w:sz w:val="18"/>
                <w:szCs w:val="18"/>
                <w:highlight w:val="none"/>
              </w:rPr>
              <w:t>投标人填写（文本型）</w:t>
            </w:r>
          </w:p>
        </w:tc>
        <w:tc>
          <w:tcPr>
            <w:tcW w:w="97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87"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5</w:t>
            </w:r>
          </w:p>
        </w:tc>
        <w:tc>
          <w:tcPr>
            <w:tcW w:w="184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绕组材质</w:t>
            </w:r>
          </w:p>
        </w:tc>
        <w:tc>
          <w:tcPr>
            <w:tcW w:w="1377"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铜</w:t>
            </w:r>
          </w:p>
        </w:tc>
        <w:tc>
          <w:tcPr>
            <w:tcW w:w="1587"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单一</w:t>
            </w:r>
          </w:p>
        </w:tc>
        <w:tc>
          <w:tcPr>
            <w:tcW w:w="1185"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w:t>
            </w:r>
          </w:p>
        </w:tc>
        <w:tc>
          <w:tcPr>
            <w:tcW w:w="976"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w:t>
            </w:r>
          </w:p>
        </w:tc>
        <w:tc>
          <w:tcPr>
            <w:tcW w:w="97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84"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6</w:t>
            </w:r>
          </w:p>
        </w:tc>
        <w:tc>
          <w:tcPr>
            <w:tcW w:w="184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铁心结构</w:t>
            </w:r>
          </w:p>
        </w:tc>
        <w:tc>
          <w:tcPr>
            <w:tcW w:w="1377"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叠铁心</w:t>
            </w:r>
          </w:p>
        </w:tc>
        <w:tc>
          <w:tcPr>
            <w:tcW w:w="1587"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可选</w:t>
            </w:r>
          </w:p>
        </w:tc>
        <w:tc>
          <w:tcPr>
            <w:tcW w:w="1185"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项目单位选择(枚举型)</w:t>
            </w:r>
          </w:p>
        </w:tc>
        <w:tc>
          <w:tcPr>
            <w:tcW w:w="976"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w:t>
            </w:r>
          </w:p>
        </w:tc>
        <w:tc>
          <w:tcPr>
            <w:tcW w:w="97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306"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7</w:t>
            </w:r>
          </w:p>
        </w:tc>
        <w:tc>
          <w:tcPr>
            <w:tcW w:w="184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铜线（箔）电阻率(Ω.mm</w:t>
            </w:r>
            <w:r>
              <w:rPr>
                <w:rFonts w:hint="eastAsia" w:ascii="仿宋" w:hAnsi="仿宋" w:eastAsia="仿宋" w:cs="仿宋"/>
                <w:color w:val="auto"/>
                <w:kern w:val="0"/>
                <w:sz w:val="18"/>
                <w:szCs w:val="18"/>
                <w:highlight w:val="none"/>
                <w:vertAlign w:val="superscript"/>
              </w:rPr>
              <w:t>2</w:t>
            </w:r>
            <w:r>
              <w:rPr>
                <w:rFonts w:hint="eastAsia" w:ascii="仿宋" w:hAnsi="仿宋" w:eastAsia="仿宋" w:cs="仿宋"/>
                <w:color w:val="auto"/>
                <w:kern w:val="0"/>
                <w:sz w:val="18"/>
                <w:szCs w:val="18"/>
                <w:highlight w:val="none"/>
              </w:rPr>
              <w:t>/m,20℃）</w:t>
            </w:r>
          </w:p>
        </w:tc>
        <w:tc>
          <w:tcPr>
            <w:tcW w:w="1377"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≤0.017241</w:t>
            </w:r>
          </w:p>
        </w:tc>
        <w:tc>
          <w:tcPr>
            <w:tcW w:w="1587"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投标人响应</w:t>
            </w:r>
          </w:p>
        </w:tc>
        <w:tc>
          <w:tcPr>
            <w:tcW w:w="1185"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w:t>
            </w:r>
          </w:p>
        </w:tc>
        <w:tc>
          <w:tcPr>
            <w:tcW w:w="976"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投标人填写(数值型)</w:t>
            </w:r>
          </w:p>
        </w:tc>
        <w:tc>
          <w:tcPr>
            <w:tcW w:w="97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检测报告</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gridAfter w:val="6"/>
          <w:wAfter w:w="7935" w:type="dxa"/>
          <w:trHeight w:val="487"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8</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306"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lang w:val="en-US" w:eastAsia="zh-CN"/>
              </w:rPr>
              <w:t>8</w:t>
            </w:r>
            <w:r>
              <w:rPr>
                <w:rFonts w:hint="eastAsia" w:ascii="仿宋" w:hAnsi="仿宋" w:eastAsia="仿宋" w:cs="仿宋"/>
                <w:color w:val="auto"/>
                <w:kern w:val="0"/>
                <w:sz w:val="18"/>
                <w:szCs w:val="18"/>
                <w:highlight w:val="none"/>
              </w:rPr>
              <w:t>.1</w:t>
            </w:r>
          </w:p>
        </w:tc>
        <w:tc>
          <w:tcPr>
            <w:tcW w:w="184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比总损耗（W/kg）</w:t>
            </w:r>
          </w:p>
        </w:tc>
        <w:tc>
          <w:tcPr>
            <w:tcW w:w="1377"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rPr>
              <w:t>≤</w:t>
            </w:r>
            <w:r>
              <w:rPr>
                <w:rFonts w:hint="eastAsia" w:ascii="仿宋" w:hAnsi="仿宋" w:eastAsia="仿宋" w:cs="仿宋"/>
                <w:color w:val="auto"/>
                <w:kern w:val="0"/>
                <w:sz w:val="18"/>
                <w:szCs w:val="18"/>
                <w:highlight w:val="none"/>
                <w:lang w:val="en-US" w:eastAsia="zh-CN"/>
              </w:rPr>
              <w:t>0.85</w:t>
            </w:r>
          </w:p>
        </w:tc>
        <w:tc>
          <w:tcPr>
            <w:tcW w:w="1587"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投标人响应</w:t>
            </w:r>
          </w:p>
        </w:tc>
        <w:tc>
          <w:tcPr>
            <w:tcW w:w="1185"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w:t>
            </w:r>
          </w:p>
        </w:tc>
        <w:tc>
          <w:tcPr>
            <w:tcW w:w="976"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投标人填写（数值型）</w:t>
            </w:r>
          </w:p>
        </w:tc>
        <w:tc>
          <w:tcPr>
            <w:tcW w:w="97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检测报告</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1306"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lang w:val="en-US" w:eastAsia="zh-CN"/>
              </w:rPr>
              <w:t>8</w:t>
            </w:r>
            <w:r>
              <w:rPr>
                <w:rFonts w:hint="eastAsia" w:ascii="仿宋" w:hAnsi="仿宋" w:eastAsia="仿宋" w:cs="仿宋"/>
                <w:color w:val="auto"/>
                <w:kern w:val="0"/>
                <w:sz w:val="18"/>
                <w:szCs w:val="18"/>
                <w:highlight w:val="none"/>
              </w:rPr>
              <w:t>.2</w:t>
            </w:r>
          </w:p>
        </w:tc>
        <w:tc>
          <w:tcPr>
            <w:tcW w:w="184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磁极化强度（T，H=800A/m）</w:t>
            </w:r>
          </w:p>
        </w:tc>
        <w:tc>
          <w:tcPr>
            <w:tcW w:w="1377"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≥1.88</w:t>
            </w:r>
          </w:p>
        </w:tc>
        <w:tc>
          <w:tcPr>
            <w:tcW w:w="1587"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投标人响应</w:t>
            </w:r>
          </w:p>
        </w:tc>
        <w:tc>
          <w:tcPr>
            <w:tcW w:w="1185"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w:t>
            </w:r>
          </w:p>
        </w:tc>
        <w:tc>
          <w:tcPr>
            <w:tcW w:w="976"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投标人填写（数值型）</w:t>
            </w:r>
          </w:p>
        </w:tc>
        <w:tc>
          <w:tcPr>
            <w:tcW w:w="97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检测报告</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306"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lang w:val="en-US" w:eastAsia="zh-CN"/>
              </w:rPr>
              <w:t>8</w:t>
            </w:r>
            <w:r>
              <w:rPr>
                <w:rFonts w:hint="eastAsia" w:ascii="仿宋" w:hAnsi="仿宋" w:eastAsia="仿宋" w:cs="仿宋"/>
                <w:color w:val="auto"/>
                <w:kern w:val="0"/>
                <w:sz w:val="18"/>
                <w:szCs w:val="18"/>
                <w:highlight w:val="none"/>
              </w:rPr>
              <w:t>.3</w:t>
            </w:r>
          </w:p>
        </w:tc>
        <w:tc>
          <w:tcPr>
            <w:tcW w:w="184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公称厚度（mm）</w:t>
            </w:r>
          </w:p>
        </w:tc>
        <w:tc>
          <w:tcPr>
            <w:tcW w:w="1377"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eastAsia="zh-CN"/>
              </w:rPr>
            </w:pPr>
            <w:r>
              <w:rPr>
                <w:rFonts w:hint="eastAsia" w:ascii="仿宋" w:hAnsi="仿宋" w:eastAsia="仿宋" w:cs="仿宋"/>
                <w:color w:val="auto"/>
                <w:kern w:val="0"/>
                <w:sz w:val="18"/>
                <w:szCs w:val="18"/>
                <w:highlight w:val="none"/>
              </w:rPr>
              <w:t>≤0.2</w:t>
            </w:r>
            <w:r>
              <w:rPr>
                <w:rFonts w:hint="eastAsia" w:ascii="仿宋" w:hAnsi="仿宋" w:eastAsia="仿宋" w:cs="仿宋"/>
                <w:color w:val="auto"/>
                <w:kern w:val="0"/>
                <w:sz w:val="18"/>
                <w:szCs w:val="18"/>
                <w:highlight w:val="none"/>
                <w:lang w:val="en-US" w:eastAsia="zh-CN"/>
              </w:rPr>
              <w:t>3</w:t>
            </w:r>
          </w:p>
        </w:tc>
        <w:tc>
          <w:tcPr>
            <w:tcW w:w="1587"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投标人响应</w:t>
            </w:r>
          </w:p>
        </w:tc>
        <w:tc>
          <w:tcPr>
            <w:tcW w:w="1185"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w:t>
            </w:r>
          </w:p>
        </w:tc>
        <w:tc>
          <w:tcPr>
            <w:tcW w:w="976"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投标人填写（数值型）</w:t>
            </w:r>
          </w:p>
        </w:tc>
        <w:tc>
          <w:tcPr>
            <w:tcW w:w="97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检测报告</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gridAfter w:val="6"/>
          <w:wAfter w:w="7935" w:type="dxa"/>
          <w:trHeight w:val="501"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306"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lang w:val="en-US" w:eastAsia="zh-CN"/>
              </w:rPr>
              <w:t>9.1</w:t>
            </w:r>
          </w:p>
        </w:tc>
        <w:tc>
          <w:tcPr>
            <w:tcW w:w="184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额定容量：</w:t>
            </w:r>
            <w:r>
              <w:rPr>
                <w:rFonts w:hint="eastAsia" w:ascii="仿宋" w:hAnsi="仿宋" w:eastAsia="仿宋" w:cs="仿宋"/>
                <w:color w:val="auto"/>
                <w:kern w:val="0"/>
                <w:sz w:val="18"/>
                <w:szCs w:val="18"/>
                <w:highlight w:val="none"/>
                <w:lang w:val="en-US" w:eastAsia="zh-CN"/>
              </w:rPr>
              <w:t>630</w:t>
            </w:r>
            <w:r>
              <w:rPr>
                <w:rFonts w:hint="eastAsia" w:ascii="仿宋" w:hAnsi="仿宋" w:eastAsia="仿宋" w:cs="仿宋"/>
                <w:color w:val="auto"/>
                <w:kern w:val="0"/>
                <w:sz w:val="18"/>
                <w:szCs w:val="18"/>
                <w:highlight w:val="none"/>
              </w:rPr>
              <w:t>kVA</w:t>
            </w:r>
          </w:p>
        </w:tc>
        <w:tc>
          <w:tcPr>
            <w:tcW w:w="1377"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rPr>
            </w:pPr>
            <w:r>
              <w:rPr>
                <w:rFonts w:hint="eastAsia" w:ascii="仿宋" w:hAnsi="仿宋" w:eastAsia="仿宋" w:cs="仿宋"/>
                <w:color w:val="auto"/>
                <w:kern w:val="0"/>
                <w:sz w:val="18"/>
                <w:szCs w:val="18"/>
                <w:highlight w:val="none"/>
              </w:rPr>
              <w:t>≤</w:t>
            </w:r>
            <w:r>
              <w:rPr>
                <w:rFonts w:hint="eastAsia" w:ascii="仿宋" w:hAnsi="仿宋" w:eastAsia="仿宋" w:cs="仿宋"/>
                <w:color w:val="auto"/>
                <w:kern w:val="0"/>
                <w:sz w:val="18"/>
                <w:szCs w:val="18"/>
                <w:highlight w:val="none"/>
                <w:lang w:val="en-US" w:eastAsia="zh-CN"/>
              </w:rPr>
              <w:t>885</w:t>
            </w:r>
          </w:p>
        </w:tc>
        <w:tc>
          <w:tcPr>
            <w:tcW w:w="1587" w:type="dxa"/>
            <w:tcBorders>
              <w:tl2br w:val="nil"/>
              <w:tr2bl w:val="nil"/>
            </w:tcBorders>
            <w:vAlign w:val="center"/>
          </w:tcPr>
          <w:p>
            <w:pPr>
              <w:jc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rPr>
              <w:t>投标人响应</w:t>
            </w:r>
          </w:p>
        </w:tc>
        <w:tc>
          <w:tcPr>
            <w:tcW w:w="1185"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w:t>
            </w:r>
          </w:p>
        </w:tc>
        <w:tc>
          <w:tcPr>
            <w:tcW w:w="976" w:type="dxa"/>
            <w:tcBorders>
              <w:tl2br w:val="nil"/>
              <w:tr2bl w:val="nil"/>
            </w:tcBorders>
            <w:vAlign w:val="center"/>
          </w:tcPr>
          <w:p>
            <w:pPr>
              <w:jc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rPr>
              <w:t>投标人填写（数值型）</w:t>
            </w:r>
          </w:p>
        </w:tc>
        <w:tc>
          <w:tcPr>
            <w:tcW w:w="970" w:type="dxa"/>
            <w:tcBorders>
              <w:tl2br w:val="nil"/>
              <w:tr2bl w:val="nil"/>
            </w:tcBorders>
            <w:vAlign w:val="center"/>
          </w:tcPr>
          <w:p>
            <w:pPr>
              <w:jc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rPr>
              <w:t>试验报告</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gridAfter w:val="6"/>
          <w:wAfter w:w="7935" w:type="dxa"/>
          <w:trHeight w:val="487"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306"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lang w:val="en-US" w:eastAsia="zh-CN" w:bidi="ar-SA"/>
              </w:rPr>
              <w:t>10</w:t>
            </w:r>
          </w:p>
        </w:tc>
        <w:tc>
          <w:tcPr>
            <w:tcW w:w="184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额定容量：</w:t>
            </w:r>
            <w:r>
              <w:rPr>
                <w:rFonts w:hint="eastAsia" w:ascii="仿宋" w:hAnsi="仿宋" w:eastAsia="仿宋" w:cs="仿宋"/>
                <w:color w:val="auto"/>
                <w:kern w:val="0"/>
                <w:sz w:val="18"/>
                <w:szCs w:val="18"/>
                <w:highlight w:val="none"/>
                <w:lang w:val="en-US" w:eastAsia="zh-CN"/>
              </w:rPr>
              <w:t>630</w:t>
            </w:r>
            <w:r>
              <w:rPr>
                <w:rFonts w:hint="eastAsia" w:ascii="仿宋" w:hAnsi="仿宋" w:eastAsia="仿宋" w:cs="仿宋"/>
                <w:color w:val="auto"/>
                <w:kern w:val="0"/>
                <w:sz w:val="18"/>
                <w:szCs w:val="18"/>
                <w:highlight w:val="none"/>
              </w:rPr>
              <w:t>kVA</w:t>
            </w:r>
          </w:p>
        </w:tc>
        <w:tc>
          <w:tcPr>
            <w:tcW w:w="1377"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rPr>
            </w:pPr>
            <w:r>
              <w:rPr>
                <w:rFonts w:hint="eastAsia" w:ascii="仿宋" w:hAnsi="仿宋" w:eastAsia="仿宋" w:cs="仿宋"/>
                <w:color w:val="auto"/>
                <w:kern w:val="0"/>
                <w:sz w:val="18"/>
                <w:szCs w:val="18"/>
                <w:highlight w:val="none"/>
              </w:rPr>
              <w:t>≤</w:t>
            </w:r>
            <w:r>
              <w:rPr>
                <w:rFonts w:hint="eastAsia" w:ascii="仿宋" w:hAnsi="仿宋" w:eastAsia="仿宋" w:cs="仿宋"/>
                <w:color w:val="auto"/>
                <w:kern w:val="0"/>
                <w:sz w:val="18"/>
                <w:szCs w:val="18"/>
                <w:highlight w:val="none"/>
                <w:lang w:val="en-US" w:eastAsia="zh-CN"/>
              </w:rPr>
              <w:t>5365</w:t>
            </w:r>
          </w:p>
        </w:tc>
        <w:tc>
          <w:tcPr>
            <w:tcW w:w="1587" w:type="dxa"/>
            <w:tcBorders>
              <w:tl2br w:val="nil"/>
              <w:tr2bl w:val="nil"/>
            </w:tcBorders>
            <w:vAlign w:val="center"/>
          </w:tcPr>
          <w:p>
            <w:pPr>
              <w:jc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rPr>
              <w:t>投标人响应</w:t>
            </w:r>
          </w:p>
        </w:tc>
        <w:tc>
          <w:tcPr>
            <w:tcW w:w="1185" w:type="dxa"/>
            <w:tcBorders>
              <w:tl2br w:val="nil"/>
              <w:tr2bl w:val="nil"/>
            </w:tcBorders>
            <w:vAlign w:val="center"/>
          </w:tcPr>
          <w:p>
            <w:pPr>
              <w:jc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rPr>
              <w:t>/</w:t>
            </w:r>
          </w:p>
        </w:tc>
        <w:tc>
          <w:tcPr>
            <w:tcW w:w="976" w:type="dxa"/>
            <w:tcBorders>
              <w:tl2br w:val="nil"/>
              <w:tr2bl w:val="nil"/>
            </w:tcBorders>
            <w:vAlign w:val="center"/>
          </w:tcPr>
          <w:p>
            <w:pPr>
              <w:jc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rPr>
              <w:t>投标人填写（数值型）</w:t>
            </w:r>
          </w:p>
        </w:tc>
        <w:tc>
          <w:tcPr>
            <w:tcW w:w="970" w:type="dxa"/>
            <w:tcBorders>
              <w:tl2br w:val="nil"/>
              <w:tr2bl w:val="nil"/>
            </w:tcBorders>
            <w:vAlign w:val="center"/>
          </w:tcPr>
          <w:p>
            <w:pPr>
              <w:jc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rPr>
              <w:t>试验报告</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63"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1</w:t>
            </w:r>
            <w:r>
              <w:rPr>
                <w:rFonts w:hint="eastAsia" w:ascii="仿宋" w:hAnsi="仿宋" w:eastAsia="仿宋" w:cs="仿宋"/>
                <w:color w:val="auto"/>
                <w:kern w:val="0"/>
                <w:sz w:val="18"/>
                <w:szCs w:val="18"/>
                <w:highlight w:val="none"/>
                <w:lang w:val="en-US" w:eastAsia="zh-CN"/>
              </w:rPr>
              <w:t>1</w:t>
            </w:r>
          </w:p>
        </w:tc>
        <w:tc>
          <w:tcPr>
            <w:tcW w:w="184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高压分接范围（%）</w:t>
            </w:r>
          </w:p>
        </w:tc>
        <w:tc>
          <w:tcPr>
            <w:tcW w:w="1377"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±2×2.5</w:t>
            </w:r>
          </w:p>
        </w:tc>
        <w:tc>
          <w:tcPr>
            <w:tcW w:w="1587"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单一</w:t>
            </w:r>
          </w:p>
        </w:tc>
        <w:tc>
          <w:tcPr>
            <w:tcW w:w="1185"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w:t>
            </w:r>
          </w:p>
        </w:tc>
        <w:tc>
          <w:tcPr>
            <w:tcW w:w="976"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w:t>
            </w:r>
          </w:p>
        </w:tc>
        <w:tc>
          <w:tcPr>
            <w:tcW w:w="97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63"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1</w:t>
            </w:r>
            <w:r>
              <w:rPr>
                <w:rFonts w:hint="eastAsia" w:ascii="仿宋" w:hAnsi="仿宋" w:eastAsia="仿宋" w:cs="仿宋"/>
                <w:color w:val="auto"/>
                <w:kern w:val="0"/>
                <w:sz w:val="18"/>
                <w:szCs w:val="18"/>
                <w:highlight w:val="none"/>
                <w:lang w:val="en-US" w:eastAsia="zh-CN"/>
              </w:rPr>
              <w:t>2</w:t>
            </w:r>
          </w:p>
        </w:tc>
        <w:tc>
          <w:tcPr>
            <w:tcW w:w="184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额定频率（Hz）</w:t>
            </w:r>
          </w:p>
        </w:tc>
        <w:tc>
          <w:tcPr>
            <w:tcW w:w="1377"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50</w:t>
            </w:r>
          </w:p>
        </w:tc>
        <w:tc>
          <w:tcPr>
            <w:tcW w:w="1587"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单一</w:t>
            </w:r>
          </w:p>
        </w:tc>
        <w:tc>
          <w:tcPr>
            <w:tcW w:w="1185"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w:t>
            </w:r>
          </w:p>
        </w:tc>
        <w:tc>
          <w:tcPr>
            <w:tcW w:w="976"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w:t>
            </w:r>
          </w:p>
        </w:tc>
        <w:tc>
          <w:tcPr>
            <w:tcW w:w="97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306"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lang w:val="en-US" w:eastAsia="zh-CN" w:bidi="ar-SA"/>
              </w:rPr>
              <w:t>13</w:t>
            </w:r>
          </w:p>
        </w:tc>
        <w:tc>
          <w:tcPr>
            <w:tcW w:w="184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额定容量：</w:t>
            </w:r>
            <w:r>
              <w:rPr>
                <w:rFonts w:hint="eastAsia" w:ascii="仿宋" w:hAnsi="仿宋" w:eastAsia="仿宋" w:cs="仿宋"/>
                <w:color w:val="auto"/>
                <w:kern w:val="0"/>
                <w:sz w:val="18"/>
                <w:szCs w:val="18"/>
                <w:highlight w:val="none"/>
                <w:lang w:val="en-US" w:eastAsia="zh-CN"/>
              </w:rPr>
              <w:t>630</w:t>
            </w:r>
            <w:r>
              <w:rPr>
                <w:rFonts w:hint="eastAsia" w:ascii="仿宋" w:hAnsi="仿宋" w:eastAsia="仿宋" w:cs="仿宋"/>
                <w:color w:val="auto"/>
                <w:kern w:val="0"/>
                <w:sz w:val="18"/>
                <w:szCs w:val="18"/>
                <w:highlight w:val="none"/>
              </w:rPr>
              <w:t>kVA</w:t>
            </w:r>
          </w:p>
        </w:tc>
        <w:tc>
          <w:tcPr>
            <w:tcW w:w="1377"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eastAsia="zh-CN"/>
              </w:rPr>
            </w:pPr>
            <w:r>
              <w:rPr>
                <w:rFonts w:hint="eastAsia" w:ascii="仿宋" w:hAnsi="仿宋" w:eastAsia="仿宋" w:cs="仿宋"/>
                <w:color w:val="auto"/>
                <w:kern w:val="0"/>
                <w:sz w:val="18"/>
                <w:szCs w:val="18"/>
                <w:highlight w:val="none"/>
              </w:rPr>
              <w:t>≤0.</w:t>
            </w:r>
            <w:r>
              <w:rPr>
                <w:rFonts w:hint="eastAsia" w:ascii="仿宋" w:hAnsi="仿宋" w:eastAsia="仿宋" w:cs="仿宋"/>
                <w:color w:val="auto"/>
                <w:kern w:val="0"/>
                <w:sz w:val="18"/>
                <w:szCs w:val="18"/>
                <w:highlight w:val="none"/>
                <w:lang w:val="en-US" w:eastAsia="zh-CN"/>
              </w:rPr>
              <w:t>85</w:t>
            </w:r>
          </w:p>
        </w:tc>
        <w:tc>
          <w:tcPr>
            <w:tcW w:w="1587"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投标人响应</w:t>
            </w:r>
          </w:p>
        </w:tc>
        <w:tc>
          <w:tcPr>
            <w:tcW w:w="1185"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w:t>
            </w:r>
          </w:p>
        </w:tc>
        <w:tc>
          <w:tcPr>
            <w:tcW w:w="976" w:type="dxa"/>
            <w:tcBorders>
              <w:tl2br w:val="nil"/>
              <w:tr2bl w:val="nil"/>
            </w:tcBorders>
            <w:vAlign w:val="center"/>
          </w:tcPr>
          <w:p>
            <w:pPr>
              <w:jc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rPr>
              <w:t>投标人填写（数值型）</w:t>
            </w:r>
          </w:p>
        </w:tc>
        <w:tc>
          <w:tcPr>
            <w:tcW w:w="97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试验报告</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gridAfter w:val="6"/>
          <w:wAfter w:w="7935" w:type="dxa"/>
          <w:trHeight w:val="663"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1</w:t>
            </w:r>
            <w:r>
              <w:rPr>
                <w:rFonts w:hint="eastAsia" w:ascii="仿宋" w:hAnsi="仿宋" w:eastAsia="仿宋" w:cs="仿宋"/>
                <w:color w:val="auto"/>
                <w:kern w:val="0"/>
                <w:sz w:val="18"/>
                <w:szCs w:val="18"/>
                <w:highlight w:val="none"/>
                <w:lang w:val="en-US" w:eastAsia="zh-CN"/>
              </w:rPr>
              <w:t>4</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306"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lang w:val="en-US" w:eastAsia="zh-CN"/>
              </w:rPr>
              <w:t>14.1</w:t>
            </w:r>
          </w:p>
        </w:tc>
        <w:tc>
          <w:tcPr>
            <w:tcW w:w="184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额定容量：</w:t>
            </w:r>
            <w:r>
              <w:rPr>
                <w:rFonts w:hint="eastAsia" w:ascii="仿宋" w:hAnsi="仿宋" w:eastAsia="仿宋" w:cs="仿宋"/>
                <w:color w:val="auto"/>
                <w:kern w:val="0"/>
                <w:sz w:val="18"/>
                <w:szCs w:val="18"/>
                <w:highlight w:val="none"/>
                <w:lang w:val="en-US" w:eastAsia="zh-CN"/>
              </w:rPr>
              <w:t>630</w:t>
            </w:r>
            <w:r>
              <w:rPr>
                <w:rFonts w:hint="eastAsia" w:ascii="仿宋" w:hAnsi="仿宋" w:eastAsia="仿宋" w:cs="仿宋"/>
                <w:color w:val="auto"/>
                <w:kern w:val="0"/>
                <w:sz w:val="18"/>
                <w:szCs w:val="18"/>
                <w:highlight w:val="none"/>
              </w:rPr>
              <w:t>kVA</w:t>
            </w:r>
          </w:p>
        </w:tc>
        <w:tc>
          <w:tcPr>
            <w:tcW w:w="1377"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6.0</w:t>
            </w:r>
          </w:p>
        </w:tc>
        <w:tc>
          <w:tcPr>
            <w:tcW w:w="1587"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投标人响应</w:t>
            </w:r>
          </w:p>
        </w:tc>
        <w:tc>
          <w:tcPr>
            <w:tcW w:w="1185"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w:t>
            </w:r>
          </w:p>
        </w:tc>
        <w:tc>
          <w:tcPr>
            <w:tcW w:w="976" w:type="dxa"/>
            <w:tcBorders>
              <w:tl2br w:val="nil"/>
              <w:tr2bl w:val="nil"/>
            </w:tcBorders>
            <w:vAlign w:val="center"/>
          </w:tcPr>
          <w:p>
            <w:pPr>
              <w:jc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rPr>
              <w:t>投标人填写（数值型）</w:t>
            </w:r>
          </w:p>
        </w:tc>
        <w:tc>
          <w:tcPr>
            <w:tcW w:w="97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试验报告</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gridAfter w:val="6"/>
          <w:wAfter w:w="7935" w:type="dxa"/>
          <w:trHeight w:val="663"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1</w:t>
            </w:r>
            <w:r>
              <w:rPr>
                <w:rFonts w:hint="eastAsia" w:ascii="仿宋" w:hAnsi="仿宋" w:eastAsia="仿宋" w:cs="仿宋"/>
                <w:color w:val="auto"/>
                <w:kern w:val="0"/>
                <w:sz w:val="18"/>
                <w:szCs w:val="18"/>
                <w:highlight w:val="none"/>
                <w:lang w:val="en-US" w:eastAsia="zh-CN"/>
              </w:rPr>
              <w:t>5</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306"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lang w:val="en-US" w:eastAsia="zh-CN" w:bidi="ar-SA"/>
              </w:rPr>
              <w:t>15.1</w:t>
            </w:r>
          </w:p>
        </w:tc>
        <w:tc>
          <w:tcPr>
            <w:tcW w:w="184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额定容量：</w:t>
            </w:r>
            <w:r>
              <w:rPr>
                <w:rFonts w:hint="eastAsia" w:ascii="仿宋" w:hAnsi="仿宋" w:eastAsia="仿宋" w:cs="仿宋"/>
                <w:color w:val="auto"/>
                <w:kern w:val="0"/>
                <w:sz w:val="18"/>
                <w:szCs w:val="18"/>
                <w:highlight w:val="none"/>
                <w:lang w:val="en-US" w:eastAsia="zh-CN"/>
              </w:rPr>
              <w:t>630</w:t>
            </w:r>
            <w:r>
              <w:rPr>
                <w:rFonts w:hint="eastAsia" w:ascii="仿宋" w:hAnsi="仿宋" w:eastAsia="仿宋" w:cs="仿宋"/>
                <w:color w:val="auto"/>
                <w:kern w:val="0"/>
                <w:sz w:val="18"/>
                <w:szCs w:val="18"/>
                <w:highlight w:val="none"/>
              </w:rPr>
              <w:t>kVA</w:t>
            </w:r>
          </w:p>
        </w:tc>
        <w:tc>
          <w:tcPr>
            <w:tcW w:w="1377"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eastAsia="zh-CN"/>
              </w:rPr>
            </w:pPr>
            <w:r>
              <w:rPr>
                <w:rFonts w:hint="eastAsia" w:ascii="仿宋" w:hAnsi="仿宋" w:eastAsia="仿宋" w:cs="仿宋"/>
                <w:color w:val="auto"/>
                <w:kern w:val="0"/>
                <w:sz w:val="18"/>
                <w:szCs w:val="18"/>
                <w:highlight w:val="none"/>
              </w:rPr>
              <w:t>≤5</w:t>
            </w:r>
            <w:r>
              <w:rPr>
                <w:rFonts w:hint="eastAsia" w:ascii="仿宋" w:hAnsi="仿宋" w:eastAsia="仿宋" w:cs="仿宋"/>
                <w:color w:val="auto"/>
                <w:kern w:val="0"/>
                <w:sz w:val="18"/>
                <w:szCs w:val="18"/>
                <w:highlight w:val="none"/>
                <w:lang w:val="en-US" w:eastAsia="zh-CN"/>
              </w:rPr>
              <w:t>7</w:t>
            </w:r>
          </w:p>
        </w:tc>
        <w:tc>
          <w:tcPr>
            <w:tcW w:w="1587" w:type="dxa"/>
            <w:tcBorders>
              <w:tl2br w:val="nil"/>
              <w:tr2bl w:val="nil"/>
            </w:tcBorders>
            <w:vAlign w:val="center"/>
          </w:tcPr>
          <w:p>
            <w:pPr>
              <w:jc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rPr>
              <w:t>投标人响应</w:t>
            </w:r>
          </w:p>
        </w:tc>
        <w:tc>
          <w:tcPr>
            <w:tcW w:w="1185" w:type="dxa"/>
            <w:tcBorders>
              <w:tl2br w:val="nil"/>
              <w:tr2bl w:val="nil"/>
            </w:tcBorders>
            <w:vAlign w:val="center"/>
          </w:tcPr>
          <w:p>
            <w:pPr>
              <w:jc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rPr>
              <w:t>/</w:t>
            </w:r>
          </w:p>
        </w:tc>
        <w:tc>
          <w:tcPr>
            <w:tcW w:w="976" w:type="dxa"/>
            <w:tcBorders>
              <w:tl2br w:val="nil"/>
              <w:tr2bl w:val="nil"/>
            </w:tcBorders>
            <w:vAlign w:val="center"/>
          </w:tcPr>
          <w:p>
            <w:pPr>
              <w:jc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rPr>
              <w:t>投标人填写（数值型）</w:t>
            </w:r>
          </w:p>
        </w:tc>
        <w:tc>
          <w:tcPr>
            <w:tcW w:w="970" w:type="dxa"/>
            <w:tcBorders>
              <w:tl2br w:val="nil"/>
              <w:tr2bl w:val="nil"/>
            </w:tcBorders>
            <w:vAlign w:val="center"/>
          </w:tcPr>
          <w:p>
            <w:pPr>
              <w:jc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rPr>
              <w:t>试验报告</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gridAfter w:val="6"/>
          <w:wAfter w:w="7935" w:type="dxa"/>
          <w:trHeight w:val="663"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1</w:t>
            </w:r>
            <w:r>
              <w:rPr>
                <w:rFonts w:hint="eastAsia" w:ascii="仿宋" w:hAnsi="仿宋" w:eastAsia="仿宋" w:cs="仿宋"/>
                <w:color w:val="auto"/>
                <w:kern w:val="0"/>
                <w:sz w:val="18"/>
                <w:szCs w:val="18"/>
                <w:highlight w:val="none"/>
                <w:lang w:val="en-US" w:eastAsia="zh-CN"/>
              </w:rPr>
              <w:t>6</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306"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lang w:val="en-US" w:eastAsia="zh-CN"/>
              </w:rPr>
              <w:t>16.1</w:t>
            </w:r>
          </w:p>
        </w:tc>
        <w:tc>
          <w:tcPr>
            <w:tcW w:w="184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额定容量：</w:t>
            </w:r>
            <w:r>
              <w:rPr>
                <w:rFonts w:hint="eastAsia" w:ascii="仿宋" w:hAnsi="仿宋" w:eastAsia="仿宋" w:cs="仿宋"/>
                <w:color w:val="auto"/>
                <w:kern w:val="0"/>
                <w:sz w:val="18"/>
                <w:szCs w:val="18"/>
                <w:highlight w:val="none"/>
                <w:lang w:val="en-US" w:eastAsia="zh-CN"/>
              </w:rPr>
              <w:t>630</w:t>
            </w:r>
            <w:r>
              <w:rPr>
                <w:rFonts w:hint="eastAsia" w:ascii="仿宋" w:hAnsi="仿宋" w:eastAsia="仿宋" w:cs="仿宋"/>
                <w:color w:val="auto"/>
                <w:kern w:val="0"/>
                <w:sz w:val="18"/>
                <w:szCs w:val="18"/>
                <w:highlight w:val="none"/>
              </w:rPr>
              <w:t>kVA</w:t>
            </w:r>
          </w:p>
        </w:tc>
        <w:tc>
          <w:tcPr>
            <w:tcW w:w="1377"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eastAsia="zh-CN"/>
              </w:rPr>
            </w:pPr>
            <w:r>
              <w:rPr>
                <w:rFonts w:hint="eastAsia" w:ascii="仿宋" w:hAnsi="仿宋" w:eastAsia="仿宋" w:cs="仿宋"/>
                <w:color w:val="auto"/>
                <w:kern w:val="0"/>
                <w:sz w:val="18"/>
                <w:szCs w:val="18"/>
                <w:highlight w:val="none"/>
              </w:rPr>
              <w:t>≤4</w:t>
            </w:r>
            <w:r>
              <w:rPr>
                <w:rFonts w:hint="eastAsia" w:ascii="仿宋" w:hAnsi="仿宋" w:eastAsia="仿宋" w:cs="仿宋"/>
                <w:color w:val="auto"/>
                <w:kern w:val="0"/>
                <w:sz w:val="18"/>
                <w:szCs w:val="18"/>
                <w:highlight w:val="none"/>
                <w:lang w:val="en-US" w:eastAsia="zh-CN"/>
              </w:rPr>
              <w:t>5</w:t>
            </w:r>
          </w:p>
        </w:tc>
        <w:tc>
          <w:tcPr>
            <w:tcW w:w="1587" w:type="dxa"/>
            <w:tcBorders>
              <w:tl2br w:val="nil"/>
              <w:tr2bl w:val="nil"/>
            </w:tcBorders>
            <w:vAlign w:val="center"/>
          </w:tcPr>
          <w:p>
            <w:pPr>
              <w:jc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rPr>
              <w:t>投标人响应</w:t>
            </w:r>
          </w:p>
        </w:tc>
        <w:tc>
          <w:tcPr>
            <w:tcW w:w="1185" w:type="dxa"/>
            <w:tcBorders>
              <w:tl2br w:val="nil"/>
              <w:tr2bl w:val="nil"/>
            </w:tcBorders>
            <w:vAlign w:val="center"/>
          </w:tcPr>
          <w:p>
            <w:pPr>
              <w:jc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rPr>
              <w:t>/</w:t>
            </w:r>
          </w:p>
        </w:tc>
        <w:tc>
          <w:tcPr>
            <w:tcW w:w="976" w:type="dxa"/>
            <w:tcBorders>
              <w:tl2br w:val="nil"/>
              <w:tr2bl w:val="nil"/>
            </w:tcBorders>
            <w:vAlign w:val="center"/>
          </w:tcPr>
          <w:p>
            <w:pPr>
              <w:jc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rPr>
              <w:t>投标人填写（数值型）</w:t>
            </w:r>
          </w:p>
        </w:tc>
        <w:tc>
          <w:tcPr>
            <w:tcW w:w="970" w:type="dxa"/>
            <w:tcBorders>
              <w:tl2br w:val="nil"/>
              <w:tr2bl w:val="nil"/>
            </w:tcBorders>
            <w:vAlign w:val="center"/>
          </w:tcPr>
          <w:p>
            <w:pPr>
              <w:jc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rPr>
              <w:t>试验报告</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gridAfter w:val="6"/>
          <w:wAfter w:w="7935" w:type="dxa"/>
          <w:trHeight w:val="663"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lang w:eastAsia="zh-CN"/>
              </w:rPr>
              <w:t>1</w:t>
            </w:r>
            <w:r>
              <w:rPr>
                <w:rFonts w:hint="eastAsia" w:ascii="仿宋" w:hAnsi="仿宋" w:eastAsia="仿宋" w:cs="仿宋"/>
                <w:color w:val="auto"/>
                <w:kern w:val="0"/>
                <w:sz w:val="18"/>
                <w:szCs w:val="18"/>
                <w:highlight w:val="none"/>
                <w:lang w:val="en-US" w:eastAsia="zh-CN"/>
              </w:rPr>
              <w:t>7</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306"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lang w:eastAsia="zh-CN"/>
              </w:rPr>
              <w:t>1</w:t>
            </w:r>
            <w:r>
              <w:rPr>
                <w:rFonts w:hint="eastAsia" w:ascii="仿宋" w:hAnsi="仿宋" w:eastAsia="仿宋" w:cs="仿宋"/>
                <w:color w:val="auto"/>
                <w:kern w:val="0"/>
                <w:sz w:val="18"/>
                <w:szCs w:val="18"/>
                <w:highlight w:val="none"/>
                <w:lang w:val="en-US" w:eastAsia="zh-CN"/>
              </w:rPr>
              <w:t>7</w:t>
            </w:r>
            <w:r>
              <w:rPr>
                <w:rFonts w:hint="eastAsia" w:ascii="仿宋" w:hAnsi="仿宋" w:eastAsia="仿宋" w:cs="仿宋"/>
                <w:color w:val="auto"/>
                <w:kern w:val="0"/>
                <w:sz w:val="18"/>
                <w:szCs w:val="18"/>
                <w:highlight w:val="none"/>
              </w:rPr>
              <w:t>.1</w:t>
            </w:r>
          </w:p>
        </w:tc>
        <w:tc>
          <w:tcPr>
            <w:tcW w:w="184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空载损耗</w:t>
            </w:r>
          </w:p>
        </w:tc>
        <w:tc>
          <w:tcPr>
            <w:tcW w:w="1377"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不允许存在正偏差</w:t>
            </w:r>
          </w:p>
        </w:tc>
        <w:tc>
          <w:tcPr>
            <w:tcW w:w="1587"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投标人响应</w:t>
            </w:r>
          </w:p>
        </w:tc>
        <w:tc>
          <w:tcPr>
            <w:tcW w:w="1185"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w:t>
            </w:r>
          </w:p>
        </w:tc>
        <w:tc>
          <w:tcPr>
            <w:tcW w:w="976"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投标人填写（文本型）</w:t>
            </w:r>
          </w:p>
        </w:tc>
        <w:tc>
          <w:tcPr>
            <w:tcW w:w="97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试验报告</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306"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lang w:eastAsia="zh-CN"/>
              </w:rPr>
              <w:t>1</w:t>
            </w:r>
            <w:r>
              <w:rPr>
                <w:rFonts w:hint="eastAsia" w:ascii="仿宋" w:hAnsi="仿宋" w:eastAsia="仿宋" w:cs="仿宋"/>
                <w:color w:val="auto"/>
                <w:kern w:val="0"/>
                <w:sz w:val="18"/>
                <w:szCs w:val="18"/>
                <w:highlight w:val="none"/>
                <w:lang w:val="en-US" w:eastAsia="zh-CN"/>
              </w:rPr>
              <w:t>7</w:t>
            </w:r>
            <w:r>
              <w:rPr>
                <w:rFonts w:hint="eastAsia" w:ascii="仿宋" w:hAnsi="仿宋" w:eastAsia="仿宋" w:cs="仿宋"/>
                <w:color w:val="auto"/>
                <w:kern w:val="0"/>
                <w:sz w:val="18"/>
                <w:szCs w:val="18"/>
                <w:highlight w:val="none"/>
              </w:rPr>
              <w:t>.3</w:t>
            </w:r>
          </w:p>
        </w:tc>
        <w:tc>
          <w:tcPr>
            <w:tcW w:w="184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空载电流</w:t>
            </w:r>
          </w:p>
        </w:tc>
        <w:tc>
          <w:tcPr>
            <w:tcW w:w="1377"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不允许存在正偏差</w:t>
            </w:r>
          </w:p>
        </w:tc>
        <w:tc>
          <w:tcPr>
            <w:tcW w:w="1587"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投标人响应</w:t>
            </w:r>
          </w:p>
        </w:tc>
        <w:tc>
          <w:tcPr>
            <w:tcW w:w="1185"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w:t>
            </w:r>
          </w:p>
        </w:tc>
        <w:tc>
          <w:tcPr>
            <w:tcW w:w="976" w:type="dxa"/>
            <w:tcBorders>
              <w:tl2br w:val="nil"/>
              <w:tr2bl w:val="nil"/>
            </w:tcBorders>
            <w:vAlign w:val="center"/>
          </w:tcPr>
          <w:p>
            <w:pPr>
              <w:jc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rPr>
              <w:t>投标人填写（文本型）</w:t>
            </w:r>
          </w:p>
        </w:tc>
        <w:tc>
          <w:tcPr>
            <w:tcW w:w="97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试验报告</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306"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lang w:eastAsia="zh-CN"/>
              </w:rPr>
              <w:t>1</w:t>
            </w:r>
            <w:r>
              <w:rPr>
                <w:rFonts w:hint="eastAsia" w:ascii="仿宋" w:hAnsi="仿宋" w:eastAsia="仿宋" w:cs="仿宋"/>
                <w:color w:val="auto"/>
                <w:kern w:val="0"/>
                <w:sz w:val="18"/>
                <w:szCs w:val="18"/>
                <w:highlight w:val="none"/>
                <w:lang w:val="en-US" w:eastAsia="zh-CN"/>
              </w:rPr>
              <w:t>7</w:t>
            </w:r>
            <w:r>
              <w:rPr>
                <w:rFonts w:hint="eastAsia" w:ascii="仿宋" w:hAnsi="仿宋" w:eastAsia="仿宋" w:cs="仿宋"/>
                <w:color w:val="auto"/>
                <w:kern w:val="0"/>
                <w:sz w:val="18"/>
                <w:szCs w:val="18"/>
                <w:highlight w:val="none"/>
              </w:rPr>
              <w:t>.4</w:t>
            </w:r>
          </w:p>
        </w:tc>
        <w:tc>
          <w:tcPr>
            <w:tcW w:w="184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短路阻抗</w:t>
            </w:r>
          </w:p>
        </w:tc>
        <w:tc>
          <w:tcPr>
            <w:tcW w:w="1377"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±10%以内</w:t>
            </w:r>
          </w:p>
        </w:tc>
        <w:tc>
          <w:tcPr>
            <w:tcW w:w="1587"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投标人响应</w:t>
            </w:r>
          </w:p>
        </w:tc>
        <w:tc>
          <w:tcPr>
            <w:tcW w:w="1185"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w:t>
            </w:r>
          </w:p>
        </w:tc>
        <w:tc>
          <w:tcPr>
            <w:tcW w:w="976" w:type="dxa"/>
            <w:tcBorders>
              <w:tl2br w:val="nil"/>
              <w:tr2bl w:val="nil"/>
            </w:tcBorders>
            <w:vAlign w:val="center"/>
          </w:tcPr>
          <w:p>
            <w:pPr>
              <w:jc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rPr>
              <w:t>投标人填写（文本型）</w:t>
            </w:r>
          </w:p>
        </w:tc>
        <w:tc>
          <w:tcPr>
            <w:tcW w:w="97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试验报告</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306"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lang w:eastAsia="zh-CN"/>
              </w:rPr>
              <w:t>1</w:t>
            </w:r>
            <w:r>
              <w:rPr>
                <w:rFonts w:hint="eastAsia" w:ascii="仿宋" w:hAnsi="仿宋" w:eastAsia="仿宋" w:cs="仿宋"/>
                <w:color w:val="auto"/>
                <w:kern w:val="0"/>
                <w:sz w:val="18"/>
                <w:szCs w:val="18"/>
                <w:highlight w:val="none"/>
                <w:lang w:val="en-US" w:eastAsia="zh-CN"/>
              </w:rPr>
              <w:t>7</w:t>
            </w:r>
            <w:r>
              <w:rPr>
                <w:rFonts w:hint="eastAsia" w:ascii="仿宋" w:hAnsi="仿宋" w:eastAsia="仿宋" w:cs="仿宋"/>
                <w:color w:val="auto"/>
                <w:kern w:val="0"/>
                <w:sz w:val="18"/>
                <w:szCs w:val="18"/>
                <w:highlight w:val="none"/>
              </w:rPr>
              <w:t>.5</w:t>
            </w:r>
          </w:p>
        </w:tc>
        <w:tc>
          <w:tcPr>
            <w:tcW w:w="184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噪声水平</w:t>
            </w:r>
          </w:p>
        </w:tc>
        <w:tc>
          <w:tcPr>
            <w:tcW w:w="1377"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不允许存在正偏差</w:t>
            </w:r>
          </w:p>
        </w:tc>
        <w:tc>
          <w:tcPr>
            <w:tcW w:w="1587"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投标人响应</w:t>
            </w:r>
          </w:p>
        </w:tc>
        <w:tc>
          <w:tcPr>
            <w:tcW w:w="1185"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w:t>
            </w:r>
          </w:p>
        </w:tc>
        <w:tc>
          <w:tcPr>
            <w:tcW w:w="976" w:type="dxa"/>
            <w:tcBorders>
              <w:tl2br w:val="nil"/>
              <w:tr2bl w:val="nil"/>
            </w:tcBorders>
            <w:vAlign w:val="center"/>
          </w:tcPr>
          <w:p>
            <w:pPr>
              <w:jc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rPr>
              <w:t>投标人填写（文本型）</w:t>
            </w:r>
          </w:p>
        </w:tc>
        <w:tc>
          <w:tcPr>
            <w:tcW w:w="97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试验报告</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306"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lang w:val="en-US" w:eastAsia="zh-CN"/>
              </w:rPr>
              <w:t>18</w:t>
            </w:r>
          </w:p>
        </w:tc>
        <w:tc>
          <w:tcPr>
            <w:tcW w:w="184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短路承受能力试验</w:t>
            </w:r>
          </w:p>
        </w:tc>
        <w:tc>
          <w:tcPr>
            <w:tcW w:w="1377"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w:t>
            </w:r>
          </w:p>
        </w:tc>
        <w:tc>
          <w:tcPr>
            <w:tcW w:w="1587"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单一</w:t>
            </w:r>
          </w:p>
        </w:tc>
        <w:tc>
          <w:tcPr>
            <w:tcW w:w="1185"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抽检</w:t>
            </w:r>
          </w:p>
        </w:tc>
        <w:tc>
          <w:tcPr>
            <w:tcW w:w="976"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投标人填写（文本型）</w:t>
            </w:r>
          </w:p>
        </w:tc>
        <w:tc>
          <w:tcPr>
            <w:tcW w:w="97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技术报告</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84"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lang w:val="en-US" w:eastAsia="zh-CN"/>
              </w:rPr>
              <w:t>19</w:t>
            </w:r>
          </w:p>
        </w:tc>
        <w:tc>
          <w:tcPr>
            <w:tcW w:w="1840"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局放水平（pC）</w:t>
            </w:r>
          </w:p>
        </w:tc>
        <w:tc>
          <w:tcPr>
            <w:tcW w:w="1377"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≤10</w:t>
            </w:r>
          </w:p>
        </w:tc>
        <w:tc>
          <w:tcPr>
            <w:tcW w:w="1587"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投标人响应</w:t>
            </w:r>
          </w:p>
        </w:tc>
        <w:tc>
          <w:tcPr>
            <w:tcW w:w="1185"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w:t>
            </w:r>
          </w:p>
        </w:tc>
        <w:tc>
          <w:tcPr>
            <w:tcW w:w="976"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投标人填写（文本型）</w:t>
            </w:r>
          </w:p>
        </w:tc>
        <w:tc>
          <w:tcPr>
            <w:tcW w:w="970"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测试报告</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306"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lang w:val="en-US" w:eastAsia="zh-CN"/>
              </w:rPr>
              <w:t>20</w:t>
            </w:r>
          </w:p>
        </w:tc>
        <w:tc>
          <w:tcPr>
            <w:tcW w:w="1840"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外壳防护等级</w:t>
            </w:r>
          </w:p>
        </w:tc>
        <w:tc>
          <w:tcPr>
            <w:tcW w:w="1377"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Cs w:val="21"/>
                <w:highlight w:val="none"/>
              </w:rPr>
              <w:t>≥</w:t>
            </w:r>
            <w:r>
              <w:rPr>
                <w:rFonts w:hint="eastAsia" w:ascii="仿宋" w:hAnsi="仿宋" w:eastAsia="仿宋" w:cs="仿宋"/>
                <w:color w:val="auto"/>
                <w:kern w:val="0"/>
                <w:sz w:val="18"/>
                <w:szCs w:val="18"/>
                <w:highlight w:val="none"/>
              </w:rPr>
              <w:t>IP20；</w:t>
            </w:r>
          </w:p>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Cs w:val="21"/>
                <w:highlight w:val="none"/>
              </w:rPr>
              <w:t>≥</w:t>
            </w:r>
            <w:r>
              <w:rPr>
                <w:rFonts w:hint="eastAsia" w:ascii="仿宋" w:hAnsi="仿宋" w:eastAsia="仿宋" w:cs="仿宋"/>
                <w:color w:val="auto"/>
                <w:kern w:val="0"/>
                <w:sz w:val="18"/>
                <w:szCs w:val="18"/>
                <w:highlight w:val="none"/>
              </w:rPr>
              <w:t>IP40；</w:t>
            </w:r>
          </w:p>
        </w:tc>
        <w:tc>
          <w:tcPr>
            <w:tcW w:w="1587"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投标人响应</w:t>
            </w:r>
          </w:p>
        </w:tc>
        <w:tc>
          <w:tcPr>
            <w:tcW w:w="1185"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w:t>
            </w:r>
          </w:p>
        </w:tc>
        <w:tc>
          <w:tcPr>
            <w:tcW w:w="976"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投标人填写（文本型）</w:t>
            </w:r>
          </w:p>
        </w:tc>
        <w:tc>
          <w:tcPr>
            <w:tcW w:w="970"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测试报告</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306"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lang w:val="en-US" w:eastAsia="zh-CN"/>
              </w:rPr>
              <w:t>21</w:t>
            </w:r>
          </w:p>
        </w:tc>
        <w:tc>
          <w:tcPr>
            <w:tcW w:w="1840"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安装方式</w:t>
            </w:r>
          </w:p>
        </w:tc>
        <w:tc>
          <w:tcPr>
            <w:tcW w:w="1377"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落地；</w:t>
            </w:r>
          </w:p>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架空（底部可配防护网）</w:t>
            </w:r>
          </w:p>
        </w:tc>
        <w:tc>
          <w:tcPr>
            <w:tcW w:w="1587"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可选</w:t>
            </w:r>
          </w:p>
        </w:tc>
        <w:tc>
          <w:tcPr>
            <w:tcW w:w="1185"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项目单位选择（枚举型）</w:t>
            </w:r>
          </w:p>
        </w:tc>
        <w:tc>
          <w:tcPr>
            <w:tcW w:w="976"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w:t>
            </w:r>
          </w:p>
        </w:tc>
        <w:tc>
          <w:tcPr>
            <w:tcW w:w="970"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306"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lang w:val="en-US" w:eastAsia="zh-CN"/>
              </w:rPr>
              <w:t>22</w:t>
            </w:r>
          </w:p>
        </w:tc>
        <w:tc>
          <w:tcPr>
            <w:tcW w:w="1840"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sz w:val="18"/>
                <w:szCs w:val="18"/>
                <w:highlight w:val="none"/>
              </w:rPr>
              <w:t>消声减振装置</w:t>
            </w:r>
          </w:p>
        </w:tc>
        <w:tc>
          <w:tcPr>
            <w:tcW w:w="1377"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w:t>
            </w:r>
          </w:p>
        </w:tc>
        <w:tc>
          <w:tcPr>
            <w:tcW w:w="1587"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投标人响应</w:t>
            </w:r>
          </w:p>
        </w:tc>
        <w:tc>
          <w:tcPr>
            <w:tcW w:w="1185"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w:t>
            </w:r>
          </w:p>
        </w:tc>
        <w:tc>
          <w:tcPr>
            <w:tcW w:w="976"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投标人填写（文本型）</w:t>
            </w:r>
          </w:p>
        </w:tc>
        <w:tc>
          <w:tcPr>
            <w:tcW w:w="970"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556"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lang w:val="en-US" w:eastAsia="zh-CN"/>
              </w:rPr>
              <w:t>23</w:t>
            </w:r>
          </w:p>
        </w:tc>
        <w:tc>
          <w:tcPr>
            <w:tcW w:w="1840" w:type="dxa"/>
            <w:tcBorders>
              <w:tl2br w:val="nil"/>
              <w:tr2bl w:val="nil"/>
            </w:tcBorders>
            <w:vAlign w:val="center"/>
          </w:tcPr>
          <w:p>
            <w:pPr>
              <w:widowControl/>
              <w:jc w:val="center"/>
              <w:rPr>
                <w:rFonts w:hint="eastAsia" w:ascii="仿宋" w:hAnsi="仿宋" w:eastAsia="仿宋" w:cs="仿宋"/>
                <w:color w:val="auto"/>
                <w:kern w:val="2"/>
                <w:sz w:val="18"/>
                <w:szCs w:val="18"/>
                <w:highlight w:val="none"/>
                <w:lang w:val="en-US" w:eastAsia="zh-CN" w:bidi="ar-SA"/>
              </w:rPr>
            </w:pPr>
            <w:r>
              <w:rPr>
                <w:rFonts w:hint="eastAsia" w:ascii="仿宋" w:hAnsi="仿宋" w:eastAsia="仿宋" w:cs="仿宋"/>
                <w:color w:val="auto"/>
                <w:sz w:val="18"/>
                <w:szCs w:val="18"/>
                <w:highlight w:val="none"/>
              </w:rPr>
              <w:t>状态量监测装置</w:t>
            </w:r>
          </w:p>
        </w:tc>
        <w:tc>
          <w:tcPr>
            <w:tcW w:w="1377" w:type="dxa"/>
            <w:tcBorders>
              <w:tl2br w:val="nil"/>
              <w:tr2bl w:val="nil"/>
            </w:tcBorders>
            <w:vAlign w:val="center"/>
          </w:tcPr>
          <w:p>
            <w:pPr>
              <w:widowControl/>
              <w:jc w:val="left"/>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状态量监测装置应符合《中国南方电网有限责任公司干式变压器状态量监测装置技术规范书》要求。</w:t>
            </w:r>
          </w:p>
        </w:tc>
        <w:tc>
          <w:tcPr>
            <w:tcW w:w="1587"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单一</w:t>
            </w:r>
          </w:p>
        </w:tc>
        <w:tc>
          <w:tcPr>
            <w:tcW w:w="1185"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w:t>
            </w:r>
          </w:p>
        </w:tc>
        <w:tc>
          <w:tcPr>
            <w:tcW w:w="976"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投标人填写（文本型）</w:t>
            </w:r>
          </w:p>
        </w:tc>
        <w:tc>
          <w:tcPr>
            <w:tcW w:w="970"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sz w:val="18"/>
                <w:szCs w:val="18"/>
                <w:highlight w:val="none"/>
              </w:rPr>
              <w:t>相应要求的满足情况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306"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2</w:t>
            </w:r>
            <w:r>
              <w:rPr>
                <w:rFonts w:hint="eastAsia" w:ascii="仿宋" w:hAnsi="仿宋" w:eastAsia="仿宋" w:cs="仿宋"/>
                <w:color w:val="auto"/>
                <w:kern w:val="0"/>
                <w:sz w:val="18"/>
                <w:szCs w:val="18"/>
                <w:highlight w:val="none"/>
                <w:lang w:val="en-US" w:eastAsia="zh-CN"/>
              </w:rPr>
              <w:t>4</w:t>
            </w:r>
          </w:p>
        </w:tc>
        <w:tc>
          <w:tcPr>
            <w:tcW w:w="1840" w:type="dxa"/>
            <w:tcBorders>
              <w:tl2br w:val="nil"/>
              <w:tr2bl w:val="nil"/>
            </w:tcBorders>
            <w:vAlign w:val="center"/>
          </w:tcPr>
          <w:p>
            <w:pPr>
              <w:widowControl/>
              <w:jc w:val="center"/>
              <w:rPr>
                <w:rFonts w:hint="eastAsia" w:ascii="仿宋" w:hAnsi="仿宋" w:eastAsia="仿宋" w:cs="仿宋"/>
                <w:color w:val="auto"/>
                <w:kern w:val="2"/>
                <w:sz w:val="18"/>
                <w:szCs w:val="18"/>
                <w:highlight w:val="none"/>
                <w:lang w:val="en-US" w:eastAsia="zh-CN" w:bidi="ar-SA"/>
              </w:rPr>
            </w:pPr>
            <w:r>
              <w:rPr>
                <w:rFonts w:hint="eastAsia" w:ascii="仿宋" w:hAnsi="仿宋" w:eastAsia="仿宋" w:cs="仿宋"/>
                <w:color w:val="auto"/>
                <w:sz w:val="18"/>
                <w:szCs w:val="18"/>
                <w:highlight w:val="none"/>
              </w:rPr>
              <w:t>风冷装置</w:t>
            </w:r>
          </w:p>
        </w:tc>
        <w:tc>
          <w:tcPr>
            <w:tcW w:w="1377"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w:t>
            </w:r>
          </w:p>
        </w:tc>
        <w:tc>
          <w:tcPr>
            <w:tcW w:w="1587"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投标人响应</w:t>
            </w:r>
          </w:p>
        </w:tc>
        <w:tc>
          <w:tcPr>
            <w:tcW w:w="1185"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w:t>
            </w:r>
          </w:p>
        </w:tc>
        <w:tc>
          <w:tcPr>
            <w:tcW w:w="976"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投标人填写（文本型）</w:t>
            </w:r>
          </w:p>
        </w:tc>
        <w:tc>
          <w:tcPr>
            <w:tcW w:w="970"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326" w:hRule="atLeast"/>
        </w:trPr>
        <w:tc>
          <w:tcPr>
            <w:tcW w:w="442" w:type="dxa"/>
            <w:tcBorders>
              <w:tl2br w:val="nil"/>
              <w:tr2bl w:val="nil"/>
            </w:tcBorders>
            <w:vAlign w:val="center"/>
          </w:tcPr>
          <w:p>
            <w:pPr>
              <w:widowControl/>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2</w:t>
            </w:r>
            <w:r>
              <w:rPr>
                <w:rFonts w:hint="eastAsia" w:ascii="仿宋" w:hAnsi="仿宋" w:eastAsia="仿宋" w:cs="仿宋"/>
                <w:color w:val="auto"/>
                <w:kern w:val="0"/>
                <w:sz w:val="18"/>
                <w:szCs w:val="18"/>
                <w:highlight w:val="none"/>
                <w:lang w:val="en-US" w:eastAsia="zh-CN"/>
              </w:rPr>
              <w:t>5</w:t>
            </w:r>
          </w:p>
        </w:tc>
        <w:tc>
          <w:tcPr>
            <w:tcW w:w="184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运输方式</w:t>
            </w:r>
          </w:p>
        </w:tc>
        <w:tc>
          <w:tcPr>
            <w:tcW w:w="1377"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吊装、叉车均可</w:t>
            </w:r>
          </w:p>
        </w:tc>
        <w:tc>
          <w:tcPr>
            <w:tcW w:w="1587"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投标人响应</w:t>
            </w:r>
          </w:p>
        </w:tc>
        <w:tc>
          <w:tcPr>
            <w:tcW w:w="1185"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w:t>
            </w:r>
          </w:p>
        </w:tc>
        <w:tc>
          <w:tcPr>
            <w:tcW w:w="976"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投标人填写（文本型）</w:t>
            </w:r>
          </w:p>
        </w:tc>
        <w:tc>
          <w:tcPr>
            <w:tcW w:w="970" w:type="dxa"/>
            <w:tcBorders>
              <w:tl2br w:val="nil"/>
              <w:tr2bl w:val="nil"/>
            </w:tcBorders>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w:t>
            </w:r>
          </w:p>
        </w:tc>
      </w:tr>
    </w:tbl>
    <w:p>
      <w:pPr>
        <w:pStyle w:val="10"/>
        <w:keepNext w:val="0"/>
        <w:keepLines w:val="0"/>
        <w:pageBreakBefore w:val="0"/>
        <w:kinsoku/>
        <w:wordWrap/>
        <w:overflowPunct/>
        <w:topLinePunct w:val="0"/>
        <w:bidi w:val="0"/>
        <w:spacing w:line="360" w:lineRule="auto"/>
        <w:ind w:left="0" w:leftChars="0" w:firstLine="0" w:firstLineChars="0"/>
        <w:rPr>
          <w:rFonts w:hint="eastAsia" w:ascii="仿宋" w:hAnsi="仿宋" w:eastAsia="仿宋" w:cs="仿宋"/>
          <w:color w:val="auto"/>
          <w:sz w:val="21"/>
          <w:szCs w:val="21"/>
          <w:highlight w:val="none"/>
          <w:lang w:val="en-US" w:eastAsia="zh-CN"/>
        </w:rPr>
      </w:pPr>
    </w:p>
    <w:p>
      <w:pPr>
        <w:pStyle w:val="10"/>
        <w:keepNext w:val="0"/>
        <w:keepLines w:val="0"/>
        <w:pageBreakBefore w:val="0"/>
        <w:kinsoku/>
        <w:wordWrap/>
        <w:overflowPunct/>
        <w:topLinePunct w:val="0"/>
        <w:bidi w:val="0"/>
        <w:spacing w:line="360" w:lineRule="auto"/>
        <w:ind w:left="0" w:leftChars="0" w:firstLine="0" w:firstLineChars="0"/>
        <w:rPr>
          <w:rFonts w:hint="eastAsia" w:ascii="仿宋" w:hAnsi="仿宋" w:eastAsia="仿宋" w:cs="仿宋"/>
          <w:color w:val="auto"/>
          <w:sz w:val="21"/>
          <w:szCs w:val="21"/>
          <w:highlight w:val="none"/>
          <w:lang w:val="en-US" w:eastAsia="zh-CN"/>
        </w:rPr>
      </w:pPr>
    </w:p>
    <w:tbl>
      <w:tblPr>
        <w:tblStyle w:val="12"/>
        <w:tblW w:w="0" w:type="auto"/>
        <w:tblInd w:w="-2" w:type="dxa"/>
        <w:tblLayout w:type="fixed"/>
        <w:tblCellMar>
          <w:top w:w="0" w:type="dxa"/>
          <w:left w:w="108" w:type="dxa"/>
          <w:bottom w:w="0" w:type="dxa"/>
          <w:right w:w="108" w:type="dxa"/>
        </w:tblCellMar>
      </w:tblPr>
      <w:tblGrid>
        <w:gridCol w:w="699"/>
        <w:gridCol w:w="2298"/>
        <w:gridCol w:w="2428"/>
        <w:gridCol w:w="1561"/>
        <w:gridCol w:w="1453"/>
      </w:tblGrid>
      <w:tr>
        <w:tblPrEx>
          <w:tblCellMar>
            <w:top w:w="0" w:type="dxa"/>
            <w:left w:w="108" w:type="dxa"/>
            <w:bottom w:w="0" w:type="dxa"/>
            <w:right w:w="108" w:type="dxa"/>
          </w:tblCellMar>
        </w:tblPrEx>
        <w:trPr>
          <w:trHeight w:val="302" w:hRule="atLeast"/>
        </w:trPr>
        <w:tc>
          <w:tcPr>
            <w:tcW w:w="8439" w:type="dxa"/>
            <w:gridSpan w:val="5"/>
            <w:tcBorders>
              <w:top w:val="nil"/>
              <w:left w:val="single" w:color="auto" w:sz="4" w:space="0"/>
              <w:bottom w:val="single" w:color="auto" w:sz="4" w:space="0"/>
              <w:right w:val="single" w:color="auto" w:sz="4" w:space="0"/>
            </w:tcBorders>
            <w:noWrap w:val="0"/>
            <w:vAlign w:val="center"/>
          </w:tcPr>
          <w:p>
            <w:pPr>
              <w:widowControl/>
              <w:jc w:val="left"/>
              <w:rPr>
                <w:rFonts w:hint="eastAsia" w:ascii="仿宋" w:hAnsi="仿宋" w:eastAsia="仿宋" w:cs="仿宋"/>
                <w:color w:val="auto"/>
                <w:kern w:val="0"/>
                <w:sz w:val="18"/>
                <w:szCs w:val="18"/>
                <w:highlight w:val="none"/>
              </w:rPr>
            </w:pPr>
            <w:r>
              <w:rPr>
                <w:rFonts w:hint="eastAsia" w:ascii="仿宋" w:hAnsi="仿宋" w:eastAsia="仿宋" w:cs="仿宋"/>
                <w:color w:val="auto"/>
                <w:sz w:val="18"/>
                <w:szCs w:val="18"/>
                <w:highlight w:val="none"/>
              </w:rPr>
              <w:t>电缆分接箱技术参数</w:t>
            </w:r>
          </w:p>
        </w:tc>
      </w:tr>
      <w:tr>
        <w:tblPrEx>
          <w:tblCellMar>
            <w:top w:w="0" w:type="dxa"/>
            <w:left w:w="108" w:type="dxa"/>
            <w:bottom w:w="0" w:type="dxa"/>
            <w:right w:w="108" w:type="dxa"/>
          </w:tblCellMar>
        </w:tblPrEx>
        <w:trPr>
          <w:trHeight w:val="311" w:hRule="atLeast"/>
        </w:trPr>
        <w:tc>
          <w:tcPr>
            <w:tcW w:w="699" w:type="dxa"/>
            <w:tcBorders>
              <w:top w:val="nil"/>
              <w:left w:val="single" w:color="auto" w:sz="4" w:space="0"/>
              <w:bottom w:val="single" w:color="auto" w:sz="4" w:space="0"/>
              <w:right w:val="single" w:color="auto" w:sz="4" w:space="0"/>
            </w:tcBorders>
            <w:noWrap w:val="0"/>
            <w:vAlign w:val="center"/>
          </w:tcPr>
          <w:p>
            <w:pPr>
              <w:widowControl/>
              <w:jc w:val="left"/>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w:t>
            </w:r>
          </w:p>
        </w:tc>
        <w:tc>
          <w:tcPr>
            <w:tcW w:w="2298"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进出线方式</w:t>
            </w:r>
          </w:p>
        </w:tc>
        <w:tc>
          <w:tcPr>
            <w:tcW w:w="2428"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auto"/>
                <w:sz w:val="18"/>
                <w:szCs w:val="18"/>
                <w:highlight w:val="none"/>
              </w:rPr>
            </w:pPr>
            <w:bookmarkStart w:id="1" w:name="OLE_LINK128"/>
            <w:bookmarkStart w:id="2" w:name="OLE_LINK129"/>
            <w:r>
              <w:rPr>
                <w:rFonts w:hint="eastAsia" w:ascii="仿宋" w:hAnsi="仿宋" w:eastAsia="仿宋" w:cs="仿宋"/>
                <w:color w:val="auto"/>
                <w:sz w:val="18"/>
                <w:szCs w:val="18"/>
                <w:highlight w:val="none"/>
              </w:rPr>
              <w:t>1回</w:t>
            </w:r>
            <w:bookmarkEnd w:id="1"/>
            <w:bookmarkEnd w:id="2"/>
            <w:r>
              <w:rPr>
                <w:rFonts w:hint="eastAsia" w:ascii="仿宋" w:hAnsi="仿宋" w:eastAsia="仿宋" w:cs="仿宋"/>
                <w:color w:val="auto"/>
                <w:sz w:val="18"/>
                <w:szCs w:val="18"/>
                <w:highlight w:val="none"/>
              </w:rPr>
              <w:t>进线、2回出线</w:t>
            </w:r>
          </w:p>
        </w:tc>
        <w:tc>
          <w:tcPr>
            <w:tcW w:w="1561"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可选</w:t>
            </w:r>
          </w:p>
        </w:tc>
        <w:tc>
          <w:tcPr>
            <w:tcW w:w="1453"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符合标准参数值</w:t>
            </w:r>
          </w:p>
        </w:tc>
      </w:tr>
      <w:tr>
        <w:tblPrEx>
          <w:tblCellMar>
            <w:top w:w="0" w:type="dxa"/>
            <w:left w:w="108" w:type="dxa"/>
            <w:bottom w:w="0" w:type="dxa"/>
            <w:right w:w="108" w:type="dxa"/>
          </w:tblCellMar>
        </w:tblPrEx>
        <w:trPr>
          <w:trHeight w:val="722" w:hRule="atLeast"/>
        </w:trPr>
        <w:tc>
          <w:tcPr>
            <w:tcW w:w="699" w:type="dxa"/>
            <w:tcBorders>
              <w:top w:val="nil"/>
              <w:left w:val="single" w:color="auto" w:sz="4" w:space="0"/>
              <w:bottom w:val="single" w:color="auto" w:sz="4" w:space="0"/>
              <w:right w:val="single" w:color="auto" w:sz="4" w:space="0"/>
            </w:tcBorders>
            <w:noWrap w:val="0"/>
            <w:vAlign w:val="center"/>
          </w:tcPr>
          <w:p>
            <w:pPr>
              <w:widowControl/>
              <w:jc w:val="left"/>
              <w:rPr>
                <w:rFonts w:hint="eastAsia" w:ascii="仿宋" w:hAnsi="仿宋" w:eastAsia="仿宋" w:cs="仿宋"/>
                <w:color w:val="auto"/>
                <w:kern w:val="0"/>
                <w:sz w:val="18"/>
                <w:szCs w:val="18"/>
                <w:highlight w:val="none"/>
                <w:lang w:eastAsia="zh-CN"/>
              </w:rPr>
            </w:pPr>
            <w:r>
              <w:rPr>
                <w:rFonts w:hint="eastAsia" w:ascii="仿宋" w:hAnsi="仿宋" w:eastAsia="仿宋" w:cs="仿宋"/>
                <w:color w:val="auto"/>
                <w:kern w:val="0"/>
                <w:sz w:val="18"/>
                <w:szCs w:val="18"/>
                <w:highlight w:val="none"/>
                <w:lang w:val="en-US" w:eastAsia="zh-CN"/>
              </w:rPr>
              <w:t>2</w:t>
            </w:r>
          </w:p>
        </w:tc>
        <w:tc>
          <w:tcPr>
            <w:tcW w:w="2298"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箱体外形尺寸</w:t>
            </w:r>
          </w:p>
        </w:tc>
        <w:tc>
          <w:tcPr>
            <w:tcW w:w="2428"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落地式600×370×1200</w:t>
            </w:r>
          </w:p>
        </w:tc>
        <w:tc>
          <w:tcPr>
            <w:tcW w:w="1561"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单一</w:t>
            </w:r>
          </w:p>
        </w:tc>
        <w:tc>
          <w:tcPr>
            <w:tcW w:w="1453"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color w:val="auto"/>
                <w:kern w:val="0"/>
                <w:sz w:val="18"/>
                <w:szCs w:val="18"/>
                <w:highlight w:val="none"/>
              </w:rPr>
            </w:pPr>
            <w:bookmarkStart w:id="3" w:name="OLE_LINK130"/>
            <w:bookmarkStart w:id="4" w:name="OLE_LINK131"/>
            <w:r>
              <w:rPr>
                <w:rFonts w:hint="eastAsia" w:ascii="仿宋" w:hAnsi="仿宋" w:eastAsia="仿宋" w:cs="仿宋"/>
                <w:color w:val="auto"/>
                <w:kern w:val="0"/>
                <w:sz w:val="18"/>
                <w:szCs w:val="18"/>
                <w:highlight w:val="none"/>
              </w:rPr>
              <w:t>符合标准参数值</w:t>
            </w:r>
            <w:bookmarkEnd w:id="3"/>
            <w:bookmarkEnd w:id="4"/>
          </w:p>
        </w:tc>
      </w:tr>
      <w:tr>
        <w:tblPrEx>
          <w:tblCellMar>
            <w:top w:w="0" w:type="dxa"/>
            <w:left w:w="108" w:type="dxa"/>
            <w:bottom w:w="0" w:type="dxa"/>
            <w:right w:w="108" w:type="dxa"/>
          </w:tblCellMar>
        </w:tblPrEx>
        <w:trPr>
          <w:trHeight w:val="320" w:hRule="atLeast"/>
        </w:trPr>
        <w:tc>
          <w:tcPr>
            <w:tcW w:w="699" w:type="dxa"/>
            <w:tcBorders>
              <w:top w:val="nil"/>
              <w:left w:val="single" w:color="auto" w:sz="4" w:space="0"/>
              <w:bottom w:val="single" w:color="auto" w:sz="4" w:space="0"/>
              <w:right w:val="single" w:color="auto" w:sz="4" w:space="0"/>
            </w:tcBorders>
            <w:noWrap w:val="0"/>
            <w:vAlign w:val="center"/>
          </w:tcPr>
          <w:p>
            <w:pPr>
              <w:widowControl/>
              <w:jc w:val="left"/>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3</w:t>
            </w:r>
          </w:p>
        </w:tc>
        <w:tc>
          <w:tcPr>
            <w:tcW w:w="2298"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母排</w:t>
            </w:r>
          </w:p>
        </w:tc>
        <w:tc>
          <w:tcPr>
            <w:tcW w:w="2428" w:type="dxa"/>
            <w:tcBorders>
              <w:top w:val="nil"/>
              <w:left w:val="nil"/>
              <w:bottom w:val="single" w:color="auto" w:sz="4" w:space="0"/>
              <w:right w:val="single" w:color="auto" w:sz="4" w:space="0"/>
            </w:tcBorders>
            <w:noWrap w:val="0"/>
            <w:vAlign w:val="center"/>
          </w:tcPr>
          <w:p>
            <w:pP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TMY-40×6</w:t>
            </w:r>
          </w:p>
        </w:tc>
        <w:tc>
          <w:tcPr>
            <w:tcW w:w="1561"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单一</w:t>
            </w:r>
          </w:p>
        </w:tc>
        <w:tc>
          <w:tcPr>
            <w:tcW w:w="1453"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符合标准参数值</w:t>
            </w:r>
          </w:p>
        </w:tc>
      </w:tr>
    </w:tbl>
    <w:p>
      <w:pPr>
        <w:pStyle w:val="10"/>
        <w:keepNext w:val="0"/>
        <w:keepLines w:val="0"/>
        <w:pageBreakBefore w:val="0"/>
        <w:kinsoku/>
        <w:wordWrap/>
        <w:overflowPunct/>
        <w:topLinePunct w:val="0"/>
        <w:bidi w:val="0"/>
        <w:spacing w:line="360" w:lineRule="auto"/>
        <w:ind w:left="0" w:leftChars="0" w:firstLine="0" w:firstLineChars="0"/>
        <w:rPr>
          <w:rFonts w:hint="eastAsia" w:ascii="仿宋" w:hAnsi="仿宋" w:eastAsia="仿宋" w:cs="仿宋"/>
          <w:b/>
          <w:bCs/>
          <w:color w:val="auto"/>
          <w:lang w:val="en-US" w:eastAsia="zh-CN"/>
        </w:rPr>
      </w:pPr>
      <w:r>
        <w:rPr>
          <w:rFonts w:hint="eastAsia" w:ascii="仿宋" w:hAnsi="仿宋" w:eastAsia="仿宋" w:cs="仿宋"/>
          <w:b/>
          <w:bCs/>
          <w:color w:val="auto"/>
          <w:sz w:val="21"/>
          <w:szCs w:val="21"/>
          <w:highlight w:val="none"/>
          <w:lang w:val="en-US" w:eastAsia="zh-CN"/>
        </w:rPr>
        <w:t>3.2</w:t>
      </w:r>
      <w:r>
        <w:rPr>
          <w:rFonts w:hint="eastAsia" w:ascii="仿宋" w:hAnsi="仿宋" w:eastAsia="仿宋" w:cs="仿宋"/>
          <w:b/>
          <w:bCs/>
          <w:color w:val="auto"/>
          <w:lang w:val="en-US" w:eastAsia="zh-CN"/>
        </w:rPr>
        <w:t>项目进度要求</w:t>
      </w:r>
    </w:p>
    <w:tbl>
      <w:tblPr>
        <w:tblStyle w:val="1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01"/>
        <w:gridCol w:w="42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01" w:type="dxa"/>
            <w:shd w:val="clear" w:color="auto" w:fill="D9D9D9"/>
            <w:vAlign w:val="center"/>
          </w:tcPr>
          <w:p>
            <w:pPr>
              <w:pStyle w:val="14"/>
              <w:adjustRightInd/>
              <w:snapToGrid/>
              <w:spacing w:line="360" w:lineRule="auto"/>
              <w:ind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时间</w:t>
            </w:r>
          </w:p>
        </w:tc>
        <w:tc>
          <w:tcPr>
            <w:tcW w:w="4221" w:type="dxa"/>
            <w:shd w:val="clear" w:color="auto" w:fill="D9D9D9"/>
            <w:vAlign w:val="center"/>
          </w:tcPr>
          <w:p>
            <w:pPr>
              <w:pStyle w:val="14"/>
              <w:adjustRightInd/>
              <w:snapToGrid/>
              <w:spacing w:line="360" w:lineRule="auto"/>
              <w:ind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主要工作内容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01" w:type="dxa"/>
            <w:vAlign w:val="center"/>
          </w:tcPr>
          <w:p>
            <w:pPr>
              <w:pStyle w:val="14"/>
              <w:adjustRightInd/>
              <w:snapToGrid/>
              <w:spacing w:line="360" w:lineRule="auto"/>
              <w:ind w:firstLine="0" w:firstLineChars="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中标通知书发布</w:t>
            </w:r>
            <w:r>
              <w:rPr>
                <w:rFonts w:hint="eastAsia" w:ascii="仿宋" w:hAnsi="仿宋" w:eastAsia="仿宋" w:cs="仿宋"/>
                <w:color w:val="auto"/>
                <w:sz w:val="24"/>
                <w:szCs w:val="24"/>
                <w:highlight w:val="none"/>
                <w:lang w:eastAsia="zh-CN"/>
              </w:rPr>
              <w:t>之日起</w:t>
            </w:r>
            <w:r>
              <w:rPr>
                <w:rFonts w:hint="eastAsia" w:ascii="仿宋" w:hAnsi="仿宋" w:eastAsia="仿宋" w:cs="仿宋"/>
                <w:color w:val="auto"/>
                <w:sz w:val="24"/>
                <w:szCs w:val="24"/>
                <w:highlight w:val="none"/>
                <w:lang w:val="en-US" w:eastAsia="zh-CN"/>
              </w:rPr>
              <w:t>2个月内</w:t>
            </w:r>
          </w:p>
        </w:tc>
        <w:tc>
          <w:tcPr>
            <w:tcW w:w="4221" w:type="dxa"/>
            <w:vAlign w:val="center"/>
          </w:tcPr>
          <w:p>
            <w:pPr>
              <w:pStyle w:val="14"/>
              <w:adjustRightInd/>
              <w:snapToGrid/>
              <w:spacing w:line="36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完成设备供货、调试、验收</w:t>
            </w:r>
          </w:p>
        </w:tc>
      </w:tr>
    </w:tbl>
    <w:p>
      <w:pPr>
        <w:keepNext w:val="0"/>
        <w:keepLines w:val="0"/>
        <w:pageBreakBefore w:val="0"/>
        <w:numPr>
          <w:ilvl w:val="0"/>
          <w:numId w:val="0"/>
        </w:numPr>
        <w:kinsoku/>
        <w:wordWrap/>
        <w:overflowPunct/>
        <w:topLinePunct w:val="0"/>
        <w:bidi w:val="0"/>
        <w:spacing w:line="36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四.设备要求</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4.1 包装方式和要求：</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4.1.1 设备制造完成并通过试验后应及时包装, 否则应得到切实的保护, 确保其不受污损。</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4.1.2所有部件经妥善包装或装箱后, 在运输过程中尚应采取其它防护措施, 以免散失损坏或被盗。</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4.1.3在包装箱外应标明需方的订货号、发货号。</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4.1.4各种包装应能确保各零部件在运输过程中不致遭到损坏、丢失、变形、受潮和腐蚀。</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4.1.5包装箱上应有明显的包装储运图示标志(按 GB/T 191-2008)。</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4.1.6整体产品或分别运输的部件都要适合运输和装载的要求。</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4.1.7随产品提供的技术资料应完整无缺。</w:t>
      </w:r>
    </w:p>
    <w:p>
      <w:pPr>
        <w:widowControl/>
        <w:adjustRightInd w:val="0"/>
        <w:snapToGrid w:val="0"/>
        <w:spacing w:line="360" w:lineRule="auto"/>
        <w:jc w:val="left"/>
        <w:rPr>
          <w:rFonts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4.2 运输：</w:t>
      </w:r>
    </w:p>
    <w:p>
      <w:pPr>
        <w:widowControl/>
        <w:adjustRightInd w:val="0"/>
        <w:snapToGrid w:val="0"/>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必须采取符合设备要求的合理形式对设备运输和贮存，并且由委托方专人全程跟踪。</w:t>
      </w:r>
    </w:p>
    <w:p>
      <w:pPr>
        <w:widowControl/>
        <w:adjustRightInd w:val="0"/>
        <w:snapToGrid w:val="0"/>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设备从乙方地到目的地的运输由乙方负责。</w:t>
      </w:r>
    </w:p>
    <w:p>
      <w:pPr>
        <w:widowControl/>
        <w:adjustRightInd w:val="0"/>
        <w:snapToGrid w:val="0"/>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在设备抵达目的地后，乙方组织、甲方参加，开箱验收。如果发现任一设备有偏差、损坏、损失、遗漏或数量、质量、技术规范因乙方的责任与</w:t>
      </w:r>
      <w:r>
        <w:rPr>
          <w:rFonts w:hint="eastAsia" w:ascii="仿宋" w:hAnsi="仿宋" w:eastAsia="仿宋" w:cs="仿宋"/>
          <w:color w:val="auto"/>
          <w:kern w:val="0"/>
          <w:szCs w:val="21"/>
          <w:highlight w:val="none"/>
          <w:lang w:val="en-US" w:eastAsia="zh-CN"/>
        </w:rPr>
        <w:t>技术规范书</w:t>
      </w:r>
      <w:r>
        <w:rPr>
          <w:rFonts w:hint="eastAsia" w:ascii="仿宋" w:hAnsi="仿宋" w:eastAsia="仿宋" w:cs="仿宋"/>
          <w:color w:val="auto"/>
          <w:kern w:val="0"/>
          <w:szCs w:val="21"/>
          <w:highlight w:val="none"/>
        </w:rPr>
        <w:t>不符，甲方有权向乙方提出索赔。</w:t>
      </w:r>
    </w:p>
    <w:p>
      <w:pPr>
        <w:widowControl/>
        <w:adjustRightInd w:val="0"/>
        <w:snapToGrid w:val="0"/>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现场交接的最终验收完成之后，乙方代表将设备移交甲方进行贮存。</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4.2 标的物交付时间：</w:t>
      </w:r>
      <w:r>
        <w:rPr>
          <w:rFonts w:hint="eastAsia" w:ascii="仿宋" w:hAnsi="仿宋" w:eastAsia="仿宋" w:cs="仿宋"/>
          <w:color w:val="auto"/>
          <w:kern w:val="0"/>
          <w:szCs w:val="21"/>
          <w:highlight w:val="none"/>
        </w:rPr>
        <w:t xml:space="preserve"> </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4.2.1交货期限为：自</w:t>
      </w:r>
      <w:r>
        <w:rPr>
          <w:rFonts w:hint="eastAsia" w:ascii="仿宋" w:hAnsi="仿宋" w:eastAsia="仿宋" w:cs="仿宋"/>
          <w:color w:val="auto"/>
          <w:kern w:val="0"/>
          <w:szCs w:val="21"/>
          <w:highlight w:val="none"/>
          <w:lang w:val="en-US" w:eastAsia="zh-CN"/>
        </w:rPr>
        <w:t>中标</w:t>
      </w:r>
      <w:r>
        <w:rPr>
          <w:rFonts w:hint="eastAsia" w:ascii="仿宋" w:hAnsi="仿宋" w:eastAsia="仿宋" w:cs="仿宋"/>
          <w:color w:val="auto"/>
          <w:kern w:val="0"/>
          <w:szCs w:val="21"/>
          <w:highlight w:val="none"/>
        </w:rPr>
        <w:t>之日起</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u w:val="single"/>
          <w:lang w:val="en-US" w:eastAsia="zh-CN"/>
        </w:rPr>
        <w:t>30</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rPr>
        <w:t>天内完成。</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4.2.2交货方式：接到买方通知之日起</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u w:val="single"/>
          <w:lang w:val="en-US" w:eastAsia="zh-CN"/>
        </w:rPr>
        <w:t>30</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rPr>
        <w:t>日内交货到买方指定地点（具体交货期以买方联系函为准）。</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4.2.3如中标人逾期交货，取消中标人中标资格，并依法追究其法律责任。</w:t>
      </w:r>
    </w:p>
    <w:p>
      <w:pPr>
        <w:spacing w:line="360" w:lineRule="auto"/>
        <w:rPr>
          <w:rFonts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4.</w:t>
      </w:r>
      <w:r>
        <w:rPr>
          <w:rFonts w:hint="eastAsia" w:ascii="仿宋" w:hAnsi="仿宋" w:eastAsia="仿宋" w:cs="仿宋"/>
          <w:b/>
          <w:bCs/>
          <w:color w:val="auto"/>
          <w:kern w:val="0"/>
          <w:szCs w:val="21"/>
          <w:highlight w:val="none"/>
          <w:lang w:val="en-US" w:eastAsia="zh-CN"/>
        </w:rPr>
        <w:t>3</w:t>
      </w:r>
      <w:r>
        <w:rPr>
          <w:rFonts w:hint="eastAsia" w:ascii="仿宋" w:hAnsi="仿宋" w:eastAsia="仿宋" w:cs="仿宋"/>
          <w:b/>
          <w:bCs/>
          <w:color w:val="auto"/>
          <w:kern w:val="0"/>
          <w:szCs w:val="21"/>
          <w:highlight w:val="none"/>
        </w:rPr>
        <w:t xml:space="preserve"> 验收地点：</w:t>
      </w:r>
    </w:p>
    <w:p>
      <w:pPr>
        <w:spacing w:line="360" w:lineRule="auto"/>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云南电力试验研究院（集团）有限公司指定位置</w:t>
      </w:r>
    </w:p>
    <w:p>
      <w:pPr>
        <w:widowControl/>
        <w:adjustRightInd w:val="0"/>
        <w:snapToGrid w:val="0"/>
        <w:spacing w:line="360" w:lineRule="auto"/>
        <w:jc w:val="left"/>
        <w:rPr>
          <w:rFonts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4.</w:t>
      </w:r>
      <w:r>
        <w:rPr>
          <w:rFonts w:hint="eastAsia" w:ascii="仿宋" w:hAnsi="仿宋" w:eastAsia="仿宋" w:cs="仿宋"/>
          <w:b/>
          <w:bCs/>
          <w:color w:val="auto"/>
          <w:kern w:val="0"/>
          <w:szCs w:val="21"/>
          <w:highlight w:val="none"/>
          <w:lang w:val="en-US" w:eastAsia="zh-CN"/>
        </w:rPr>
        <w:t>4</w:t>
      </w:r>
      <w:r>
        <w:rPr>
          <w:rFonts w:hint="eastAsia" w:ascii="仿宋" w:hAnsi="仿宋" w:eastAsia="仿宋" w:cs="仿宋"/>
          <w:b/>
          <w:bCs/>
          <w:color w:val="auto"/>
          <w:kern w:val="0"/>
          <w:szCs w:val="21"/>
          <w:highlight w:val="none"/>
        </w:rPr>
        <w:t xml:space="preserve"> 安装和调试：</w:t>
      </w:r>
    </w:p>
    <w:p>
      <w:pPr>
        <w:widowControl/>
        <w:spacing w:line="360" w:lineRule="auto"/>
        <w:jc w:val="left"/>
        <w:rPr>
          <w:rFonts w:ascii="仿宋" w:hAnsi="仿宋" w:eastAsia="仿宋" w:cs="仿宋"/>
          <w:color w:val="auto"/>
          <w:szCs w:val="21"/>
          <w:highlight w:val="none"/>
        </w:rPr>
      </w:pPr>
      <w:r>
        <w:rPr>
          <w:rFonts w:hint="eastAsia" w:ascii="仿宋" w:hAnsi="仿宋" w:eastAsia="仿宋" w:cs="仿宋"/>
          <w:color w:val="auto"/>
          <w:kern w:val="0"/>
          <w:szCs w:val="21"/>
          <w:highlight w:val="none"/>
        </w:rPr>
        <w:t>4.</w:t>
      </w:r>
      <w:r>
        <w:rPr>
          <w:rFonts w:hint="eastAsia" w:ascii="仿宋" w:hAnsi="仿宋" w:eastAsia="仿宋" w:cs="仿宋"/>
          <w:color w:val="auto"/>
          <w:kern w:val="0"/>
          <w:szCs w:val="21"/>
          <w:highlight w:val="none"/>
          <w:lang w:val="en-US" w:eastAsia="zh-CN"/>
        </w:rPr>
        <w:t>4</w:t>
      </w:r>
      <w:r>
        <w:rPr>
          <w:rFonts w:hint="eastAsia" w:ascii="仿宋" w:hAnsi="仿宋" w:eastAsia="仿宋" w:cs="仿宋"/>
          <w:color w:val="auto"/>
          <w:kern w:val="0"/>
          <w:szCs w:val="21"/>
          <w:highlight w:val="none"/>
        </w:rPr>
        <w:t>.</w:t>
      </w:r>
      <w:r>
        <w:rPr>
          <w:rFonts w:hint="eastAsia" w:ascii="仿宋" w:hAnsi="仿宋" w:eastAsia="仿宋" w:cs="仿宋"/>
          <w:color w:val="auto"/>
          <w:kern w:val="0"/>
          <w:szCs w:val="21"/>
          <w:highlight w:val="none"/>
          <w:lang w:bidi="ar"/>
        </w:rPr>
        <w:t>1乙方负责按国家相关标准或要求及本</w:t>
      </w:r>
      <w:r>
        <w:rPr>
          <w:rFonts w:hint="eastAsia" w:ascii="仿宋" w:hAnsi="仿宋" w:eastAsia="仿宋" w:cs="仿宋"/>
          <w:color w:val="auto"/>
          <w:kern w:val="0"/>
          <w:szCs w:val="21"/>
          <w:highlight w:val="none"/>
          <w:lang w:val="en-US" w:eastAsia="zh-CN" w:bidi="ar"/>
        </w:rPr>
        <w:t>技术规范书</w:t>
      </w:r>
      <w:r>
        <w:rPr>
          <w:rFonts w:hint="eastAsia" w:ascii="仿宋" w:hAnsi="仿宋" w:eastAsia="仿宋" w:cs="仿宋"/>
          <w:color w:val="auto"/>
          <w:kern w:val="0"/>
          <w:szCs w:val="21"/>
          <w:highlight w:val="none"/>
          <w:lang w:bidi="ar"/>
        </w:rPr>
        <w:t>的约定进行安装和调试的工作，以使设备具备正常安全预定的使用功能及性能，并满足</w:t>
      </w:r>
      <w:r>
        <w:rPr>
          <w:rFonts w:hint="eastAsia" w:ascii="仿宋" w:hAnsi="仿宋" w:eastAsia="仿宋" w:cs="仿宋"/>
          <w:color w:val="auto"/>
          <w:kern w:val="0"/>
          <w:szCs w:val="21"/>
          <w:highlight w:val="none"/>
          <w:lang w:val="en-US" w:eastAsia="zh-CN" w:bidi="ar"/>
        </w:rPr>
        <w:t>技术规范书</w:t>
      </w:r>
      <w:r>
        <w:rPr>
          <w:rFonts w:hint="eastAsia" w:ascii="仿宋" w:hAnsi="仿宋" w:eastAsia="仿宋" w:cs="仿宋"/>
          <w:color w:val="auto"/>
          <w:kern w:val="0"/>
          <w:szCs w:val="21"/>
          <w:highlight w:val="none"/>
          <w:lang w:bidi="ar"/>
        </w:rPr>
        <w:t>要求。并负责对甲方人员进行技术指导及培训，直到甲方人员能正常、正确、安全操作该设备为止，以保证货物达到预定的性能。乙方承担安装期间所有的安装调试费用，接受并服从甲方的管理与监督。</w:t>
      </w:r>
      <w:r>
        <w:rPr>
          <w:rFonts w:hint="eastAsia" w:ascii="仿宋" w:hAnsi="仿宋" w:eastAsia="仿宋" w:cs="仿宋"/>
          <w:color w:val="auto"/>
          <w:kern w:val="0"/>
          <w:szCs w:val="21"/>
          <w:highlight w:val="none"/>
          <w:lang w:bidi="ar"/>
        </w:rPr>
        <w:br w:type="textWrapping"/>
      </w:r>
      <w:r>
        <w:rPr>
          <w:rFonts w:hint="eastAsia" w:ascii="仿宋" w:hAnsi="仿宋" w:eastAsia="仿宋" w:cs="仿宋"/>
          <w:color w:val="auto"/>
          <w:kern w:val="0"/>
          <w:szCs w:val="21"/>
          <w:highlight w:val="none"/>
        </w:rPr>
        <w:t>4.</w:t>
      </w:r>
      <w:r>
        <w:rPr>
          <w:rFonts w:hint="eastAsia" w:ascii="仿宋" w:hAnsi="仿宋" w:eastAsia="仿宋" w:cs="仿宋"/>
          <w:color w:val="auto"/>
          <w:kern w:val="0"/>
          <w:szCs w:val="21"/>
          <w:highlight w:val="none"/>
          <w:lang w:val="en-US" w:eastAsia="zh-CN"/>
        </w:rPr>
        <w:t>4</w:t>
      </w:r>
      <w:r>
        <w:rPr>
          <w:rFonts w:hint="eastAsia" w:ascii="仿宋" w:hAnsi="仿宋" w:eastAsia="仿宋" w:cs="仿宋"/>
          <w:color w:val="auto"/>
          <w:kern w:val="0"/>
          <w:szCs w:val="21"/>
          <w:highlight w:val="none"/>
        </w:rPr>
        <w:t>.</w:t>
      </w:r>
      <w:r>
        <w:rPr>
          <w:rFonts w:hint="eastAsia" w:ascii="仿宋" w:hAnsi="仿宋" w:eastAsia="仿宋" w:cs="仿宋"/>
          <w:color w:val="auto"/>
          <w:kern w:val="0"/>
          <w:szCs w:val="21"/>
          <w:highlight w:val="none"/>
          <w:lang w:bidi="ar"/>
        </w:rPr>
        <w:t>2乙方应在货物初步验收合格后</w:t>
      </w:r>
      <w:r>
        <w:rPr>
          <w:rFonts w:hint="eastAsia" w:ascii="仿宋" w:hAnsi="仿宋" w:eastAsia="仿宋" w:cs="仿宋"/>
          <w:color w:val="auto"/>
          <w:kern w:val="0"/>
          <w:szCs w:val="21"/>
          <w:highlight w:val="none"/>
          <w:u w:val="single"/>
          <w:lang w:bidi="ar"/>
        </w:rPr>
        <w:t xml:space="preserve">  </w:t>
      </w:r>
      <w:r>
        <w:rPr>
          <w:rFonts w:hint="eastAsia" w:ascii="仿宋" w:hAnsi="仿宋" w:eastAsia="仿宋" w:cs="仿宋"/>
          <w:color w:val="auto"/>
          <w:kern w:val="0"/>
          <w:szCs w:val="21"/>
          <w:highlight w:val="none"/>
          <w:u w:val="single"/>
          <w:lang w:val="en-US" w:eastAsia="zh-CN" w:bidi="ar"/>
        </w:rPr>
        <w:t>5</w:t>
      </w:r>
      <w:r>
        <w:rPr>
          <w:rFonts w:hint="eastAsia" w:ascii="仿宋" w:hAnsi="仿宋" w:eastAsia="仿宋" w:cs="仿宋"/>
          <w:color w:val="auto"/>
          <w:kern w:val="0"/>
          <w:szCs w:val="21"/>
          <w:highlight w:val="none"/>
          <w:u w:val="single"/>
          <w:lang w:bidi="ar"/>
        </w:rPr>
        <w:t xml:space="preserve"> </w:t>
      </w:r>
      <w:r>
        <w:rPr>
          <w:rFonts w:hint="eastAsia" w:ascii="仿宋" w:hAnsi="仿宋" w:eastAsia="仿宋" w:cs="仿宋"/>
          <w:color w:val="auto"/>
          <w:kern w:val="0"/>
          <w:szCs w:val="21"/>
          <w:highlight w:val="none"/>
          <w:lang w:bidi="ar"/>
        </w:rPr>
        <w:t>日内安装调试培训完毕，在乙方安装调试过程中，乙方应严格按照操作规程进行操作，并承担安装调试过程中发生的一切责任及费用。安装调试期间本项目的半成品、材料、设备及工具等，由乙方自行保管，如有遗失或损坏，由乙方自行承担责任。</w:t>
      </w:r>
      <w:r>
        <w:rPr>
          <w:rFonts w:hint="eastAsia" w:ascii="仿宋" w:hAnsi="仿宋" w:eastAsia="仿宋" w:cs="仿宋"/>
          <w:color w:val="auto"/>
          <w:kern w:val="0"/>
          <w:szCs w:val="21"/>
          <w:highlight w:val="none"/>
          <w:lang w:bidi="ar"/>
        </w:rPr>
        <w:br w:type="textWrapping"/>
      </w:r>
      <w:r>
        <w:rPr>
          <w:rFonts w:hint="eastAsia" w:ascii="仿宋" w:hAnsi="仿宋" w:eastAsia="仿宋" w:cs="仿宋"/>
          <w:color w:val="auto"/>
          <w:kern w:val="0"/>
          <w:szCs w:val="21"/>
          <w:highlight w:val="none"/>
        </w:rPr>
        <w:t>4.</w:t>
      </w:r>
      <w:r>
        <w:rPr>
          <w:rFonts w:hint="eastAsia" w:ascii="仿宋" w:hAnsi="仿宋" w:eastAsia="仿宋" w:cs="仿宋"/>
          <w:color w:val="auto"/>
          <w:kern w:val="0"/>
          <w:szCs w:val="21"/>
          <w:highlight w:val="none"/>
          <w:lang w:val="en-US" w:eastAsia="zh-CN"/>
        </w:rPr>
        <w:t>4</w:t>
      </w:r>
      <w:r>
        <w:rPr>
          <w:rFonts w:hint="eastAsia" w:ascii="仿宋" w:hAnsi="仿宋" w:eastAsia="仿宋" w:cs="仿宋"/>
          <w:color w:val="auto"/>
          <w:kern w:val="0"/>
          <w:szCs w:val="21"/>
          <w:highlight w:val="none"/>
        </w:rPr>
        <w:t>.</w:t>
      </w:r>
      <w:r>
        <w:rPr>
          <w:rFonts w:hint="eastAsia" w:ascii="仿宋" w:hAnsi="仿宋" w:eastAsia="仿宋" w:cs="仿宋"/>
          <w:color w:val="auto"/>
          <w:kern w:val="0"/>
          <w:szCs w:val="21"/>
          <w:highlight w:val="none"/>
          <w:lang w:bidi="ar"/>
        </w:rPr>
        <w:t>3货物安装调试完毕正常运行</w:t>
      </w:r>
      <w:r>
        <w:rPr>
          <w:rFonts w:hint="eastAsia" w:ascii="仿宋" w:hAnsi="仿宋" w:eastAsia="仿宋" w:cs="仿宋"/>
          <w:color w:val="auto"/>
          <w:kern w:val="0"/>
          <w:szCs w:val="21"/>
          <w:highlight w:val="none"/>
          <w:u w:val="single"/>
          <w:lang w:bidi="ar"/>
        </w:rPr>
        <w:t xml:space="preserve">  </w:t>
      </w:r>
      <w:r>
        <w:rPr>
          <w:rFonts w:hint="eastAsia" w:ascii="仿宋" w:hAnsi="仿宋" w:eastAsia="仿宋" w:cs="仿宋"/>
          <w:color w:val="auto"/>
          <w:kern w:val="0"/>
          <w:szCs w:val="21"/>
          <w:highlight w:val="none"/>
          <w:u w:val="single"/>
          <w:lang w:val="en-US" w:eastAsia="zh-CN" w:bidi="ar"/>
        </w:rPr>
        <w:t>3</w:t>
      </w:r>
      <w:r>
        <w:rPr>
          <w:rFonts w:ascii="仿宋" w:hAnsi="仿宋" w:eastAsia="仿宋" w:cs="仿宋"/>
          <w:color w:val="auto"/>
          <w:kern w:val="0"/>
          <w:szCs w:val="21"/>
          <w:highlight w:val="none"/>
          <w:u w:val="single"/>
          <w:lang w:bidi="ar"/>
        </w:rPr>
        <w:t>0</w:t>
      </w:r>
      <w:r>
        <w:rPr>
          <w:rFonts w:hint="eastAsia" w:ascii="仿宋" w:hAnsi="仿宋" w:eastAsia="仿宋" w:cs="仿宋"/>
          <w:color w:val="auto"/>
          <w:kern w:val="0"/>
          <w:szCs w:val="21"/>
          <w:highlight w:val="none"/>
          <w:u w:val="single"/>
          <w:lang w:bidi="ar"/>
        </w:rPr>
        <w:t xml:space="preserve">  </w:t>
      </w:r>
      <w:r>
        <w:rPr>
          <w:rFonts w:hint="eastAsia" w:ascii="仿宋" w:hAnsi="仿宋" w:eastAsia="仿宋" w:cs="仿宋"/>
          <w:color w:val="auto"/>
          <w:kern w:val="0"/>
          <w:szCs w:val="21"/>
          <w:highlight w:val="none"/>
          <w:lang w:bidi="ar"/>
        </w:rPr>
        <w:t>日内，甲方应及时组织人员对货物进行测试或试运行。若货物存在缺陷，乙方应在</w:t>
      </w:r>
      <w:r>
        <w:rPr>
          <w:rFonts w:hint="eastAsia" w:ascii="仿宋" w:hAnsi="仿宋" w:eastAsia="仿宋" w:cs="仿宋"/>
          <w:color w:val="auto"/>
          <w:kern w:val="0"/>
          <w:szCs w:val="21"/>
          <w:highlight w:val="none"/>
          <w:u w:val="single"/>
          <w:lang w:bidi="ar"/>
        </w:rPr>
        <w:t xml:space="preserve"> </w:t>
      </w:r>
      <w:r>
        <w:rPr>
          <w:rFonts w:hint="eastAsia" w:ascii="仿宋" w:hAnsi="仿宋" w:eastAsia="仿宋" w:cs="仿宋"/>
          <w:color w:val="auto"/>
          <w:kern w:val="0"/>
          <w:szCs w:val="21"/>
          <w:highlight w:val="none"/>
          <w:u w:val="single"/>
          <w:lang w:val="en-US" w:eastAsia="zh-CN" w:bidi="ar"/>
        </w:rPr>
        <w:t>10</w:t>
      </w:r>
      <w:r>
        <w:rPr>
          <w:rFonts w:hint="eastAsia" w:ascii="仿宋" w:hAnsi="仿宋" w:eastAsia="仿宋" w:cs="仿宋"/>
          <w:color w:val="auto"/>
          <w:kern w:val="0"/>
          <w:szCs w:val="21"/>
          <w:highlight w:val="none"/>
          <w:u w:val="single"/>
          <w:lang w:bidi="ar"/>
        </w:rPr>
        <w:t xml:space="preserve"> </w:t>
      </w:r>
      <w:r>
        <w:rPr>
          <w:rFonts w:hint="eastAsia" w:ascii="仿宋" w:hAnsi="仿宋" w:eastAsia="仿宋" w:cs="仿宋"/>
          <w:color w:val="auto"/>
          <w:kern w:val="0"/>
          <w:szCs w:val="21"/>
          <w:highlight w:val="none"/>
          <w:lang w:bidi="ar"/>
        </w:rPr>
        <w:t>日内及时整改</w:t>
      </w:r>
      <w:r>
        <w:rPr>
          <w:rFonts w:hint="eastAsia" w:ascii="仿宋" w:hAnsi="仿宋" w:eastAsia="仿宋" w:cs="仿宋"/>
          <w:color w:val="auto"/>
          <w:kern w:val="0"/>
          <w:szCs w:val="21"/>
          <w:highlight w:val="none"/>
          <w:lang w:eastAsia="zh-CN" w:bidi="ar"/>
        </w:rPr>
        <w:t>，</w:t>
      </w:r>
      <w:r>
        <w:rPr>
          <w:rFonts w:hint="eastAsia" w:ascii="仿宋" w:hAnsi="仿宋" w:eastAsia="仿宋" w:cs="仿宋"/>
          <w:color w:val="auto"/>
          <w:kern w:val="0"/>
          <w:szCs w:val="21"/>
          <w:highlight w:val="none"/>
          <w:lang w:bidi="ar"/>
        </w:rPr>
        <w:t>整改发生的费用应由乙方承担。</w:t>
      </w:r>
      <w:r>
        <w:rPr>
          <w:rFonts w:hint="eastAsia" w:ascii="仿宋" w:hAnsi="仿宋" w:eastAsia="仿宋" w:cs="仿宋"/>
          <w:color w:val="auto"/>
          <w:kern w:val="0"/>
          <w:szCs w:val="21"/>
          <w:highlight w:val="none"/>
          <w:lang w:bidi="ar"/>
        </w:rPr>
        <w:br w:type="textWrapping"/>
      </w:r>
      <w:r>
        <w:rPr>
          <w:rFonts w:hint="eastAsia" w:ascii="仿宋" w:hAnsi="仿宋" w:eastAsia="仿宋" w:cs="仿宋"/>
          <w:color w:val="auto"/>
          <w:kern w:val="0"/>
          <w:szCs w:val="21"/>
          <w:highlight w:val="none"/>
        </w:rPr>
        <w:t>4.</w:t>
      </w:r>
      <w:r>
        <w:rPr>
          <w:rFonts w:hint="eastAsia" w:ascii="仿宋" w:hAnsi="仿宋" w:eastAsia="仿宋" w:cs="仿宋"/>
          <w:color w:val="auto"/>
          <w:kern w:val="0"/>
          <w:szCs w:val="21"/>
          <w:highlight w:val="none"/>
          <w:lang w:val="en-US" w:eastAsia="zh-CN"/>
        </w:rPr>
        <w:t>4</w:t>
      </w:r>
      <w:r>
        <w:rPr>
          <w:rFonts w:hint="eastAsia" w:ascii="仿宋" w:hAnsi="仿宋" w:eastAsia="仿宋" w:cs="仿宋"/>
          <w:color w:val="auto"/>
          <w:kern w:val="0"/>
          <w:szCs w:val="21"/>
          <w:highlight w:val="none"/>
        </w:rPr>
        <w:t>.</w:t>
      </w:r>
      <w:r>
        <w:rPr>
          <w:rFonts w:hint="eastAsia" w:ascii="仿宋" w:hAnsi="仿宋" w:eastAsia="仿宋" w:cs="仿宋"/>
          <w:color w:val="auto"/>
          <w:kern w:val="0"/>
          <w:szCs w:val="21"/>
          <w:highlight w:val="none"/>
          <w:lang w:bidi="ar"/>
        </w:rPr>
        <w:t>4当本</w:t>
      </w:r>
      <w:r>
        <w:rPr>
          <w:rFonts w:hint="eastAsia" w:ascii="仿宋" w:hAnsi="仿宋" w:eastAsia="仿宋" w:cs="仿宋"/>
          <w:color w:val="auto"/>
          <w:kern w:val="0"/>
          <w:szCs w:val="21"/>
          <w:highlight w:val="none"/>
          <w:lang w:val="en-US" w:eastAsia="zh-CN" w:bidi="ar"/>
        </w:rPr>
        <w:t>技术规范书</w:t>
      </w:r>
      <w:r>
        <w:rPr>
          <w:rFonts w:hint="eastAsia" w:ascii="仿宋" w:hAnsi="仿宋" w:eastAsia="仿宋" w:cs="仿宋"/>
          <w:color w:val="auto"/>
          <w:kern w:val="0"/>
          <w:szCs w:val="21"/>
          <w:highlight w:val="none"/>
          <w:lang w:bidi="ar"/>
        </w:rPr>
        <w:t>所列货物安装调试培训完毕，并通过甲方的正式验收后，双方签字确认，货物正式交付给甲方，视为正式验收合格，在此之前货物的毁损、灭失等风险由乙方承担。</w:t>
      </w:r>
    </w:p>
    <w:p>
      <w:pPr>
        <w:widowControl/>
        <w:adjustRightInd w:val="0"/>
        <w:snapToGrid w:val="0"/>
        <w:spacing w:line="360" w:lineRule="auto"/>
        <w:jc w:val="left"/>
        <w:rPr>
          <w:rFonts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4.</w:t>
      </w:r>
      <w:r>
        <w:rPr>
          <w:rFonts w:hint="eastAsia" w:ascii="仿宋" w:hAnsi="仿宋" w:eastAsia="仿宋" w:cs="仿宋"/>
          <w:b/>
          <w:bCs/>
          <w:color w:val="auto"/>
          <w:kern w:val="0"/>
          <w:szCs w:val="21"/>
          <w:highlight w:val="none"/>
          <w:lang w:val="en-US" w:eastAsia="zh-CN"/>
        </w:rPr>
        <w:t>5</w:t>
      </w:r>
      <w:r>
        <w:rPr>
          <w:rFonts w:hint="eastAsia" w:ascii="仿宋" w:hAnsi="仿宋" w:eastAsia="仿宋" w:cs="仿宋"/>
          <w:b/>
          <w:bCs/>
          <w:color w:val="auto"/>
          <w:kern w:val="0"/>
          <w:szCs w:val="21"/>
          <w:highlight w:val="none"/>
        </w:rPr>
        <w:t xml:space="preserve">. 培训： </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r>
        <w:rPr>
          <w:rFonts w:hint="eastAsia" w:ascii="仿宋" w:hAnsi="仿宋" w:eastAsia="仿宋" w:cs="仿宋"/>
          <w:color w:val="auto"/>
          <w:kern w:val="0"/>
          <w:szCs w:val="21"/>
          <w:highlight w:val="none"/>
          <w:lang w:val="en-US" w:eastAsia="zh-CN"/>
        </w:rPr>
        <w:t>5</w:t>
      </w:r>
      <w:r>
        <w:rPr>
          <w:rFonts w:hint="eastAsia" w:ascii="仿宋" w:hAnsi="仿宋" w:eastAsia="仿宋" w:cs="仿宋"/>
          <w:color w:val="auto"/>
          <w:kern w:val="0"/>
          <w:szCs w:val="21"/>
          <w:highlight w:val="none"/>
        </w:rPr>
        <w:t>.1卖方应负责与</w:t>
      </w:r>
      <w:r>
        <w:rPr>
          <w:rFonts w:hint="eastAsia" w:ascii="仿宋" w:hAnsi="仿宋" w:eastAsia="仿宋" w:cs="仿宋"/>
          <w:color w:val="auto"/>
          <w:kern w:val="0"/>
          <w:szCs w:val="21"/>
          <w:highlight w:val="none"/>
          <w:lang w:val="en-US" w:eastAsia="zh-CN" w:bidi="ar"/>
        </w:rPr>
        <w:t>技术规范书</w:t>
      </w:r>
      <w:r>
        <w:rPr>
          <w:rFonts w:hint="eastAsia" w:ascii="仿宋" w:hAnsi="仿宋" w:eastAsia="仿宋" w:cs="仿宋"/>
          <w:color w:val="auto"/>
          <w:kern w:val="0"/>
          <w:szCs w:val="21"/>
          <w:highlight w:val="none"/>
        </w:rPr>
        <w:t>设备有关的培训工作。</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r>
        <w:rPr>
          <w:rFonts w:hint="eastAsia" w:ascii="仿宋" w:hAnsi="仿宋" w:eastAsia="仿宋" w:cs="仿宋"/>
          <w:color w:val="auto"/>
          <w:kern w:val="0"/>
          <w:szCs w:val="21"/>
          <w:highlight w:val="none"/>
          <w:lang w:val="en-US" w:eastAsia="zh-CN"/>
        </w:rPr>
        <w:t>5</w:t>
      </w:r>
      <w:r>
        <w:rPr>
          <w:rFonts w:hint="eastAsia" w:ascii="仿宋" w:hAnsi="仿宋" w:eastAsia="仿宋" w:cs="仿宋"/>
          <w:color w:val="auto"/>
          <w:kern w:val="0"/>
          <w:szCs w:val="21"/>
          <w:highlight w:val="none"/>
        </w:rPr>
        <w:t>.2培训至</w:t>
      </w:r>
      <w:r>
        <w:rPr>
          <w:rFonts w:hint="eastAsia" w:ascii="仿宋" w:hAnsi="仿宋" w:eastAsia="仿宋" w:cs="仿宋"/>
          <w:color w:val="auto"/>
          <w:kern w:val="0"/>
          <w:szCs w:val="21"/>
          <w:highlight w:val="none"/>
          <w:lang w:bidi="ar"/>
        </w:rPr>
        <w:t>人员能正常、正确、安全操作该设备为止</w:t>
      </w:r>
      <w:r>
        <w:rPr>
          <w:rFonts w:hint="eastAsia" w:ascii="仿宋" w:hAnsi="仿宋" w:eastAsia="仿宋" w:cs="仿宋"/>
          <w:color w:val="auto"/>
          <w:kern w:val="0"/>
          <w:szCs w:val="21"/>
          <w:highlight w:val="none"/>
        </w:rPr>
        <w:t>。</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r>
        <w:rPr>
          <w:rFonts w:hint="eastAsia" w:ascii="仿宋" w:hAnsi="仿宋" w:eastAsia="仿宋" w:cs="仿宋"/>
          <w:color w:val="auto"/>
          <w:kern w:val="0"/>
          <w:szCs w:val="21"/>
          <w:highlight w:val="none"/>
          <w:lang w:val="en-US" w:eastAsia="zh-CN"/>
        </w:rPr>
        <w:t>5</w:t>
      </w:r>
      <w:r>
        <w:rPr>
          <w:rFonts w:hint="eastAsia" w:ascii="仿宋" w:hAnsi="仿宋" w:eastAsia="仿宋" w:cs="仿宋"/>
          <w:color w:val="auto"/>
          <w:kern w:val="0"/>
          <w:szCs w:val="21"/>
          <w:highlight w:val="none"/>
        </w:rPr>
        <w:t>.3培训的费用(包括食宿费、会议费、资料费等)由卖方承担。</w:t>
      </w:r>
    </w:p>
    <w:p>
      <w:pPr>
        <w:widowControl/>
        <w:adjustRightInd w:val="0"/>
        <w:snapToGrid w:val="0"/>
        <w:spacing w:line="360" w:lineRule="auto"/>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r>
        <w:rPr>
          <w:rFonts w:hint="eastAsia" w:ascii="仿宋" w:hAnsi="仿宋" w:eastAsia="仿宋" w:cs="仿宋"/>
          <w:color w:val="auto"/>
          <w:kern w:val="0"/>
          <w:szCs w:val="21"/>
          <w:highlight w:val="none"/>
          <w:lang w:val="en-US" w:eastAsia="zh-CN"/>
        </w:rPr>
        <w:t>5</w:t>
      </w:r>
      <w:r>
        <w:rPr>
          <w:rFonts w:hint="eastAsia" w:ascii="仿宋" w:hAnsi="仿宋" w:eastAsia="仿宋" w:cs="仿宋"/>
          <w:color w:val="auto"/>
          <w:kern w:val="0"/>
          <w:szCs w:val="21"/>
          <w:highlight w:val="none"/>
        </w:rPr>
        <w:t>.4现场培训，培训地点，招标方现场，培训人数、时间由招标方和投标人协商决定。</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4.</w:t>
      </w:r>
      <w:r>
        <w:rPr>
          <w:rFonts w:hint="eastAsia" w:ascii="仿宋" w:hAnsi="仿宋" w:eastAsia="仿宋" w:cs="仿宋"/>
          <w:b/>
          <w:bCs/>
          <w:color w:val="auto"/>
          <w:kern w:val="0"/>
          <w:szCs w:val="21"/>
          <w:highlight w:val="none"/>
          <w:lang w:val="en-US" w:eastAsia="zh-CN"/>
        </w:rPr>
        <w:t>6</w:t>
      </w:r>
      <w:r>
        <w:rPr>
          <w:rFonts w:hint="eastAsia" w:ascii="仿宋" w:hAnsi="仿宋" w:eastAsia="仿宋" w:cs="仿宋"/>
          <w:b/>
          <w:bCs/>
          <w:color w:val="auto"/>
          <w:kern w:val="0"/>
          <w:szCs w:val="21"/>
          <w:highlight w:val="none"/>
        </w:rPr>
        <w:t xml:space="preserve"> 质保期（质量保证承诺）</w:t>
      </w:r>
      <w:r>
        <w:rPr>
          <w:rFonts w:hint="eastAsia" w:ascii="仿宋" w:hAnsi="仿宋" w:eastAsia="仿宋" w:cs="仿宋"/>
          <w:color w:val="auto"/>
          <w:kern w:val="0"/>
          <w:szCs w:val="21"/>
          <w:highlight w:val="none"/>
        </w:rPr>
        <w:t xml:space="preserve">： </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ab/>
      </w:r>
      <w:r>
        <w:rPr>
          <w:rFonts w:hint="eastAsia" w:ascii="仿宋" w:hAnsi="仿宋" w:eastAsia="仿宋" w:cs="仿宋"/>
          <w:color w:val="auto"/>
          <w:kern w:val="0"/>
          <w:szCs w:val="21"/>
          <w:highlight w:val="none"/>
        </w:rPr>
        <w:t>项目（设备）验收合格后</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u w:val="single"/>
          <w:lang w:val="en-US" w:eastAsia="zh-CN"/>
        </w:rPr>
        <w:t>12</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rPr>
        <w:t xml:space="preserve">个月 </w:t>
      </w:r>
    </w:p>
    <w:p>
      <w:pPr>
        <w:widowControl/>
        <w:adjustRightInd w:val="0"/>
        <w:snapToGrid w:val="0"/>
        <w:spacing w:line="360" w:lineRule="auto"/>
        <w:jc w:val="left"/>
        <w:rPr>
          <w:rFonts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4.</w:t>
      </w:r>
      <w:r>
        <w:rPr>
          <w:rFonts w:hint="eastAsia" w:ascii="仿宋" w:hAnsi="仿宋" w:eastAsia="仿宋" w:cs="仿宋"/>
          <w:b/>
          <w:bCs/>
          <w:color w:val="auto"/>
          <w:kern w:val="0"/>
          <w:szCs w:val="21"/>
          <w:highlight w:val="none"/>
          <w:lang w:val="en-US" w:eastAsia="zh-CN"/>
        </w:rPr>
        <w:t>7</w:t>
      </w:r>
      <w:r>
        <w:rPr>
          <w:rFonts w:hint="eastAsia" w:ascii="仿宋" w:hAnsi="仿宋" w:eastAsia="仿宋" w:cs="仿宋"/>
          <w:b/>
          <w:bCs/>
          <w:color w:val="auto"/>
          <w:kern w:val="0"/>
          <w:szCs w:val="21"/>
          <w:highlight w:val="none"/>
        </w:rPr>
        <w:t xml:space="preserve"> 售后服务承诺：</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r>
        <w:rPr>
          <w:rFonts w:hint="eastAsia" w:ascii="仿宋" w:hAnsi="仿宋" w:eastAsia="仿宋" w:cs="仿宋"/>
          <w:color w:val="auto"/>
          <w:kern w:val="0"/>
          <w:szCs w:val="21"/>
          <w:highlight w:val="none"/>
          <w:lang w:val="en-US" w:eastAsia="zh-CN"/>
        </w:rPr>
        <w:t>7</w:t>
      </w:r>
      <w:r>
        <w:rPr>
          <w:rFonts w:hint="eastAsia" w:ascii="仿宋" w:hAnsi="仿宋" w:eastAsia="仿宋" w:cs="仿宋"/>
          <w:color w:val="auto"/>
          <w:kern w:val="0"/>
          <w:szCs w:val="21"/>
          <w:highlight w:val="none"/>
        </w:rPr>
        <w:t>.1供方对所供设备实行质量“三包”（包修、包换、包退），在使用中、运行中出现质量问题，在接到通知后的 24 小时内答复，在 48小时内派员到达现场,处理问题。</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r>
        <w:rPr>
          <w:rFonts w:hint="eastAsia" w:ascii="仿宋" w:hAnsi="仿宋" w:eastAsia="仿宋" w:cs="仿宋"/>
          <w:color w:val="auto"/>
          <w:kern w:val="0"/>
          <w:szCs w:val="21"/>
          <w:highlight w:val="none"/>
          <w:lang w:val="en-US" w:eastAsia="zh-CN"/>
        </w:rPr>
        <w:t>7</w:t>
      </w:r>
      <w:r>
        <w:rPr>
          <w:rFonts w:hint="eastAsia" w:ascii="仿宋" w:hAnsi="仿宋" w:eastAsia="仿宋" w:cs="仿宋"/>
          <w:color w:val="auto"/>
          <w:kern w:val="0"/>
          <w:szCs w:val="21"/>
          <w:highlight w:val="none"/>
        </w:rPr>
        <w:t>.2需方认为有必要提前交货，可同供方协商，确定提前交货日，供方应大力支持。</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r>
        <w:rPr>
          <w:rFonts w:hint="eastAsia" w:ascii="仿宋" w:hAnsi="仿宋" w:eastAsia="仿宋" w:cs="仿宋"/>
          <w:color w:val="auto"/>
          <w:kern w:val="0"/>
          <w:szCs w:val="21"/>
          <w:highlight w:val="none"/>
          <w:lang w:val="en-US" w:eastAsia="zh-CN"/>
        </w:rPr>
        <w:t>7</w:t>
      </w:r>
      <w:r>
        <w:rPr>
          <w:rFonts w:hint="eastAsia" w:ascii="仿宋" w:hAnsi="仿宋" w:eastAsia="仿宋" w:cs="仿宋"/>
          <w:color w:val="auto"/>
          <w:kern w:val="0"/>
          <w:szCs w:val="21"/>
          <w:highlight w:val="none"/>
        </w:rPr>
        <w:t>.3供方须按需方实际安装要求派遣足够的且有工程经验的技术人员到现场进行技术服务，指导需方按供方的技术资料、图纸进行安装、分部试运、调试和试运行，并负责解决</w:t>
      </w:r>
      <w:r>
        <w:rPr>
          <w:rFonts w:hint="eastAsia" w:ascii="仿宋" w:hAnsi="仿宋" w:eastAsia="仿宋" w:cs="仿宋"/>
          <w:color w:val="auto"/>
          <w:kern w:val="0"/>
          <w:szCs w:val="21"/>
          <w:highlight w:val="none"/>
          <w:lang w:val="en-US" w:eastAsia="zh-CN" w:bidi="ar"/>
        </w:rPr>
        <w:t>技术规范书</w:t>
      </w:r>
      <w:r>
        <w:rPr>
          <w:rFonts w:hint="eastAsia" w:ascii="仿宋" w:hAnsi="仿宋" w:eastAsia="仿宋" w:cs="仿宋"/>
          <w:color w:val="auto"/>
          <w:kern w:val="0"/>
          <w:szCs w:val="21"/>
          <w:highlight w:val="none"/>
        </w:rPr>
        <w:t>设备在安装调试、试运行中发现的制造质量及性能等有关问题。</w:t>
      </w:r>
    </w:p>
    <w:p>
      <w:pPr>
        <w:spacing w:line="360" w:lineRule="auto"/>
        <w:rPr>
          <w:rFonts w:ascii="仿宋" w:hAnsi="仿宋" w:eastAsia="仿宋" w:cs="仿宋"/>
          <w:b/>
          <w:bCs/>
          <w:color w:val="auto"/>
          <w:szCs w:val="21"/>
          <w:highlight w:val="none"/>
        </w:rPr>
      </w:pPr>
      <w:r>
        <w:rPr>
          <w:rFonts w:hint="eastAsia" w:ascii="仿宋" w:hAnsi="仿宋" w:eastAsia="仿宋" w:cs="仿宋"/>
          <w:b/>
          <w:bCs/>
          <w:color w:val="auto"/>
          <w:szCs w:val="21"/>
          <w:highlight w:val="none"/>
        </w:rPr>
        <w:t>4.</w:t>
      </w:r>
      <w:r>
        <w:rPr>
          <w:rFonts w:hint="eastAsia" w:ascii="仿宋" w:hAnsi="仿宋" w:eastAsia="仿宋" w:cs="仿宋"/>
          <w:b/>
          <w:bCs/>
          <w:color w:val="auto"/>
          <w:szCs w:val="21"/>
          <w:highlight w:val="none"/>
          <w:lang w:val="en-US" w:eastAsia="zh-CN"/>
        </w:rPr>
        <w:t>8</w:t>
      </w:r>
      <w:r>
        <w:rPr>
          <w:rFonts w:hint="eastAsia" w:ascii="仿宋" w:hAnsi="仿宋" w:eastAsia="仿宋" w:cs="仿宋"/>
          <w:b/>
          <w:bCs/>
          <w:color w:val="auto"/>
          <w:szCs w:val="21"/>
          <w:highlight w:val="none"/>
        </w:rPr>
        <w:t>交付成果、验收</w:t>
      </w:r>
    </w:p>
    <w:p>
      <w:pPr>
        <w:widowControl/>
        <w:adjustRightInd w:val="0"/>
        <w:snapToGrid w:val="0"/>
        <w:spacing w:line="360" w:lineRule="auto"/>
        <w:jc w:val="left"/>
        <w:rPr>
          <w:rFonts w:ascii="仿宋" w:hAnsi="仿宋" w:eastAsia="仿宋" w:cs="仿宋"/>
          <w:color w:val="auto"/>
          <w:szCs w:val="21"/>
          <w:highlight w:val="none"/>
        </w:rPr>
      </w:pPr>
      <w:r>
        <w:rPr>
          <w:rFonts w:hint="eastAsia" w:ascii="仿宋" w:hAnsi="仿宋" w:eastAsia="仿宋" w:cs="仿宋"/>
          <w:color w:val="auto"/>
          <w:szCs w:val="21"/>
          <w:highlight w:val="none"/>
        </w:rPr>
        <w:t>乙方按甲方要求完成项目即达到验收条件。</w:t>
      </w:r>
    </w:p>
    <w:p>
      <w:pPr>
        <w:widowControl/>
        <w:adjustRightInd w:val="0"/>
        <w:snapToGrid w:val="0"/>
        <w:spacing w:line="360" w:lineRule="auto"/>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项目验收为竣工验收，具体要求如下：</w:t>
      </w:r>
    </w:p>
    <w:p>
      <w:pPr>
        <w:widowControl/>
        <w:adjustRightInd w:val="0"/>
        <w:snapToGrid w:val="0"/>
        <w:spacing w:line="360" w:lineRule="auto"/>
        <w:jc w:val="left"/>
        <w:rPr>
          <w:rFonts w:hint="eastAsia" w:ascii="仿宋" w:hAnsi="仿宋" w:eastAsia="仿宋" w:cs="仿宋"/>
          <w:b/>
          <w:bCs/>
          <w:color w:val="auto"/>
          <w:sz w:val="24"/>
          <w:szCs w:val="24"/>
          <w:lang w:val="en-US" w:eastAsia="zh-CN"/>
        </w:rPr>
      </w:pPr>
      <w:r>
        <w:rPr>
          <w:rFonts w:hint="eastAsia" w:ascii="仿宋" w:hAnsi="仿宋" w:eastAsia="仿宋" w:cs="仿宋"/>
          <w:color w:val="auto"/>
          <w:kern w:val="0"/>
          <w:szCs w:val="21"/>
          <w:highlight w:val="none"/>
        </w:rPr>
        <w:t>  竣工验收是指项目涉及交付成果全部完成，并经过相关评审，由集团公司按照国家、行业及企业有关标准规范及</w:t>
      </w:r>
      <w:r>
        <w:rPr>
          <w:rFonts w:hint="eastAsia" w:ascii="仿宋" w:hAnsi="仿宋" w:eastAsia="仿宋" w:cs="仿宋"/>
          <w:color w:val="auto"/>
          <w:kern w:val="0"/>
          <w:szCs w:val="21"/>
          <w:highlight w:val="none"/>
          <w:lang w:val="en-US" w:eastAsia="zh-CN" w:bidi="ar"/>
        </w:rPr>
        <w:t>技术规范书</w:t>
      </w:r>
      <w:r>
        <w:rPr>
          <w:rFonts w:hint="eastAsia" w:ascii="仿宋" w:hAnsi="仿宋" w:eastAsia="仿宋" w:cs="仿宋"/>
          <w:color w:val="auto"/>
          <w:kern w:val="0"/>
          <w:szCs w:val="21"/>
          <w:highlight w:val="none"/>
        </w:rPr>
        <w:t>要求组织进行验收。</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4.9采购清册及权重</w:t>
      </w:r>
    </w:p>
    <w:p>
      <w:pPr>
        <w:keepNext w:val="0"/>
        <w:keepLines w:val="0"/>
        <w:pageBreakBefore w:val="0"/>
        <w:widowControl/>
        <w:kinsoku/>
        <w:wordWrap/>
        <w:overflowPunct/>
        <w:topLinePunct w:val="0"/>
        <w:bidi w:val="0"/>
        <w:adjustRightInd w:val="0"/>
        <w:snapToGrid w:val="0"/>
        <w:spacing w:line="360" w:lineRule="auto"/>
        <w:ind w:firstLine="420" w:firstLineChars="20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0"/>
          <w:sz w:val="21"/>
          <w:szCs w:val="21"/>
          <w:highlight w:val="none"/>
          <w:lang w:val="en-US" w:eastAsia="zh-CN"/>
        </w:rPr>
        <w:t>物资采购清册（该表格必须在报价表基础上确定，其中的物资采购清册内容应与报价表中报价清单一致，权重由需求部门根据实际需要设定）</w:t>
      </w:r>
    </w:p>
    <w:tbl>
      <w:tblPr>
        <w:tblStyle w:val="1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36" w:type="dxa"/>
          <w:bottom w:w="0" w:type="dxa"/>
          <w:right w:w="36" w:type="dxa"/>
        </w:tblCellMar>
      </w:tblPr>
      <w:tblGrid>
        <w:gridCol w:w="761"/>
        <w:gridCol w:w="2399"/>
        <w:gridCol w:w="2222"/>
        <w:gridCol w:w="866"/>
        <w:gridCol w:w="866"/>
        <w:gridCol w:w="1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734" w:hRule="exact"/>
          <w:jc w:val="center"/>
        </w:trPr>
        <w:tc>
          <w:tcPr>
            <w:tcW w:w="454" w:type="pct"/>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序号</w:t>
            </w:r>
          </w:p>
        </w:tc>
        <w:tc>
          <w:tcPr>
            <w:tcW w:w="1432" w:type="pct"/>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名称</w:t>
            </w:r>
          </w:p>
        </w:tc>
        <w:tc>
          <w:tcPr>
            <w:tcW w:w="1326" w:type="pct"/>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规格</w:t>
            </w:r>
          </w:p>
        </w:tc>
        <w:tc>
          <w:tcPr>
            <w:tcW w:w="517" w:type="pct"/>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数量</w:t>
            </w:r>
          </w:p>
        </w:tc>
        <w:tc>
          <w:tcPr>
            <w:tcW w:w="517" w:type="pct"/>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单位</w:t>
            </w:r>
          </w:p>
        </w:tc>
        <w:tc>
          <w:tcPr>
            <w:tcW w:w="752" w:type="pct"/>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454" w:type="pct"/>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w:t>
            </w:r>
          </w:p>
        </w:tc>
        <w:tc>
          <w:tcPr>
            <w:tcW w:w="1432" w:type="pct"/>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干式变压器</w:t>
            </w:r>
          </w:p>
        </w:tc>
        <w:tc>
          <w:tcPr>
            <w:tcW w:w="1326" w:type="pct"/>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S14</w:t>
            </w:r>
          </w:p>
        </w:tc>
        <w:tc>
          <w:tcPr>
            <w:tcW w:w="517" w:type="pct"/>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w:t>
            </w:r>
          </w:p>
        </w:tc>
        <w:tc>
          <w:tcPr>
            <w:tcW w:w="517" w:type="pct"/>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台</w:t>
            </w:r>
          </w:p>
        </w:tc>
        <w:tc>
          <w:tcPr>
            <w:tcW w:w="752" w:type="pct"/>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454" w:type="pct"/>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2</w:t>
            </w:r>
          </w:p>
        </w:tc>
        <w:tc>
          <w:tcPr>
            <w:tcW w:w="1432" w:type="pct"/>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电缆分支箱</w:t>
            </w:r>
          </w:p>
        </w:tc>
        <w:tc>
          <w:tcPr>
            <w:tcW w:w="1326" w:type="pct"/>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1进3出 10kV </w:t>
            </w:r>
          </w:p>
        </w:tc>
        <w:tc>
          <w:tcPr>
            <w:tcW w:w="517" w:type="pct"/>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w:t>
            </w:r>
          </w:p>
        </w:tc>
        <w:tc>
          <w:tcPr>
            <w:tcW w:w="517" w:type="pct"/>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台</w:t>
            </w:r>
          </w:p>
        </w:tc>
        <w:tc>
          <w:tcPr>
            <w:tcW w:w="752" w:type="pct"/>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default"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包含电缆分接头</w:t>
            </w:r>
          </w:p>
        </w:tc>
      </w:tr>
    </w:tbl>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五.报价方面</w:t>
      </w:r>
      <w:r>
        <w:rPr>
          <w:rFonts w:hint="eastAsia" w:ascii="仿宋" w:hAnsi="仿宋" w:eastAsia="仿宋" w:cs="仿宋"/>
          <w:b w:val="0"/>
          <w:bCs w:val="0"/>
          <w:color w:val="auto"/>
          <w:kern w:val="0"/>
          <w:sz w:val="21"/>
          <w:szCs w:val="21"/>
          <w:highlight w:val="none"/>
          <w:lang w:val="en-US" w:eastAsia="zh-CN"/>
        </w:rPr>
        <w:t>（该表格必须由需求部门预先在资产系统中建立物资采购目录，经签字、盖章、确认后作为附件提供）</w:t>
      </w:r>
    </w:p>
    <w:p>
      <w:pPr>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420" w:firstLineChars="200"/>
        <w:jc w:val="left"/>
        <w:textAlignment w:val="auto"/>
        <w:outlineLvl w:val="9"/>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报价方式：固定总价报价（包含税）/固定单价报价（包含税）；</w:t>
      </w:r>
    </w:p>
    <w:p>
      <w:pPr>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420" w:firstLineChars="200"/>
        <w:jc w:val="left"/>
        <w:textAlignment w:val="auto"/>
        <w:outlineLvl w:val="9"/>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报价明细</w:t>
      </w:r>
      <w:r>
        <w:rPr>
          <w:rFonts w:hint="eastAsia" w:ascii="仿宋" w:hAnsi="仿宋" w:eastAsia="仿宋" w:cs="仿宋"/>
          <w:b/>
          <w:bCs/>
          <w:color w:val="auto"/>
          <w:kern w:val="0"/>
          <w:sz w:val="21"/>
          <w:szCs w:val="21"/>
          <w:highlight w:val="none"/>
          <w:lang w:val="en-US" w:eastAsia="zh-CN"/>
        </w:rPr>
        <w:t>（可根据项目情况增加内容）</w:t>
      </w:r>
      <w:r>
        <w:rPr>
          <w:rFonts w:hint="eastAsia" w:ascii="仿宋" w:hAnsi="仿宋" w:eastAsia="仿宋" w:cs="仿宋"/>
          <w:color w:val="auto"/>
          <w:kern w:val="0"/>
          <w:sz w:val="21"/>
          <w:szCs w:val="21"/>
          <w:highlight w:val="none"/>
          <w:lang w:val="en-US" w:eastAsia="zh-CN"/>
        </w:rPr>
        <w:t>：</w:t>
      </w:r>
    </w:p>
    <w:tbl>
      <w:tblPr>
        <w:tblStyle w:val="12"/>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6" w:type="dxa"/>
          <w:bottom w:w="0" w:type="dxa"/>
          <w:right w:w="36" w:type="dxa"/>
        </w:tblCellMar>
      </w:tblPr>
      <w:tblGrid>
        <w:gridCol w:w="630"/>
        <w:gridCol w:w="1983"/>
        <w:gridCol w:w="1837"/>
        <w:gridCol w:w="716"/>
        <w:gridCol w:w="716"/>
        <w:gridCol w:w="1596"/>
        <w:gridCol w:w="10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734" w:hRule="exact"/>
          <w:jc w:val="center"/>
        </w:trPr>
        <w:tc>
          <w:tcPr>
            <w:tcW w:w="630"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序号</w:t>
            </w:r>
          </w:p>
        </w:tc>
        <w:tc>
          <w:tcPr>
            <w:tcW w:w="1983"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名称</w:t>
            </w:r>
          </w:p>
        </w:tc>
        <w:tc>
          <w:tcPr>
            <w:tcW w:w="1837"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规格</w:t>
            </w:r>
          </w:p>
        </w:tc>
        <w:tc>
          <w:tcPr>
            <w:tcW w:w="716"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数量</w:t>
            </w:r>
          </w:p>
        </w:tc>
        <w:tc>
          <w:tcPr>
            <w:tcW w:w="716"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单位</w:t>
            </w:r>
          </w:p>
        </w:tc>
        <w:tc>
          <w:tcPr>
            <w:tcW w:w="1596"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最高限价（元）</w:t>
            </w:r>
          </w:p>
        </w:tc>
        <w:tc>
          <w:tcPr>
            <w:tcW w:w="1042"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630"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w:t>
            </w:r>
          </w:p>
        </w:tc>
        <w:tc>
          <w:tcPr>
            <w:tcW w:w="1983"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干式变压器</w:t>
            </w:r>
          </w:p>
        </w:tc>
        <w:tc>
          <w:tcPr>
            <w:tcW w:w="1837"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S14</w:t>
            </w:r>
          </w:p>
        </w:tc>
        <w:tc>
          <w:tcPr>
            <w:tcW w:w="716"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w:t>
            </w:r>
          </w:p>
        </w:tc>
        <w:tc>
          <w:tcPr>
            <w:tcW w:w="716"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台</w:t>
            </w:r>
          </w:p>
        </w:tc>
        <w:tc>
          <w:tcPr>
            <w:tcW w:w="1596"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default"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35000</w:t>
            </w:r>
          </w:p>
        </w:tc>
        <w:tc>
          <w:tcPr>
            <w:tcW w:w="1042"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630"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2</w:t>
            </w:r>
          </w:p>
        </w:tc>
        <w:tc>
          <w:tcPr>
            <w:tcW w:w="1983"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电缆分支箱</w:t>
            </w:r>
          </w:p>
        </w:tc>
        <w:tc>
          <w:tcPr>
            <w:tcW w:w="1837"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1进3出 10kV </w:t>
            </w:r>
          </w:p>
        </w:tc>
        <w:tc>
          <w:tcPr>
            <w:tcW w:w="716"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w:t>
            </w:r>
          </w:p>
        </w:tc>
        <w:tc>
          <w:tcPr>
            <w:tcW w:w="716"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台</w:t>
            </w:r>
          </w:p>
        </w:tc>
        <w:tc>
          <w:tcPr>
            <w:tcW w:w="1596"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default"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13000</w:t>
            </w:r>
          </w:p>
        </w:tc>
        <w:tc>
          <w:tcPr>
            <w:tcW w:w="1042"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default"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包含电缆分接头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8520" w:type="dxa"/>
            <w:gridSpan w:val="7"/>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default"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合计：48000元（合计大写人民币：肆万捌仟元整）</w:t>
            </w:r>
          </w:p>
        </w:tc>
      </w:tr>
    </w:tbl>
    <w:p>
      <w:pPr>
        <w:rPr>
          <w:rFonts w:hint="default" w:ascii="仿宋" w:hAnsi="仿宋" w:eastAsia="仿宋" w:cs="仿宋"/>
          <w:b/>
          <w:bCs/>
          <w:lang w:val="en-US"/>
        </w:rPr>
      </w:pPr>
      <w:r>
        <w:rPr>
          <w:rFonts w:hint="eastAsia" w:ascii="仿宋" w:hAnsi="仿宋" w:eastAsia="仿宋" w:cs="仿宋"/>
          <w:b/>
          <w:bCs/>
          <w:color w:val="auto"/>
          <w:kern w:val="0"/>
          <w:sz w:val="24"/>
          <w:szCs w:val="24"/>
          <w:lang w:val="en-US" w:eastAsia="zh-CN"/>
        </w:rPr>
        <w:t>注：税率：13%。项目验收完成后，需方在次月10日前通知供方开具增值税专用发票，供方应在次月15日前将发票开具完成并送达需方，需方在收到发票后30日内付款完成。</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仿宋" w:hAnsi="仿宋" w:eastAsia="仿宋" w:cs="仿宋"/>
          <w:b/>
          <w:bCs/>
        </w:rPr>
      </w:pPr>
      <w:r>
        <w:rPr>
          <w:rFonts w:hint="eastAsia" w:ascii="仿宋" w:hAnsi="仿宋" w:eastAsia="仿宋" w:cs="仿宋"/>
          <w:b/>
          <w:bCs/>
          <w:lang w:val="en-US" w:eastAsia="zh-CN"/>
        </w:rPr>
        <w:t>六</w:t>
      </w:r>
      <w:r>
        <w:rPr>
          <w:rFonts w:hint="eastAsia" w:ascii="仿宋" w:hAnsi="仿宋" w:eastAsia="仿宋" w:cs="仿宋"/>
          <w:b/>
          <w:bCs/>
        </w:rPr>
        <w:t>.管理人员为本项目的负责人。</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仿宋" w:hAnsi="仿宋" w:eastAsia="仿宋" w:cs="仿宋"/>
          <w:b/>
          <w:bCs/>
          <w:lang w:val="en-US" w:eastAsia="zh-CN"/>
        </w:rPr>
      </w:pPr>
      <w:r>
        <w:rPr>
          <w:rFonts w:hint="eastAsia" w:ascii="仿宋" w:hAnsi="仿宋" w:eastAsia="仿宋" w:cs="仿宋"/>
          <w:b/>
          <w:bCs/>
          <w:color w:val="auto"/>
          <w:highlight w:val="red"/>
          <w:lang w:val="en-US" w:eastAsia="zh-CN"/>
        </w:rPr>
        <w:t>注：本项目需提供营业执照及技术参数响应对照表</w:t>
      </w:r>
    </w:p>
    <w:p>
      <w:pPr>
        <w:rPr>
          <w:rFonts w:hint="eastAsia" w:ascii="仿宋" w:hAnsi="仿宋" w:eastAsia="仿宋" w:cs="仿宋"/>
          <w:color w:val="auto"/>
          <w:sz w:val="21"/>
          <w:szCs w:val="21"/>
          <w:highlight w:val="none"/>
          <w:lang w:val="en-US" w:eastAsia="zh-CN"/>
        </w:rPr>
      </w:pPr>
    </w:p>
    <w:sectPr>
      <w:footerReference r:id="rId3"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5</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5</w:t>
                    </w:r>
                    <w:r>
                      <w:rPr>
                        <w:rFonts w:hint="eastAsia"/>
                        <w:sz w:val="18"/>
                        <w:lang w:eastAsia="zh-CN"/>
                      </w:rPr>
                      <w:fldChar w:fldCharType="end"/>
                    </w:r>
                    <w:r>
                      <w:rPr>
                        <w:rFonts w:hint="eastAsia"/>
                        <w:sz w:val="18"/>
                        <w:lang w:eastAsia="zh-CN"/>
                      </w:rPr>
                      <w:t xml:space="preserve"> 页</w:t>
                    </w:r>
                  </w:p>
                </w:txbxContent>
              </v:textbox>
            </v:shape>
          </w:pict>
        </mc:Fallback>
      </mc:AlternateContent>
    </w:r>
    <w:r>
      <w:rPr>
        <w:rFonts w:hint="eastAsia"/>
        <w:lang w:eastAsia="zh-CN"/>
      </w:rPr>
      <w:tab/>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I4YTA3NTg2YjE0NmQ2Yjk1YmYyMTU4YjI3NmJlYzUifQ=="/>
  </w:docVars>
  <w:rsids>
    <w:rsidRoot w:val="0B496AB8"/>
    <w:rsid w:val="00B253FD"/>
    <w:rsid w:val="02123F53"/>
    <w:rsid w:val="037F1D87"/>
    <w:rsid w:val="087E2573"/>
    <w:rsid w:val="089F0D06"/>
    <w:rsid w:val="09E32030"/>
    <w:rsid w:val="0B496AB8"/>
    <w:rsid w:val="0DA51436"/>
    <w:rsid w:val="0F4D15C5"/>
    <w:rsid w:val="10060CE1"/>
    <w:rsid w:val="12326D28"/>
    <w:rsid w:val="15853D9C"/>
    <w:rsid w:val="17964283"/>
    <w:rsid w:val="18711AC3"/>
    <w:rsid w:val="1C7C7028"/>
    <w:rsid w:val="1D8B5A09"/>
    <w:rsid w:val="1FCB1B55"/>
    <w:rsid w:val="21E872A6"/>
    <w:rsid w:val="22AB3347"/>
    <w:rsid w:val="22F9768B"/>
    <w:rsid w:val="23225886"/>
    <w:rsid w:val="2386460C"/>
    <w:rsid w:val="24D348AC"/>
    <w:rsid w:val="2585331D"/>
    <w:rsid w:val="26CF1691"/>
    <w:rsid w:val="27A47ADE"/>
    <w:rsid w:val="27DA2611"/>
    <w:rsid w:val="28076BEA"/>
    <w:rsid w:val="2CD21EE1"/>
    <w:rsid w:val="2DC4361D"/>
    <w:rsid w:val="302B55BD"/>
    <w:rsid w:val="32D30717"/>
    <w:rsid w:val="33247B60"/>
    <w:rsid w:val="34290560"/>
    <w:rsid w:val="351F7640"/>
    <w:rsid w:val="365E6C24"/>
    <w:rsid w:val="36640C9D"/>
    <w:rsid w:val="36825278"/>
    <w:rsid w:val="37B759F1"/>
    <w:rsid w:val="38867E97"/>
    <w:rsid w:val="39C56ADC"/>
    <w:rsid w:val="39DA3E3D"/>
    <w:rsid w:val="3AA47E97"/>
    <w:rsid w:val="3C367E66"/>
    <w:rsid w:val="3CC34A0E"/>
    <w:rsid w:val="3CF40011"/>
    <w:rsid w:val="3D70388E"/>
    <w:rsid w:val="3EA36FB8"/>
    <w:rsid w:val="3ECD47FA"/>
    <w:rsid w:val="3F945576"/>
    <w:rsid w:val="41474FAB"/>
    <w:rsid w:val="44821CAC"/>
    <w:rsid w:val="47804667"/>
    <w:rsid w:val="47C56D56"/>
    <w:rsid w:val="47D46A8D"/>
    <w:rsid w:val="4AE93EEB"/>
    <w:rsid w:val="4C034A63"/>
    <w:rsid w:val="4C1A2475"/>
    <w:rsid w:val="4DCA41B4"/>
    <w:rsid w:val="4E052B34"/>
    <w:rsid w:val="4F085632"/>
    <w:rsid w:val="4F67373F"/>
    <w:rsid w:val="51B2537C"/>
    <w:rsid w:val="5A5C6842"/>
    <w:rsid w:val="5ABD2D80"/>
    <w:rsid w:val="5CA327E2"/>
    <w:rsid w:val="5E6802D2"/>
    <w:rsid w:val="60231E43"/>
    <w:rsid w:val="614149A0"/>
    <w:rsid w:val="61C832F9"/>
    <w:rsid w:val="65331F9D"/>
    <w:rsid w:val="667B252D"/>
    <w:rsid w:val="692A07F0"/>
    <w:rsid w:val="6A3774AE"/>
    <w:rsid w:val="6A3D6A20"/>
    <w:rsid w:val="6E5A4C86"/>
    <w:rsid w:val="702673BD"/>
    <w:rsid w:val="721E6CF6"/>
    <w:rsid w:val="725A72D6"/>
    <w:rsid w:val="73E6218B"/>
    <w:rsid w:val="74AC5FB0"/>
    <w:rsid w:val="74CD2319"/>
    <w:rsid w:val="76F94263"/>
    <w:rsid w:val="78F162D2"/>
    <w:rsid w:val="7C5D7B71"/>
    <w:rsid w:val="7F2E789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keepNext w:val="0"/>
      <w:keepLines w:val="0"/>
      <w:pageBreakBefore/>
      <w:spacing w:before="340" w:beforeLines="0" w:beforeAutospacing="0" w:after="330" w:afterLines="0" w:afterAutospacing="0" w:line="576" w:lineRule="auto"/>
      <w:jc w:val="center"/>
      <w:outlineLvl w:val="0"/>
    </w:pPr>
    <w:rPr>
      <w:rFonts w:ascii="Times New Roman" w:hAnsi="Times New Roman"/>
      <w:b/>
      <w:kern w:val="44"/>
      <w:sz w:val="28"/>
    </w:rPr>
  </w:style>
  <w:style w:type="paragraph" w:styleId="3">
    <w:name w:val="heading 2"/>
    <w:basedOn w:val="1"/>
    <w:next w:val="1"/>
    <w:unhideWhenUsed/>
    <w:qFormat/>
    <w:uiPriority w:val="0"/>
    <w:pPr>
      <w:keepNext/>
      <w:keepLines/>
      <w:snapToGrid w:val="0"/>
      <w:spacing w:line="560" w:lineRule="exact"/>
      <w:ind w:firstLine="800"/>
      <w:jc w:val="left"/>
      <w:outlineLvl w:val="1"/>
    </w:pPr>
    <w:rPr>
      <w:rFonts w:ascii="Arial" w:hAnsi="Arial" w:eastAsia="仿宋"/>
      <w:sz w:val="32"/>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Indent"/>
    <w:basedOn w:val="1"/>
    <w:next w:val="1"/>
    <w:qFormat/>
    <w:uiPriority w:val="0"/>
    <w:pPr>
      <w:spacing w:after="120"/>
      <w:ind w:left="420"/>
    </w:pPr>
  </w:style>
  <w:style w:type="paragraph" w:styleId="6">
    <w:name w:val="toc 3"/>
    <w:basedOn w:val="1"/>
    <w:next w:val="1"/>
    <w:qFormat/>
    <w:uiPriority w:val="0"/>
    <w:pPr>
      <w:ind w:left="840" w:leftChars="400"/>
    </w:pPr>
  </w:style>
  <w:style w:type="paragraph" w:styleId="7">
    <w:name w:val="footer"/>
    <w:basedOn w:val="1"/>
    <w:qFormat/>
    <w:uiPriority w:val="0"/>
    <w:pPr>
      <w:tabs>
        <w:tab w:val="center" w:pos="4153"/>
        <w:tab w:val="right" w:pos="8306"/>
      </w:tabs>
      <w:snapToGrid w:val="0"/>
      <w:jc w:val="left"/>
    </w:pPr>
    <w:rPr>
      <w:kern w:val="0"/>
      <w:sz w:val="18"/>
      <w:szCs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qFormat/>
    <w:uiPriority w:val="0"/>
    <w:rPr>
      <w:rFonts w:ascii="Times New Roman" w:hAnsi="Times New Roman" w:eastAsia="宋体" w:cs="Times New Roman"/>
      <w:sz w:val="24"/>
    </w:rPr>
  </w:style>
  <w:style w:type="paragraph" w:styleId="10">
    <w:name w:val="Body Text First Indent 2"/>
    <w:basedOn w:val="5"/>
    <w:next w:val="11"/>
    <w:qFormat/>
    <w:uiPriority w:val="0"/>
    <w:pPr>
      <w:ind w:leftChars="200" w:firstLine="420" w:firstLineChars="200"/>
    </w:pPr>
  </w:style>
  <w:style w:type="paragraph" w:customStyle="1" w:styleId="11">
    <w:name w:val="正文内容"/>
    <w:basedOn w:val="1"/>
    <w:qFormat/>
    <w:uiPriority w:val="0"/>
    <w:pPr>
      <w:ind w:firstLine="200" w:firstLineChars="200"/>
      <w:jc w:val="left"/>
    </w:pPr>
    <w:rPr>
      <w:rFonts w:ascii="Times New Roman" w:hAnsi="Times New Roman" w:eastAsia="仿宋_GB2312"/>
      <w:sz w:val="24"/>
    </w:rPr>
  </w:style>
  <w:style w:type="paragraph" w:customStyle="1" w:styleId="14">
    <w:name w:val="GEDI正文样式"/>
    <w:basedOn w:val="1"/>
    <w:qFormat/>
    <w:uiPriority w:val="0"/>
    <w:pPr>
      <w:adjustRightInd w:val="0"/>
      <w:snapToGrid w:val="0"/>
      <w:spacing w:line="480" w:lineRule="atLeast"/>
      <w:ind w:firstLine="480" w:firstLineChars="200"/>
    </w:pPr>
    <w:rPr>
      <w:szCs w:val="24"/>
    </w:rPr>
  </w:style>
  <w:style w:type="paragraph" w:customStyle="1" w:styleId="15">
    <w:name w:val="正文文本缩进1"/>
    <w:basedOn w:val="1"/>
    <w:qFormat/>
    <w:uiPriority w:val="0"/>
    <w:pPr>
      <w:spacing w:line="300" w:lineRule="auto"/>
      <w:ind w:firstLine="480"/>
    </w:pPr>
    <w:rPr>
      <w:rFonts w:ascii="宋体" w:hAnsi="宋体"/>
      <w:kern w:val="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dw</Company>
  <Pages>7</Pages>
  <Words>0</Words>
  <Characters>0</Characters>
  <Lines>0</Lines>
  <Paragraphs>0</Paragraphs>
  <TotalTime>2</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2019-03-11T01:45:00Z</dcterms:created>
  <dc:creator>杨雯雁</dc:creator>
  <cp:lastModifiedBy>5E71367FBC8F4009AA8F88887B3430F1</cp:lastModifiedBy>
  <dcterms:modified xsi:type="dcterms:W3CDTF">2024-05-11T06:08:28Z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327D00FB0A474B7C9A5FD7E63FF6DE17_13</vt:lpwstr>
  </property>
</Properties>
</file>