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0" w:firstLineChars="0"/>
        <w:jc w:val="center"/>
        <w:rPr>
          <w:rFonts w:ascii="黑体" w:hAnsi="黑体" w:eastAsia="黑体"/>
          <w:sz w:val="52"/>
          <w:szCs w:val="44"/>
        </w:rPr>
      </w:pPr>
      <w:r>
        <w:rPr>
          <w:rFonts w:hint="eastAsia" w:ascii="黑体" w:hAnsi="黑体" w:eastAsia="黑体"/>
          <w:sz w:val="52"/>
          <w:szCs w:val="44"/>
        </w:rPr>
        <w:t>外加电流法判断蓄电池脱离母线故障的研究</w:t>
      </w:r>
      <w:r>
        <w:rPr>
          <w:rFonts w:hint="eastAsia" w:ascii="黑体" w:hAnsi="黑体" w:eastAsia="黑体"/>
          <w:sz w:val="52"/>
          <w:szCs w:val="44"/>
          <w:lang w:val="en-US" w:eastAsia="zh-CN"/>
        </w:rPr>
        <w:t>技术</w:t>
      </w:r>
      <w:r>
        <w:rPr>
          <w:rFonts w:hint="eastAsia" w:ascii="黑体" w:hAnsi="黑体" w:eastAsia="黑体"/>
          <w:sz w:val="52"/>
          <w:szCs w:val="44"/>
        </w:rPr>
        <w:t>规范书</w:t>
      </w: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rPr>
          <w:rFonts w:ascii="黑体" w:hAnsi="黑体" w:eastAsia="黑体"/>
          <w:sz w:val="52"/>
          <w:szCs w:val="44"/>
        </w:rPr>
      </w:pPr>
    </w:p>
    <w:p>
      <w:pPr>
        <w:spacing w:line="360" w:lineRule="auto"/>
        <w:ind w:firstLine="640"/>
        <w:jc w:val="center"/>
        <w:rPr>
          <w:rFonts w:ascii="宋体"/>
          <w:sz w:val="32"/>
          <w:szCs w:val="32"/>
        </w:rPr>
      </w:pPr>
      <w:r>
        <w:rPr>
          <w:rFonts w:hint="eastAsia" w:ascii="宋体"/>
          <w:sz w:val="32"/>
          <w:szCs w:val="32"/>
        </w:rPr>
        <w:t>广西电网有限责任公司防城港供电局</w:t>
      </w:r>
    </w:p>
    <w:p>
      <w:pPr>
        <w:ind w:firstLine="643"/>
        <w:jc w:val="center"/>
        <w:rPr>
          <w:rFonts w:ascii="宋体" w:hAnsi="宋体"/>
          <w:b/>
          <w:bCs/>
          <w:sz w:val="32"/>
          <w:szCs w:val="36"/>
        </w:rPr>
      </w:pPr>
      <w:bookmarkStart w:id="0" w:name="_Toc30501_WPSOffice_Type1"/>
    </w:p>
    <w:p>
      <w:pPr>
        <w:pStyle w:val="2"/>
      </w:pPr>
    </w:p>
    <w:p>
      <w:pPr>
        <w:ind w:firstLine="643"/>
        <w:jc w:val="center"/>
        <w:rPr>
          <w:b/>
          <w:bCs/>
          <w:sz w:val="32"/>
          <w:szCs w:val="36"/>
        </w:rPr>
      </w:pPr>
      <w:r>
        <w:rPr>
          <w:rFonts w:ascii="宋体" w:hAnsi="宋体"/>
          <w:b/>
          <w:bCs/>
          <w:sz w:val="32"/>
          <w:szCs w:val="36"/>
        </w:rPr>
        <w:t>目</w:t>
      </w:r>
      <w:r>
        <w:rPr>
          <w:rFonts w:hint="eastAsia" w:ascii="宋体" w:hAnsi="宋体"/>
          <w:b/>
          <w:bCs/>
          <w:sz w:val="32"/>
          <w:szCs w:val="36"/>
        </w:rPr>
        <w:t xml:space="preserve">  </w:t>
      </w:r>
      <w:r>
        <w:rPr>
          <w:rFonts w:ascii="宋体" w:hAnsi="宋体"/>
          <w:b/>
          <w:bCs/>
          <w:sz w:val="32"/>
          <w:szCs w:val="36"/>
        </w:rPr>
        <w:t>录</w:t>
      </w:r>
    </w:p>
    <w:p>
      <w:pPr>
        <w:pStyle w:val="12"/>
        <w:tabs>
          <w:tab w:val="right" w:leader="dot" w:pos="8306"/>
        </w:tabs>
        <w:ind w:firstLine="420"/>
        <w:rPr>
          <w:b/>
          <w:bCs/>
        </w:rPr>
      </w:pPr>
      <w:r>
        <w:fldChar w:fldCharType="begin"/>
      </w:r>
      <w:r>
        <w:instrText xml:space="preserve"> HYPERLINK \l "_Toc12377_WPSOffice_Level1" </w:instrText>
      </w:r>
      <w:r>
        <w:fldChar w:fldCharType="separate"/>
      </w:r>
      <w:r>
        <w:rPr>
          <w:rFonts w:ascii="宋体" w:hAnsi="Times New Roman"/>
          <w:b/>
          <w:bCs/>
        </w:rPr>
        <w:t xml:space="preserve">1. </w:t>
      </w:r>
      <w:r>
        <w:rPr>
          <w:rFonts w:hint="eastAsia" w:ascii="宋体" w:hAnsi="Times New Roman"/>
          <w:b/>
          <w:bCs/>
        </w:rPr>
        <w:t>总则</w:t>
      </w:r>
      <w:r>
        <w:rPr>
          <w:b/>
          <w:bCs/>
        </w:rPr>
        <w:tab/>
      </w:r>
      <w:bookmarkStart w:id="1" w:name="_Toc12377_WPSOffice_Level1Page"/>
      <w:r>
        <w:rPr>
          <w:b/>
          <w:bCs/>
        </w:rPr>
        <w:t>1</w:t>
      </w:r>
      <w:bookmarkEnd w:id="1"/>
      <w:r>
        <w:rPr>
          <w:b/>
          <w:bCs/>
        </w:rPr>
        <w:fldChar w:fldCharType="end"/>
      </w:r>
    </w:p>
    <w:p>
      <w:pPr>
        <w:pStyle w:val="12"/>
        <w:tabs>
          <w:tab w:val="right" w:leader="dot" w:pos="8306"/>
        </w:tabs>
        <w:ind w:firstLine="420"/>
        <w:rPr>
          <w:b/>
          <w:bCs/>
        </w:rPr>
      </w:pPr>
      <w:r>
        <w:fldChar w:fldCharType="begin"/>
      </w:r>
      <w:r>
        <w:instrText xml:space="preserve"> HYPERLINK \l "_Toc30501_WPSOffice_Level1" </w:instrText>
      </w:r>
      <w:r>
        <w:fldChar w:fldCharType="separate"/>
      </w:r>
      <w:r>
        <w:rPr>
          <w:rFonts w:ascii="宋体" w:hAnsi="Times New Roman"/>
          <w:b/>
          <w:bCs/>
        </w:rPr>
        <w:t xml:space="preserve">2. </w:t>
      </w:r>
      <w:r>
        <w:rPr>
          <w:rFonts w:hint="eastAsia" w:ascii="宋体" w:hAnsi="Times New Roman"/>
          <w:b/>
          <w:bCs/>
        </w:rPr>
        <w:t>项目概述</w:t>
      </w:r>
      <w:r>
        <w:rPr>
          <w:b/>
          <w:bCs/>
        </w:rPr>
        <w:tab/>
      </w:r>
      <w:bookmarkStart w:id="2" w:name="_Toc30501_WPSOffice_Level1Page"/>
      <w:r>
        <w:rPr>
          <w:b/>
          <w:bCs/>
        </w:rPr>
        <w:t>3</w:t>
      </w:r>
      <w:bookmarkEnd w:id="2"/>
      <w:r>
        <w:rPr>
          <w:b/>
          <w:bCs/>
        </w:rPr>
        <w:fldChar w:fldCharType="end"/>
      </w:r>
    </w:p>
    <w:p>
      <w:pPr>
        <w:pStyle w:val="12"/>
        <w:tabs>
          <w:tab w:val="right" w:leader="dot" w:pos="8306"/>
        </w:tabs>
        <w:ind w:firstLine="420"/>
        <w:rPr>
          <w:b/>
          <w:bCs/>
        </w:rPr>
      </w:pPr>
      <w:r>
        <w:fldChar w:fldCharType="begin"/>
      </w:r>
      <w:r>
        <w:instrText xml:space="preserve"> HYPERLINK \l "_Toc3080_WPSOffice_Level1" </w:instrText>
      </w:r>
      <w:r>
        <w:fldChar w:fldCharType="separate"/>
      </w:r>
      <w:r>
        <w:rPr>
          <w:b/>
          <w:bCs/>
        </w:rPr>
        <w:t xml:space="preserve">3. </w:t>
      </w:r>
      <w:r>
        <w:rPr>
          <w:rFonts w:hint="eastAsia" w:ascii="宋体" w:hAnsi="Times New Roman"/>
          <w:b/>
          <w:bCs/>
        </w:rPr>
        <w:t>总体要求</w:t>
      </w:r>
      <w:r>
        <w:rPr>
          <w:b/>
          <w:bCs/>
        </w:rPr>
        <w:tab/>
      </w:r>
      <w:bookmarkStart w:id="3" w:name="_Toc3080_WPSOffice_Level1Page"/>
      <w:r>
        <w:rPr>
          <w:b/>
          <w:bCs/>
        </w:rPr>
        <w:t>3</w:t>
      </w:r>
      <w:bookmarkEnd w:id="3"/>
      <w:r>
        <w:rPr>
          <w:b/>
          <w:bCs/>
        </w:rPr>
        <w:fldChar w:fldCharType="end"/>
      </w:r>
    </w:p>
    <w:p>
      <w:pPr>
        <w:pStyle w:val="12"/>
        <w:tabs>
          <w:tab w:val="right" w:leader="dot" w:pos="8306"/>
        </w:tabs>
        <w:ind w:firstLine="420"/>
        <w:rPr>
          <w:b/>
          <w:bCs/>
        </w:rPr>
      </w:pPr>
      <w:r>
        <w:fldChar w:fldCharType="begin"/>
      </w:r>
      <w:r>
        <w:instrText xml:space="preserve"> HYPERLINK \l "_Toc20967_WPSOffice_Level1" </w:instrText>
      </w:r>
      <w:r>
        <w:fldChar w:fldCharType="separate"/>
      </w:r>
      <w:r>
        <w:rPr>
          <w:rFonts w:ascii="宋体" w:hAnsi="Times New Roman"/>
          <w:b/>
          <w:bCs/>
        </w:rPr>
        <w:t xml:space="preserve">4. </w:t>
      </w:r>
      <w:r>
        <w:rPr>
          <w:rFonts w:hint="eastAsia" w:ascii="宋体" w:hAnsi="Times New Roman"/>
          <w:b/>
          <w:bCs/>
        </w:rPr>
        <w:t>技术要求</w:t>
      </w:r>
      <w:r>
        <w:rPr>
          <w:b/>
          <w:bCs/>
        </w:rPr>
        <w:tab/>
      </w:r>
      <w:bookmarkStart w:id="4" w:name="_Toc20967_WPSOffice_Level1Page"/>
      <w:r>
        <w:rPr>
          <w:b/>
          <w:bCs/>
        </w:rPr>
        <w:t>4</w:t>
      </w:r>
      <w:bookmarkEnd w:id="4"/>
      <w:r>
        <w:rPr>
          <w:b/>
          <w:bCs/>
        </w:rPr>
        <w:fldChar w:fldCharType="end"/>
      </w:r>
    </w:p>
    <w:p>
      <w:pPr>
        <w:pStyle w:val="12"/>
        <w:tabs>
          <w:tab w:val="right" w:leader="dot" w:pos="8306"/>
        </w:tabs>
        <w:ind w:firstLine="420"/>
      </w:pPr>
      <w:r>
        <w:fldChar w:fldCharType="begin"/>
      </w:r>
      <w:r>
        <w:instrText xml:space="preserve"> HYPERLINK \l "_Toc12132_WPSOffice_Level1" </w:instrText>
      </w:r>
      <w:r>
        <w:fldChar w:fldCharType="separate"/>
      </w:r>
      <w:r>
        <w:rPr>
          <w:rFonts w:ascii="宋体" w:hAnsi="Times New Roman"/>
          <w:b/>
          <w:bCs/>
        </w:rPr>
        <w:t xml:space="preserve">5. </w:t>
      </w:r>
      <w:r>
        <w:rPr>
          <w:rFonts w:hint="eastAsia" w:ascii="宋体" w:hAnsi="Times New Roman"/>
          <w:b/>
          <w:bCs/>
        </w:rPr>
        <w:t>其他要求</w:t>
      </w:r>
      <w:r>
        <w:rPr>
          <w:b/>
          <w:bCs/>
        </w:rPr>
        <w:tab/>
      </w:r>
      <w:bookmarkStart w:id="5" w:name="_Toc12132_WPSOffice_Level1Page"/>
      <w:r>
        <w:rPr>
          <w:b/>
          <w:bCs/>
        </w:rPr>
        <w:t>4</w:t>
      </w:r>
      <w:bookmarkEnd w:id="5"/>
      <w:r>
        <w:rPr>
          <w:b/>
          <w:bCs/>
        </w:rPr>
        <w:fldChar w:fldCharType="end"/>
      </w:r>
    </w:p>
    <w:bookmarkEnd w:id="0"/>
    <w:p>
      <w:pPr>
        <w:spacing w:line="360" w:lineRule="auto"/>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pStyle w:val="11"/>
        <w:ind w:left="0" w:leftChars="0" w:firstLine="0" w:firstLineChars="0"/>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p>
    <w:p>
      <w:pPr>
        <w:keepNext/>
        <w:keepLines/>
        <w:numPr>
          <w:ilvl w:val="0"/>
          <w:numId w:val="2"/>
        </w:numPr>
        <w:spacing w:before="156" w:beforeLines="50" w:after="156" w:afterLines="50" w:line="360" w:lineRule="auto"/>
        <w:ind w:firstLine="643" w:firstLineChars="0"/>
        <w:outlineLvl w:val="0"/>
        <w:rPr>
          <w:rFonts w:ascii="宋体"/>
          <w:b/>
          <w:bCs/>
          <w:kern w:val="44"/>
          <w:sz w:val="32"/>
          <w:szCs w:val="44"/>
        </w:rPr>
      </w:pPr>
      <w:bookmarkStart w:id="6" w:name="_Toc12377_WPSOffice_Level1"/>
      <w:bookmarkStart w:id="7" w:name="_Toc509005142"/>
      <w:bookmarkStart w:id="8" w:name="_Toc411238017"/>
      <w:r>
        <w:rPr>
          <w:rFonts w:hint="eastAsia" w:ascii="宋体"/>
          <w:b/>
          <w:bCs/>
          <w:kern w:val="44"/>
          <w:sz w:val="32"/>
          <w:szCs w:val="44"/>
        </w:rPr>
        <w:t>总则</w:t>
      </w:r>
      <w:bookmarkEnd w:id="6"/>
      <w:bookmarkEnd w:id="7"/>
      <w:bookmarkEnd w:id="8"/>
    </w:p>
    <w:p>
      <w:pPr>
        <w:pStyle w:val="13"/>
        <w:numPr>
          <w:ilvl w:val="1"/>
          <w:numId w:val="3"/>
        </w:numPr>
        <w:ind w:firstLine="562"/>
        <w:outlineLvl w:val="1"/>
        <w:rPr>
          <w:b/>
          <w:sz w:val="28"/>
        </w:rPr>
      </w:pPr>
      <w:r>
        <w:rPr>
          <w:rFonts w:hint="eastAsia"/>
          <w:b/>
          <w:sz w:val="28"/>
        </w:rPr>
        <w:t>一般要求</w:t>
      </w:r>
    </w:p>
    <w:p>
      <w:pPr>
        <w:numPr>
          <w:ilvl w:val="2"/>
          <w:numId w:val="4"/>
        </w:numPr>
        <w:spacing w:line="360" w:lineRule="auto"/>
        <w:ind w:firstLine="480"/>
        <w:rPr>
          <w:rFonts w:ascii="宋体"/>
          <w:sz w:val="24"/>
          <w:szCs w:val="24"/>
        </w:rPr>
      </w:pPr>
      <w:r>
        <w:rPr>
          <w:rFonts w:hint="eastAsia" w:ascii="宋体"/>
          <w:sz w:val="24"/>
          <w:szCs w:val="24"/>
        </w:rPr>
        <w:t>投标方必须认真阅读本技术条款内容，以免造成投标失败。</w:t>
      </w:r>
    </w:p>
    <w:p>
      <w:pPr>
        <w:numPr>
          <w:ilvl w:val="2"/>
          <w:numId w:val="4"/>
        </w:numPr>
        <w:spacing w:line="360" w:lineRule="auto"/>
        <w:ind w:firstLine="480"/>
        <w:rPr>
          <w:rFonts w:ascii="宋体"/>
          <w:color w:val="000000" w:themeColor="text1"/>
          <w:sz w:val="24"/>
          <w:szCs w:val="24"/>
          <w14:textFill>
            <w14:solidFill>
              <w14:schemeClr w14:val="tx1"/>
            </w14:solidFill>
          </w14:textFill>
        </w:rPr>
      </w:pPr>
      <w:r>
        <w:rPr>
          <w:rFonts w:hint="eastAsia" w:ascii="宋体"/>
          <w:sz w:val="24"/>
          <w:szCs w:val="24"/>
        </w:rPr>
        <w:t>本技术规范书主要描述广西电网有限责任公司防城港供</w:t>
      </w:r>
      <w:r>
        <w:rPr>
          <w:rFonts w:hint="eastAsia" w:ascii="宋体"/>
          <w:color w:val="000000" w:themeColor="text1"/>
          <w:sz w:val="24"/>
          <w:szCs w:val="24"/>
          <w14:textFill>
            <w14:solidFill>
              <w14:schemeClr w14:val="tx1"/>
            </w14:solidFill>
          </w14:textFill>
        </w:rPr>
        <w:t>电局“外加电流法判断蓄电池脱离母线故障的研究” 开发项目服务要求有关事项。</w:t>
      </w:r>
    </w:p>
    <w:p>
      <w:pPr>
        <w:numPr>
          <w:ilvl w:val="2"/>
          <w:numId w:val="4"/>
        </w:numPr>
        <w:spacing w:line="360" w:lineRule="auto"/>
        <w:ind w:firstLine="480"/>
        <w:rPr>
          <w:rFonts w:ascii="宋体"/>
          <w:sz w:val="24"/>
          <w:szCs w:val="24"/>
        </w:rPr>
      </w:pPr>
      <w:r>
        <w:rPr>
          <w:rFonts w:hint="eastAsia" w:ascii="宋体"/>
          <w:sz w:val="24"/>
          <w:szCs w:val="24"/>
        </w:rPr>
        <w:t>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numPr>
          <w:ilvl w:val="2"/>
          <w:numId w:val="4"/>
        </w:numPr>
        <w:spacing w:line="360" w:lineRule="auto"/>
        <w:ind w:firstLine="480"/>
        <w:rPr>
          <w:rFonts w:ascii="宋体"/>
          <w:sz w:val="24"/>
          <w:szCs w:val="24"/>
        </w:rPr>
      </w:pPr>
      <w:r>
        <w:rPr>
          <w:rFonts w:hint="eastAsia" w:ascii="宋体"/>
          <w:sz w:val="24"/>
          <w:szCs w:val="24"/>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numPr>
          <w:ilvl w:val="2"/>
          <w:numId w:val="4"/>
        </w:numPr>
        <w:spacing w:line="360" w:lineRule="auto"/>
        <w:ind w:firstLine="480"/>
        <w:rPr>
          <w:rFonts w:ascii="宋体"/>
          <w:sz w:val="24"/>
          <w:szCs w:val="24"/>
        </w:rPr>
      </w:pPr>
      <w:r>
        <w:rPr>
          <w:rFonts w:hint="eastAsia" w:ascii="宋体"/>
          <w:sz w:val="24"/>
          <w:szCs w:val="24"/>
        </w:rPr>
        <w:t>如果投标方认为本技术条款所描述技术要求等存在不合理性或不明白的，可在响应原要求后陈述相关建议。</w:t>
      </w:r>
    </w:p>
    <w:p>
      <w:pPr>
        <w:numPr>
          <w:ilvl w:val="2"/>
          <w:numId w:val="4"/>
        </w:numPr>
        <w:spacing w:line="360" w:lineRule="auto"/>
        <w:ind w:firstLine="480"/>
        <w:rPr>
          <w:rFonts w:ascii="宋体"/>
          <w:sz w:val="24"/>
          <w:szCs w:val="24"/>
        </w:rPr>
      </w:pPr>
      <w:r>
        <w:rPr>
          <w:rFonts w:hint="eastAsia" w:ascii="宋体"/>
          <w:sz w:val="24"/>
          <w:szCs w:val="24"/>
        </w:rPr>
        <w:t>投标方也可提出满足本技术规范书要求，且技术先进、成熟、价格合理的其他建议，供招标方选择。</w:t>
      </w:r>
    </w:p>
    <w:p>
      <w:pPr>
        <w:numPr>
          <w:ilvl w:val="2"/>
          <w:numId w:val="4"/>
        </w:numPr>
        <w:spacing w:line="360" w:lineRule="auto"/>
        <w:ind w:firstLine="480"/>
        <w:rPr>
          <w:rFonts w:ascii="宋体"/>
          <w:sz w:val="24"/>
          <w:szCs w:val="24"/>
        </w:rPr>
      </w:pPr>
      <w:r>
        <w:rPr>
          <w:rFonts w:hint="eastAsia" w:ascii="宋体"/>
          <w:sz w:val="24"/>
          <w:szCs w:val="24"/>
        </w:rPr>
        <w:t>投标方应提供满足本技术规范书要求的完整的服务、工作产品，满足国家及用户提出的有关质量标准要求。所有工作产品必须具有在中国境内的合法使用权。</w:t>
      </w:r>
    </w:p>
    <w:p>
      <w:pPr>
        <w:numPr>
          <w:ilvl w:val="2"/>
          <w:numId w:val="4"/>
        </w:numPr>
        <w:spacing w:line="360" w:lineRule="auto"/>
        <w:ind w:firstLine="480"/>
        <w:rPr>
          <w:rFonts w:ascii="宋体"/>
          <w:sz w:val="24"/>
          <w:szCs w:val="24"/>
        </w:rPr>
      </w:pPr>
      <w:r>
        <w:rPr>
          <w:rFonts w:hint="eastAsia" w:ascii="宋体"/>
          <w:sz w:val="24"/>
          <w:szCs w:val="24"/>
        </w:rPr>
        <w:t>本技术规范书所使用的标准如与投标方所执行的标准不一致，按较高标准执行。</w:t>
      </w:r>
    </w:p>
    <w:p>
      <w:pPr>
        <w:numPr>
          <w:ilvl w:val="2"/>
          <w:numId w:val="4"/>
        </w:numPr>
        <w:spacing w:line="360" w:lineRule="auto"/>
        <w:ind w:firstLine="480"/>
        <w:rPr>
          <w:rFonts w:ascii="宋体"/>
          <w:sz w:val="24"/>
          <w:szCs w:val="24"/>
        </w:rPr>
      </w:pPr>
      <w:r>
        <w:rPr>
          <w:rFonts w:hint="eastAsia" w:ascii="宋体"/>
          <w:sz w:val="24"/>
          <w:szCs w:val="24"/>
        </w:rPr>
        <w:t>如果因为无法提供的原因而提供其他产品、服务，投标方应明确说明并提出质量保证承诺。</w:t>
      </w:r>
    </w:p>
    <w:p>
      <w:pPr>
        <w:numPr>
          <w:ilvl w:val="2"/>
          <w:numId w:val="4"/>
        </w:numPr>
        <w:spacing w:line="360" w:lineRule="auto"/>
        <w:ind w:firstLine="480"/>
        <w:rPr>
          <w:rFonts w:ascii="宋体"/>
          <w:sz w:val="24"/>
          <w:szCs w:val="24"/>
        </w:rPr>
      </w:pPr>
      <w:r>
        <w:rPr>
          <w:rFonts w:hint="eastAsia" w:ascii="宋体"/>
          <w:sz w:val="24"/>
          <w:szCs w:val="24"/>
        </w:rPr>
        <w:t>投标方应保证为今后招标方开发的或招标方委托第三方开发的其他工作产品提供可靠的性能和兼容性。</w:t>
      </w:r>
    </w:p>
    <w:p>
      <w:pPr>
        <w:numPr>
          <w:ilvl w:val="2"/>
          <w:numId w:val="4"/>
        </w:numPr>
        <w:spacing w:line="360" w:lineRule="auto"/>
        <w:ind w:firstLine="480"/>
        <w:rPr>
          <w:rFonts w:ascii="宋体"/>
          <w:sz w:val="24"/>
          <w:szCs w:val="24"/>
        </w:rPr>
      </w:pPr>
      <w:r>
        <w:rPr>
          <w:rFonts w:hint="eastAsia" w:ascii="宋体"/>
          <w:sz w:val="24"/>
          <w:szCs w:val="24"/>
        </w:rPr>
        <w:t>投标方应对本次投标所有文件保密，不得向其他单位公布或泄漏招标项目的有关信息。</w:t>
      </w:r>
    </w:p>
    <w:p>
      <w:pPr>
        <w:numPr>
          <w:ilvl w:val="2"/>
          <w:numId w:val="4"/>
        </w:numPr>
        <w:spacing w:line="360" w:lineRule="auto"/>
        <w:ind w:firstLine="480"/>
        <w:rPr>
          <w:rFonts w:ascii="宋体"/>
          <w:sz w:val="24"/>
          <w:szCs w:val="24"/>
        </w:rPr>
      </w:pPr>
      <w:r>
        <w:rPr>
          <w:rFonts w:hint="eastAsia" w:ascii="宋体"/>
          <w:sz w:val="24"/>
          <w:szCs w:val="24"/>
        </w:rPr>
        <w:t>招标方保留技术规范书修改的权利，可以提出变更的意见和建议，最终签订的技术协议与合同具有同等效力。</w:t>
      </w:r>
    </w:p>
    <w:p>
      <w:pPr>
        <w:numPr>
          <w:ilvl w:val="2"/>
          <w:numId w:val="4"/>
        </w:numPr>
        <w:spacing w:line="360" w:lineRule="auto"/>
        <w:ind w:firstLine="480"/>
        <w:rPr>
          <w:rFonts w:ascii="宋体"/>
          <w:sz w:val="24"/>
          <w:szCs w:val="24"/>
        </w:rPr>
      </w:pPr>
      <w:r>
        <w:rPr>
          <w:rFonts w:hint="eastAsia" w:ascii="宋体"/>
          <w:sz w:val="24"/>
          <w:szCs w:val="24"/>
        </w:rPr>
        <w:t>在不超出本技术规范书要求的情况下，投标方应对招标方提出的所有细化要求予以满足。</w:t>
      </w:r>
    </w:p>
    <w:p>
      <w:pPr>
        <w:numPr>
          <w:ilvl w:val="2"/>
          <w:numId w:val="4"/>
        </w:numPr>
        <w:spacing w:line="360" w:lineRule="auto"/>
        <w:ind w:firstLine="480"/>
        <w:rPr>
          <w:rFonts w:ascii="宋体"/>
          <w:sz w:val="24"/>
          <w:szCs w:val="24"/>
        </w:rPr>
      </w:pPr>
      <w:r>
        <w:rPr>
          <w:rFonts w:hint="eastAsia" w:ascii="宋体"/>
          <w:sz w:val="24"/>
          <w:szCs w:val="24"/>
        </w:rPr>
        <w:t>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numPr>
          <w:ilvl w:val="2"/>
          <w:numId w:val="4"/>
        </w:numPr>
        <w:spacing w:line="360" w:lineRule="auto"/>
        <w:ind w:firstLine="480"/>
        <w:rPr>
          <w:rFonts w:ascii="宋体"/>
          <w:sz w:val="24"/>
          <w:szCs w:val="24"/>
        </w:rPr>
      </w:pPr>
      <w:r>
        <w:rPr>
          <w:rFonts w:hint="eastAsia" w:ascii="宋体"/>
          <w:sz w:val="24"/>
          <w:szCs w:val="24"/>
        </w:rPr>
        <w:t>有文件、图纸、通信的均使用中文。所有计算、说明、图纸文件、手册等使用国际单位制。</w:t>
      </w:r>
    </w:p>
    <w:p>
      <w:pPr>
        <w:pStyle w:val="13"/>
        <w:numPr>
          <w:ilvl w:val="1"/>
          <w:numId w:val="3"/>
        </w:numPr>
        <w:ind w:firstLine="562"/>
        <w:outlineLvl w:val="1"/>
        <w:rPr>
          <w:b/>
          <w:sz w:val="28"/>
        </w:rPr>
      </w:pPr>
      <w:r>
        <w:rPr>
          <w:rFonts w:hint="eastAsia"/>
          <w:b/>
          <w:sz w:val="28"/>
        </w:rPr>
        <w:t>招标方职责</w:t>
      </w:r>
    </w:p>
    <w:p>
      <w:pPr>
        <w:numPr>
          <w:ilvl w:val="0"/>
          <w:numId w:val="5"/>
        </w:numPr>
        <w:spacing w:line="360" w:lineRule="auto"/>
        <w:ind w:firstLine="480"/>
        <w:rPr>
          <w:rFonts w:ascii="宋体" w:hAnsi="宋体"/>
          <w:sz w:val="24"/>
          <w:szCs w:val="24"/>
        </w:rPr>
      </w:pPr>
      <w:r>
        <w:rPr>
          <w:rFonts w:hint="eastAsia" w:ascii="宋体" w:hAnsi="宋体"/>
          <w:sz w:val="24"/>
          <w:szCs w:val="24"/>
        </w:rPr>
        <w:t>提出“外加电流法判断蓄电池脱离母线故障的研究”的详细需求；</w:t>
      </w:r>
    </w:p>
    <w:p>
      <w:pPr>
        <w:numPr>
          <w:ilvl w:val="0"/>
          <w:numId w:val="5"/>
        </w:numPr>
        <w:spacing w:line="360" w:lineRule="auto"/>
        <w:ind w:firstLine="480"/>
        <w:rPr>
          <w:rFonts w:ascii="宋体" w:hAnsi="宋体"/>
          <w:sz w:val="24"/>
          <w:szCs w:val="24"/>
        </w:rPr>
      </w:pPr>
      <w:r>
        <w:rPr>
          <w:rFonts w:ascii="宋体" w:hAnsi="宋体"/>
          <w:sz w:val="24"/>
          <w:szCs w:val="24"/>
        </w:rPr>
        <w:t>制定项目开发总体技术路线</w:t>
      </w:r>
      <w:r>
        <w:rPr>
          <w:rFonts w:hint="eastAsia" w:ascii="宋体" w:hAnsi="宋体"/>
          <w:sz w:val="24"/>
          <w:szCs w:val="24"/>
        </w:rPr>
        <w:t>；</w:t>
      </w:r>
    </w:p>
    <w:p>
      <w:pPr>
        <w:numPr>
          <w:ilvl w:val="0"/>
          <w:numId w:val="5"/>
        </w:numPr>
        <w:spacing w:line="360" w:lineRule="auto"/>
        <w:ind w:firstLine="480"/>
        <w:rPr>
          <w:rFonts w:ascii="宋体" w:hAnsi="宋体"/>
          <w:sz w:val="24"/>
          <w:szCs w:val="24"/>
        </w:rPr>
      </w:pPr>
      <w:r>
        <w:rPr>
          <w:rFonts w:ascii="宋体" w:hAnsi="宋体"/>
          <w:sz w:val="24"/>
          <w:szCs w:val="24"/>
        </w:rPr>
        <w:t>为响应方收集项目开发所需原始资料等提供协助；</w:t>
      </w:r>
    </w:p>
    <w:p>
      <w:pPr>
        <w:numPr>
          <w:ilvl w:val="0"/>
          <w:numId w:val="5"/>
        </w:numPr>
        <w:spacing w:line="360" w:lineRule="auto"/>
        <w:ind w:firstLine="480"/>
        <w:rPr>
          <w:rFonts w:ascii="宋体" w:hAnsi="宋体"/>
          <w:sz w:val="24"/>
          <w:szCs w:val="24"/>
        </w:rPr>
      </w:pPr>
      <w:r>
        <w:rPr>
          <w:rFonts w:ascii="宋体" w:hAnsi="宋体"/>
          <w:sz w:val="24"/>
          <w:szCs w:val="24"/>
        </w:rPr>
        <w:t>按照响应方提出的项目开发条件要求提供</w:t>
      </w:r>
      <w:r>
        <w:rPr>
          <w:rFonts w:hint="eastAsia" w:ascii="宋体" w:hAnsi="宋体"/>
          <w:sz w:val="24"/>
          <w:szCs w:val="24"/>
        </w:rPr>
        <w:t>配合</w:t>
      </w:r>
      <w:r>
        <w:rPr>
          <w:rFonts w:ascii="宋体" w:hAnsi="宋体"/>
          <w:sz w:val="24"/>
          <w:szCs w:val="24"/>
        </w:rPr>
        <w:t>人员和开发场地；</w:t>
      </w:r>
    </w:p>
    <w:p>
      <w:pPr>
        <w:numPr>
          <w:ilvl w:val="0"/>
          <w:numId w:val="5"/>
        </w:numPr>
        <w:spacing w:line="360" w:lineRule="auto"/>
        <w:ind w:firstLine="480"/>
        <w:rPr>
          <w:rFonts w:ascii="宋体" w:hAnsi="宋体"/>
          <w:sz w:val="24"/>
          <w:szCs w:val="24"/>
        </w:rPr>
      </w:pPr>
      <w:r>
        <w:rPr>
          <w:rFonts w:ascii="宋体" w:hAnsi="宋体"/>
          <w:sz w:val="24"/>
          <w:szCs w:val="24"/>
        </w:rPr>
        <w:t>负责</w:t>
      </w:r>
      <w:r>
        <w:rPr>
          <w:rFonts w:hint="eastAsia" w:ascii="宋体" w:hAnsi="宋体"/>
          <w:sz w:val="24"/>
          <w:szCs w:val="24"/>
        </w:rPr>
        <w:t>装置功能</w:t>
      </w:r>
      <w:r>
        <w:rPr>
          <w:rFonts w:ascii="宋体" w:hAnsi="宋体"/>
          <w:sz w:val="24"/>
          <w:szCs w:val="24"/>
        </w:rPr>
        <w:t>验收；</w:t>
      </w:r>
    </w:p>
    <w:p>
      <w:pPr>
        <w:numPr>
          <w:ilvl w:val="0"/>
          <w:numId w:val="5"/>
        </w:numPr>
        <w:spacing w:line="360" w:lineRule="auto"/>
        <w:ind w:firstLine="480"/>
        <w:rPr>
          <w:rFonts w:ascii="宋体" w:hAnsi="宋体"/>
          <w:sz w:val="24"/>
          <w:szCs w:val="24"/>
        </w:rPr>
      </w:pPr>
      <w:r>
        <w:rPr>
          <w:rFonts w:ascii="宋体" w:hAnsi="宋体"/>
          <w:sz w:val="24"/>
          <w:szCs w:val="24"/>
        </w:rPr>
        <w:t>为响应方人员在采购方所在地工作期间提供支持与方便；</w:t>
      </w:r>
    </w:p>
    <w:p>
      <w:pPr>
        <w:numPr>
          <w:ilvl w:val="0"/>
          <w:numId w:val="5"/>
        </w:numPr>
        <w:spacing w:line="360" w:lineRule="auto"/>
        <w:ind w:firstLine="480"/>
        <w:rPr>
          <w:rFonts w:ascii="宋体" w:hAnsi="宋体"/>
          <w:sz w:val="24"/>
          <w:szCs w:val="24"/>
        </w:rPr>
      </w:pPr>
      <w:r>
        <w:rPr>
          <w:rFonts w:ascii="宋体" w:hAnsi="宋体"/>
          <w:sz w:val="24"/>
          <w:szCs w:val="24"/>
        </w:rPr>
        <w:t>指派技术人员协助项目</w:t>
      </w:r>
      <w:r>
        <w:rPr>
          <w:rFonts w:hint="eastAsia" w:ascii="宋体" w:hAnsi="宋体"/>
          <w:sz w:val="24"/>
          <w:szCs w:val="24"/>
        </w:rPr>
        <w:t>实施</w:t>
      </w:r>
      <w:r>
        <w:rPr>
          <w:rFonts w:hint="eastAsia" w:ascii="宋体" w:hAnsi="宋体"/>
          <w:sz w:val="24"/>
          <w:szCs w:val="24"/>
          <w:lang w:eastAsia="zh-CN"/>
        </w:rPr>
        <w:t>。</w:t>
      </w:r>
    </w:p>
    <w:p>
      <w:pPr>
        <w:pStyle w:val="13"/>
        <w:numPr>
          <w:ilvl w:val="1"/>
          <w:numId w:val="3"/>
        </w:numPr>
        <w:ind w:firstLine="562"/>
        <w:outlineLvl w:val="1"/>
        <w:rPr>
          <w:b/>
          <w:sz w:val="28"/>
        </w:rPr>
      </w:pPr>
      <w:r>
        <w:rPr>
          <w:rFonts w:hint="eastAsia"/>
          <w:b/>
          <w:sz w:val="28"/>
        </w:rPr>
        <w:t>投标方职责</w:t>
      </w:r>
    </w:p>
    <w:p>
      <w:pPr>
        <w:numPr>
          <w:ilvl w:val="0"/>
          <w:numId w:val="6"/>
        </w:numPr>
        <w:spacing w:line="360" w:lineRule="auto"/>
        <w:ind w:firstLine="480"/>
        <w:rPr>
          <w:rFonts w:ascii="宋体" w:hAnsi="宋体"/>
          <w:sz w:val="24"/>
          <w:szCs w:val="24"/>
        </w:rPr>
      </w:pPr>
      <w:r>
        <w:rPr>
          <w:rFonts w:hint="eastAsia" w:ascii="宋体" w:hAnsi="宋体"/>
          <w:sz w:val="24"/>
          <w:szCs w:val="24"/>
        </w:rPr>
        <w:t>提供完整</w:t>
      </w:r>
      <w:r>
        <w:rPr>
          <w:rFonts w:hint="eastAsia" w:ascii="宋体" w:hAnsi="宋体"/>
          <w:sz w:val="24"/>
          <w:szCs w:val="24"/>
          <w:lang w:val="en-US" w:eastAsia="zh-CN"/>
        </w:rPr>
        <w:t>材料的加工、测试试验</w:t>
      </w:r>
      <w:r>
        <w:rPr>
          <w:rFonts w:hint="eastAsia" w:ascii="宋体" w:hAnsi="宋体"/>
          <w:sz w:val="24"/>
          <w:szCs w:val="24"/>
        </w:rPr>
        <w:t>服务报价；</w:t>
      </w:r>
    </w:p>
    <w:p>
      <w:pPr>
        <w:numPr>
          <w:ilvl w:val="0"/>
          <w:numId w:val="6"/>
        </w:numPr>
        <w:spacing w:line="360" w:lineRule="auto"/>
        <w:ind w:firstLine="480"/>
        <w:rPr>
          <w:rFonts w:ascii="宋体" w:hAnsi="宋体"/>
          <w:sz w:val="24"/>
          <w:szCs w:val="24"/>
        </w:rPr>
      </w:pPr>
      <w:r>
        <w:rPr>
          <w:rFonts w:hint="eastAsia" w:ascii="宋体" w:hAnsi="宋体"/>
          <w:sz w:val="24"/>
          <w:szCs w:val="24"/>
        </w:rPr>
        <w:t>按合同范围提供完整的项目实施方案；</w:t>
      </w:r>
    </w:p>
    <w:p>
      <w:pPr>
        <w:numPr>
          <w:ilvl w:val="0"/>
          <w:numId w:val="6"/>
        </w:numPr>
        <w:spacing w:line="360" w:lineRule="auto"/>
        <w:ind w:firstLine="480"/>
        <w:rPr>
          <w:rFonts w:hint="eastAsia" w:ascii="宋体" w:hAnsi="宋体" w:cs="Times New Roman"/>
          <w:sz w:val="24"/>
          <w:szCs w:val="24"/>
        </w:rPr>
      </w:pPr>
      <w:r>
        <w:rPr>
          <w:rFonts w:hint="eastAsia" w:ascii="宋体" w:hAnsi="宋体"/>
          <w:sz w:val="24"/>
          <w:szCs w:val="24"/>
        </w:rPr>
        <w:t>按合同要求进行“外加电流法判断蓄电池脱离母线故障的研究”项目的</w:t>
      </w:r>
      <w:r>
        <w:rPr>
          <w:rFonts w:hint="eastAsia" w:ascii="宋体" w:hAnsi="宋体" w:cs="Times New Roman"/>
          <w:sz w:val="24"/>
          <w:szCs w:val="24"/>
        </w:rPr>
        <w:t>零部件</w:t>
      </w:r>
      <w:r>
        <w:rPr>
          <w:rFonts w:hint="eastAsia" w:ascii="宋体" w:hAnsi="宋体" w:cs="Times New Roman"/>
          <w:sz w:val="24"/>
          <w:szCs w:val="24"/>
          <w:lang w:eastAsia="zh-CN"/>
        </w:rPr>
        <w:t>材料、</w:t>
      </w:r>
      <w:r>
        <w:rPr>
          <w:rFonts w:hint="eastAsia" w:ascii="宋体" w:hAnsi="宋体" w:cs="Times New Roman"/>
          <w:sz w:val="24"/>
          <w:szCs w:val="24"/>
        </w:rPr>
        <w:t>加工、组装、现场测试</w:t>
      </w:r>
      <w:r>
        <w:rPr>
          <w:rFonts w:hint="eastAsia" w:ascii="宋体" w:hAnsi="宋体" w:cs="Times New Roman"/>
          <w:sz w:val="24"/>
          <w:szCs w:val="24"/>
          <w:lang w:eastAsia="zh-CN"/>
        </w:rPr>
        <w:t>、</w:t>
      </w:r>
      <w:r>
        <w:rPr>
          <w:rFonts w:hint="eastAsia" w:ascii="宋体" w:hAnsi="宋体" w:cs="Times New Roman"/>
          <w:sz w:val="24"/>
          <w:szCs w:val="24"/>
        </w:rPr>
        <w:t>功能性能测试工作；</w:t>
      </w:r>
    </w:p>
    <w:p>
      <w:pPr>
        <w:numPr>
          <w:ilvl w:val="0"/>
          <w:numId w:val="6"/>
        </w:numPr>
        <w:spacing w:line="360" w:lineRule="auto"/>
        <w:ind w:firstLine="480"/>
        <w:rPr>
          <w:rFonts w:ascii="宋体" w:hAnsi="宋体"/>
          <w:sz w:val="24"/>
          <w:szCs w:val="24"/>
        </w:rPr>
      </w:pPr>
      <w:r>
        <w:rPr>
          <w:rFonts w:hint="eastAsia" w:ascii="宋体" w:hAnsi="宋体"/>
          <w:sz w:val="24"/>
          <w:szCs w:val="24"/>
        </w:rPr>
        <w:t>负责协助功能评审和现场验收工作；</w:t>
      </w:r>
    </w:p>
    <w:p>
      <w:pPr>
        <w:numPr>
          <w:ilvl w:val="0"/>
          <w:numId w:val="6"/>
        </w:numPr>
        <w:spacing w:line="360" w:lineRule="auto"/>
        <w:ind w:firstLine="480"/>
        <w:rPr>
          <w:rFonts w:ascii="宋体" w:hAnsi="宋体"/>
          <w:sz w:val="24"/>
          <w:szCs w:val="24"/>
        </w:rPr>
      </w:pPr>
      <w:r>
        <w:rPr>
          <w:rFonts w:hint="eastAsia" w:ascii="宋体" w:hAnsi="宋体"/>
          <w:sz w:val="24"/>
          <w:szCs w:val="24"/>
        </w:rPr>
        <w:t>负责质保期间</w:t>
      </w:r>
      <w:r>
        <w:rPr>
          <w:rFonts w:hint="eastAsia" w:ascii="宋体" w:hAnsi="宋体"/>
          <w:sz w:val="24"/>
          <w:szCs w:val="24"/>
          <w:lang w:val="en-US" w:eastAsia="zh-CN"/>
        </w:rPr>
        <w:t>材料的加工、测试试验</w:t>
      </w:r>
      <w:r>
        <w:rPr>
          <w:rFonts w:hint="eastAsia" w:ascii="宋体" w:hAnsi="宋体"/>
          <w:sz w:val="24"/>
          <w:szCs w:val="24"/>
        </w:rPr>
        <w:t>服务的维护；</w:t>
      </w:r>
    </w:p>
    <w:p>
      <w:pPr>
        <w:numPr>
          <w:ilvl w:val="0"/>
          <w:numId w:val="6"/>
        </w:numPr>
        <w:spacing w:line="360" w:lineRule="auto"/>
        <w:ind w:firstLine="480"/>
        <w:rPr>
          <w:rFonts w:ascii="宋体" w:hAnsi="宋体"/>
          <w:sz w:val="24"/>
          <w:szCs w:val="24"/>
        </w:rPr>
      </w:pPr>
      <w:r>
        <w:rPr>
          <w:rFonts w:hint="eastAsia" w:ascii="宋体" w:hAnsi="宋体"/>
          <w:sz w:val="24"/>
          <w:szCs w:val="24"/>
        </w:rPr>
        <w:t>按期提交满足采购方要求的“外加电流法判断蓄电池脱离母线故障的研究”项目</w:t>
      </w:r>
      <w:r>
        <w:rPr>
          <w:rFonts w:hint="eastAsia" w:ascii="宋体" w:hAnsi="宋体"/>
          <w:sz w:val="24"/>
          <w:szCs w:val="24"/>
          <w:lang w:val="en-US" w:eastAsia="zh-CN"/>
        </w:rPr>
        <w:t>材料的加工后、测试试验合格后完整一套装置成果</w:t>
      </w:r>
      <w:r>
        <w:rPr>
          <w:rFonts w:hint="eastAsia" w:ascii="宋体" w:hAnsi="宋体"/>
          <w:sz w:val="24"/>
          <w:szCs w:val="24"/>
        </w:rPr>
        <w:t>。</w:t>
      </w:r>
    </w:p>
    <w:p>
      <w:pPr>
        <w:pStyle w:val="13"/>
        <w:ind w:left="562" w:firstLine="0" w:firstLineChars="0"/>
        <w:outlineLvl w:val="1"/>
        <w:rPr>
          <w:b/>
          <w:color w:val="auto"/>
          <w:sz w:val="28"/>
        </w:rPr>
      </w:pPr>
      <w:r>
        <w:rPr>
          <w:rFonts w:hint="eastAsia"/>
          <w:b/>
          <w:color w:val="auto"/>
          <w:sz w:val="28"/>
        </w:rPr>
        <w:t>1.4 投标资质要求</w:t>
      </w:r>
    </w:p>
    <w:p>
      <w:pPr>
        <w:numPr>
          <w:ilvl w:val="0"/>
          <w:numId w:val="7"/>
        </w:numPr>
        <w:spacing w:line="360" w:lineRule="auto"/>
        <w:ind w:firstLine="480"/>
        <w:rPr>
          <w:rFonts w:ascii="宋体" w:hAnsi="宋体"/>
          <w:color w:val="auto"/>
          <w:sz w:val="24"/>
          <w:szCs w:val="24"/>
          <w:u w:val="single"/>
        </w:rPr>
      </w:pPr>
      <w:r>
        <w:rPr>
          <w:rFonts w:hint="eastAsia" w:ascii="宋体" w:hAnsi="宋体"/>
          <w:color w:val="auto"/>
          <w:sz w:val="24"/>
          <w:szCs w:val="24"/>
          <w:u w:val="single"/>
        </w:rPr>
        <w:t>近</w:t>
      </w:r>
      <w:r>
        <w:rPr>
          <w:rFonts w:hint="eastAsia" w:ascii="宋体" w:hAnsi="宋体"/>
          <w:color w:val="auto"/>
          <w:sz w:val="24"/>
          <w:szCs w:val="24"/>
          <w:u w:val="single"/>
          <w:lang w:val="en-US" w:eastAsia="zh-CN"/>
        </w:rPr>
        <w:t>8</w:t>
      </w:r>
      <w:r>
        <w:rPr>
          <w:rFonts w:hint="eastAsia" w:ascii="宋体" w:hAnsi="宋体"/>
          <w:color w:val="auto"/>
          <w:sz w:val="24"/>
          <w:szCs w:val="24"/>
          <w:u w:val="single"/>
        </w:rPr>
        <w:t>年</w:t>
      </w:r>
      <w:r>
        <w:rPr>
          <w:rFonts w:hint="eastAsia" w:ascii="宋体" w:hAnsi="宋体"/>
          <w:color w:val="auto"/>
          <w:sz w:val="24"/>
          <w:szCs w:val="24"/>
          <w:u w:val="single"/>
          <w:lang w:val="en-US" w:eastAsia="zh-CN"/>
        </w:rPr>
        <w:t>在广西电网有限责任公司防城港供电局</w:t>
      </w:r>
      <w:r>
        <w:rPr>
          <w:rFonts w:hint="eastAsia" w:ascii="宋体" w:hAnsi="宋体"/>
          <w:color w:val="auto"/>
          <w:sz w:val="24"/>
          <w:szCs w:val="24"/>
          <w:u w:val="single"/>
        </w:rPr>
        <w:t>至少具有3项与直流系统相关的职工创新</w:t>
      </w:r>
      <w:r>
        <w:rPr>
          <w:rFonts w:hint="eastAsia" w:ascii="宋体" w:hAnsi="宋体"/>
          <w:color w:val="auto"/>
          <w:sz w:val="24"/>
          <w:szCs w:val="24"/>
          <w:u w:val="single"/>
          <w:lang w:val="en-US" w:eastAsia="zh-CN"/>
        </w:rPr>
        <w:t>项目或者科技创新项目</w:t>
      </w:r>
      <w:r>
        <w:rPr>
          <w:rFonts w:hint="eastAsia" w:ascii="宋体" w:hAnsi="宋体"/>
          <w:color w:val="auto"/>
          <w:sz w:val="24"/>
          <w:szCs w:val="24"/>
          <w:u w:val="single"/>
        </w:rPr>
        <w:t>的业绩（附合同）；</w:t>
      </w:r>
    </w:p>
    <w:p>
      <w:pPr>
        <w:numPr>
          <w:ilvl w:val="0"/>
          <w:numId w:val="7"/>
        </w:numPr>
        <w:spacing w:line="360" w:lineRule="auto"/>
        <w:ind w:firstLine="480"/>
        <w:rPr>
          <w:rFonts w:ascii="宋体" w:hAnsi="宋体"/>
          <w:color w:val="auto"/>
          <w:sz w:val="24"/>
          <w:szCs w:val="24"/>
          <w:u w:val="single"/>
        </w:rPr>
      </w:pPr>
      <w:r>
        <w:rPr>
          <w:rFonts w:hint="eastAsia" w:ascii="宋体" w:hAnsi="宋体"/>
          <w:color w:val="auto"/>
          <w:sz w:val="24"/>
          <w:szCs w:val="24"/>
          <w:u w:val="single"/>
        </w:rPr>
        <w:t>具有直流系统蓄电池监测装置相关的型式试验电磁兼容检测报告及电磁兼容检验证书；</w:t>
      </w:r>
    </w:p>
    <w:p>
      <w:pPr>
        <w:keepNext/>
        <w:keepLines/>
        <w:numPr>
          <w:ilvl w:val="0"/>
          <w:numId w:val="2"/>
        </w:numPr>
        <w:spacing w:before="156" w:beforeLines="50" w:after="156" w:afterLines="50" w:line="360" w:lineRule="auto"/>
        <w:ind w:firstLine="643" w:firstLineChars="0"/>
        <w:jc w:val="left"/>
        <w:outlineLvl w:val="0"/>
        <w:rPr>
          <w:rFonts w:ascii="宋体"/>
          <w:b/>
          <w:bCs/>
          <w:color w:val="auto"/>
          <w:kern w:val="44"/>
          <w:sz w:val="32"/>
          <w:szCs w:val="44"/>
        </w:rPr>
      </w:pPr>
      <w:bookmarkStart w:id="9" w:name="_Toc509005143"/>
      <w:bookmarkStart w:id="10" w:name="_Toc30501_WPSOffice_Level1"/>
      <w:bookmarkStart w:id="11" w:name="_Toc411238019"/>
      <w:r>
        <w:rPr>
          <w:rFonts w:hint="eastAsia" w:ascii="宋体"/>
          <w:b/>
          <w:bCs/>
          <w:color w:val="auto"/>
          <w:kern w:val="44"/>
          <w:sz w:val="32"/>
          <w:szCs w:val="44"/>
        </w:rPr>
        <w:t>项目概述</w:t>
      </w:r>
      <w:bookmarkEnd w:id="9"/>
      <w:bookmarkEnd w:id="10"/>
      <w:bookmarkEnd w:id="11"/>
    </w:p>
    <w:p>
      <w:pPr>
        <w:pStyle w:val="2"/>
        <w:jc w:val="left"/>
        <w:rPr>
          <w:rFonts w:hint="eastAsia" w:ascii="仿宋" w:hAnsi="仿宋" w:eastAsia="仿宋" w:cs="仿宋"/>
          <w:sz w:val="28"/>
          <w:szCs w:val="28"/>
        </w:rPr>
      </w:pPr>
      <w:r>
        <w:rPr>
          <w:rFonts w:hint="eastAsia" w:ascii="仿宋" w:hAnsi="仿宋" w:eastAsia="仿宋" w:cs="仿宋"/>
          <w:sz w:val="28"/>
          <w:szCs w:val="28"/>
          <w:lang w:val="en-US" w:eastAsia="zh-CN"/>
        </w:rPr>
        <w:t>2.1</w:t>
      </w:r>
      <w:r>
        <w:rPr>
          <w:rFonts w:hint="eastAsia" w:ascii="仿宋" w:hAnsi="仿宋" w:eastAsia="仿宋" w:cs="仿宋"/>
          <w:sz w:val="28"/>
          <w:szCs w:val="28"/>
          <w:lang w:eastAsia="zh-CN"/>
        </w:rPr>
        <w:t>项目</w:t>
      </w:r>
      <w:r>
        <w:rPr>
          <w:rFonts w:hint="eastAsia" w:ascii="仿宋" w:hAnsi="仿宋" w:eastAsia="仿宋" w:cs="仿宋"/>
          <w:sz w:val="28"/>
          <w:szCs w:val="28"/>
        </w:rPr>
        <w:t>摘要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eastAsia="宋体"/>
          <w:color w:val="000000"/>
          <w:sz w:val="24"/>
          <w:szCs w:val="24"/>
          <w:lang w:val="en-US" w:eastAsia="zh-CN"/>
        </w:rPr>
      </w:pPr>
      <w:r>
        <w:rPr>
          <w:rFonts w:hint="eastAsia" w:eastAsia="宋体"/>
          <w:color w:val="000000"/>
          <w:sz w:val="24"/>
          <w:szCs w:val="24"/>
          <w:lang w:val="en-US" w:eastAsia="zh-CN"/>
        </w:rPr>
        <w:t>变电站中直流电源系统主要为保护、控制等设备提供工作电源，为确保直流系统的供电可靠性，均采用蓄电池组作为后备电源。蓄电池组的可靠性最终决定直流系统的可靠性，蓄电池组发生故障，有可能造成保护控制设备拒动，进而对电网的稳定运行产生重大影响。蓄电池组脱离母线的一种蓄电池故障，蓄电池组到直流母线主回路是用粗电缆连接，回路还有分流器、熔断器或保护塑壳空开或者隔离刀闸。各保护元件在维护时可能操作，操作后忘复归直接导致蓄电池组脱离母线；保护元件动作，不会自动复归，直接导致蓄电池组脱离母线。蓄电池组脱离母线导致蓄电池组直接失去意义；同时，由于目前无在线设备高精度检测浮充电流，靠人员巡视周期还是过长，未能及时发现蓄电池脱离母线故障，没能有效避免蓄电池组失去后备电源作用的问题。</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eastAsia="宋体"/>
          <w:color w:val="000000"/>
          <w:sz w:val="24"/>
          <w:szCs w:val="24"/>
          <w:lang w:val="en-US" w:eastAsia="zh-CN"/>
        </w:rPr>
      </w:pPr>
      <w:r>
        <w:rPr>
          <w:rFonts w:hint="eastAsia" w:eastAsia="宋体"/>
          <w:color w:val="000000"/>
          <w:sz w:val="24"/>
          <w:szCs w:val="24"/>
          <w:lang w:val="en-US" w:eastAsia="zh-CN"/>
        </w:rPr>
        <w:t>研制一种外加电流法判断蓄电池脱离母线故障装置能够保证蓄电池出线脱离母线事故及时作出告警，给运维人员提供维护依据，确保电力系统安全可靠运行。该装置原理如下所述：正常运行中，K是断开的，R不消耗功率。故障检测时，合上开关K，R中将有电流流过（I1+I2），当不考虑浮充电流的影响时，I1/I2=Ri1/Ri2＜（3*N/C）/（200*N/C）=0.015，即流过电阻R中的电流主要由充电机提供，在合上开关K时，检测分流器中电流,如果分流器中的电流接近电阻R中的电流，说明正负极熔断器工作正常；反之若在分流器流过的电流很小，则说明熔断器断开，蓄电池组脱离了母线。该方法能够及时发现熔断器或空开是否断开，但对于蓄电池开路却无法判断。只有在蓄电池开路及熔断器同时断开是才能判断，此时，合上开关K，电阻R中没有电流流过，这种情况是很罕见的。因此，蓄电池开路引起的蓄电池组脱离母线故障不易被及时发现。</w:t>
      </w:r>
    </w:p>
    <w:p>
      <w:pPr>
        <w:pStyle w:val="2"/>
        <w:ind w:left="0" w:leftChars="0" w:firstLine="0" w:firstLineChars="0"/>
        <w:jc w:val="both"/>
        <w:rPr>
          <w:rFonts w:hint="eastAsia"/>
          <w:lang w:val="en-US" w:eastAsia="zh-CN"/>
        </w:rPr>
      </w:pPr>
      <w:r>
        <w:drawing>
          <wp:anchor distT="0" distB="0" distL="0" distR="0" simplePos="0" relativeHeight="251659264" behindDoc="0" locked="0" layoutInCell="1" allowOverlap="1">
            <wp:simplePos x="0" y="0"/>
            <wp:positionH relativeFrom="column">
              <wp:posOffset>-90170</wp:posOffset>
            </wp:positionH>
            <wp:positionV relativeFrom="paragraph">
              <wp:posOffset>159385</wp:posOffset>
            </wp:positionV>
            <wp:extent cx="5138420" cy="1361440"/>
            <wp:effectExtent l="0" t="0" r="12700" b="10160"/>
            <wp:wrapSquare wrapText="bothSides"/>
            <wp:docPr id="2" name="Picture 1" descr="蓄电池组脱离母线故障检测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蓄电池组脱离母线故障检测2"/>
                    <pic:cNvPicPr>
                      <a:picLocks noChangeAspect="1" noChangeArrowheads="1"/>
                    </pic:cNvPicPr>
                  </pic:nvPicPr>
                  <pic:blipFill>
                    <a:blip r:embed="rId8"/>
                    <a:srcRect/>
                    <a:stretch>
                      <a:fillRect/>
                    </a:stretch>
                  </pic:blipFill>
                  <pic:spPr>
                    <a:xfrm>
                      <a:off x="0" y="0"/>
                      <a:ext cx="5138420" cy="1361440"/>
                    </a:xfrm>
                    <a:prstGeom prst="rect">
                      <a:avLst/>
                    </a:prstGeom>
                    <a:noFill/>
                    <a:ln w="9525">
                      <a:noFill/>
                      <a:miter lim="800000"/>
                      <a:headEnd/>
                      <a:tailEnd/>
                    </a:ln>
                  </pic:spPr>
                </pic:pic>
              </a:graphicData>
            </a:graphic>
          </wp:anchor>
        </w:drawing>
      </w:r>
    </w:p>
    <w:tbl>
      <w:tblPr>
        <w:tblStyle w:val="8"/>
        <w:tblpPr w:leftFromText="180" w:rightFromText="180" w:vertAnchor="text" w:horzAnchor="page" w:tblpX="2118" w:tblpY="271"/>
        <w:tblOverlap w:val="never"/>
        <w:tblW w:w="7480" w:type="dxa"/>
        <w:jc w:val="center"/>
        <w:tblLayout w:type="fixed"/>
        <w:tblCellMar>
          <w:top w:w="0" w:type="dxa"/>
          <w:left w:w="0" w:type="dxa"/>
          <w:bottom w:w="0" w:type="dxa"/>
          <w:right w:w="0" w:type="dxa"/>
        </w:tblCellMar>
      </w:tblPr>
      <w:tblGrid>
        <w:gridCol w:w="1280"/>
        <w:gridCol w:w="1600"/>
        <w:gridCol w:w="960"/>
        <w:gridCol w:w="1700"/>
        <w:gridCol w:w="985"/>
        <w:gridCol w:w="955"/>
      </w:tblGrid>
      <w:tr>
        <w:tblPrEx>
          <w:tblCellMar>
            <w:top w:w="0" w:type="dxa"/>
            <w:left w:w="0" w:type="dxa"/>
            <w:bottom w:w="0" w:type="dxa"/>
            <w:right w:w="0" w:type="dxa"/>
          </w:tblCellMar>
        </w:tblPrEx>
        <w:trPr>
          <w:trHeight w:val="270" w:hRule="atLeast"/>
          <w:jc w:val="center"/>
        </w:trPr>
        <w:tc>
          <w:tcPr>
            <w:tcW w:w="288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Ri1</w:t>
            </w:r>
          </w:p>
        </w:tc>
        <w:tc>
          <w:tcPr>
            <w:tcW w:w="4600" w:type="dxa"/>
            <w:gridSpan w:val="4"/>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Ri2</w:t>
            </w:r>
          </w:p>
        </w:tc>
      </w:tr>
      <w:tr>
        <w:tblPrEx>
          <w:tblCellMar>
            <w:top w:w="0" w:type="dxa"/>
            <w:left w:w="0" w:type="dxa"/>
            <w:bottom w:w="0" w:type="dxa"/>
            <w:right w:w="0" w:type="dxa"/>
          </w:tblCellMar>
        </w:tblPrEx>
        <w:trPr>
          <w:trHeight w:val="270" w:hRule="atLeast"/>
          <w:jc w:val="center"/>
        </w:trPr>
        <w:tc>
          <w:tcPr>
            <w:tcW w:w="128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R1</w:t>
            </w:r>
          </w:p>
        </w:tc>
        <w:tc>
          <w:tcPr>
            <w:tcW w:w="160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2*R3</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240" w:firstLineChars="100"/>
              <w:rPr>
                <w:rFonts w:ascii="仿宋" w:hAnsi="仿宋" w:eastAsia="仿宋" w:cs="仿宋"/>
                <w:sz w:val="24"/>
              </w:rPr>
            </w:pPr>
            <w:r>
              <w:rPr>
                <w:rFonts w:hint="eastAsia" w:ascii="仿宋" w:hAnsi="仿宋" w:eastAsia="仿宋" w:cs="仿宋"/>
                <w:sz w:val="24"/>
              </w:rPr>
              <w:t>R2</w:t>
            </w:r>
          </w:p>
        </w:tc>
        <w:tc>
          <w:tcPr>
            <w:tcW w:w="170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2*R4</w:t>
            </w:r>
          </w:p>
        </w:tc>
        <w:tc>
          <w:tcPr>
            <w:tcW w:w="985"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240" w:firstLineChars="100"/>
              <w:jc w:val="left"/>
              <w:rPr>
                <w:rFonts w:ascii="仿宋" w:hAnsi="仿宋" w:eastAsia="仿宋" w:cs="仿宋"/>
                <w:sz w:val="24"/>
              </w:rPr>
            </w:pPr>
            <w:r>
              <w:rPr>
                <w:rFonts w:hint="eastAsia" w:ascii="仿宋" w:hAnsi="仿宋" w:eastAsia="仿宋" w:cs="仿宋"/>
                <w:sz w:val="24"/>
                <w:lang w:val="en-US" w:eastAsia="zh-CN"/>
              </w:rPr>
              <w:t>R</w:t>
            </w:r>
            <w:r>
              <w:rPr>
                <w:rFonts w:hint="eastAsia" w:ascii="仿宋" w:hAnsi="仿宋" w:eastAsia="仿宋" w:cs="仿宋"/>
                <w:sz w:val="24"/>
              </w:rPr>
              <w:t>D</w:t>
            </w:r>
          </w:p>
        </w:tc>
        <w:tc>
          <w:tcPr>
            <w:tcW w:w="955"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240" w:firstLineChars="100"/>
              <w:rPr>
                <w:rFonts w:ascii="仿宋" w:hAnsi="仿宋" w:eastAsia="仿宋" w:cs="仿宋"/>
                <w:sz w:val="24"/>
              </w:rPr>
            </w:pPr>
            <w:r>
              <w:rPr>
                <w:rFonts w:hint="eastAsia" w:ascii="仿宋" w:hAnsi="仿宋" w:eastAsia="仿宋" w:cs="仿宋"/>
                <w:sz w:val="24"/>
              </w:rPr>
              <w:t>RF</w:t>
            </w:r>
          </w:p>
        </w:tc>
      </w:tr>
      <w:tr>
        <w:tblPrEx>
          <w:tblCellMar>
            <w:top w:w="0" w:type="dxa"/>
            <w:left w:w="0" w:type="dxa"/>
            <w:bottom w:w="0" w:type="dxa"/>
            <w:right w:w="0" w:type="dxa"/>
          </w:tblCellMar>
        </w:tblPrEx>
        <w:trPr>
          <w:trHeight w:val="270" w:hRule="atLeast"/>
          <w:jc w:val="center"/>
        </w:trPr>
        <w:tc>
          <w:tcPr>
            <w:tcW w:w="128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rPr>
                <w:rFonts w:ascii="仿宋" w:hAnsi="仿宋" w:eastAsia="仿宋" w:cs="仿宋"/>
                <w:sz w:val="24"/>
              </w:rPr>
            </w:pPr>
            <w:r>
              <w:rPr>
                <w:rFonts w:ascii="仿宋" w:hAnsi="仿宋" w:eastAsia="仿宋" w:cs="仿宋"/>
                <w:sz w:val="24"/>
              </w:rPr>
              <w:t>≈200*N/C</w:t>
            </w:r>
          </w:p>
        </w:tc>
        <w:tc>
          <w:tcPr>
            <w:tcW w:w="160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w:t>
            </w:r>
            <w:r>
              <w:rPr>
                <w:rFonts w:ascii="仿宋" w:hAnsi="仿宋" w:eastAsia="仿宋" w:cs="仿宋"/>
                <w:sz w:val="24"/>
              </w:rPr>
              <w:t>0.0225*N/C</w:t>
            </w:r>
          </w:p>
        </w:tc>
        <w:tc>
          <w:tcPr>
            <w:tcW w:w="96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rPr>
                <w:rFonts w:ascii="仿宋" w:hAnsi="仿宋" w:eastAsia="仿宋" w:cs="仿宋"/>
                <w:sz w:val="24"/>
              </w:rPr>
            </w:pPr>
            <w:r>
              <w:rPr>
                <w:rFonts w:ascii="仿宋" w:hAnsi="仿宋" w:eastAsia="仿宋" w:cs="仿宋"/>
                <w:sz w:val="24"/>
              </w:rPr>
              <w:t>≈0</w:t>
            </w:r>
          </w:p>
        </w:tc>
        <w:tc>
          <w:tcPr>
            <w:tcW w:w="170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w:t>
            </w:r>
            <w:r>
              <w:rPr>
                <w:rFonts w:ascii="仿宋" w:hAnsi="仿宋" w:eastAsia="仿宋" w:cs="仿宋"/>
                <w:sz w:val="24"/>
              </w:rPr>
              <w:t>0.0225*N/C</w:t>
            </w:r>
          </w:p>
        </w:tc>
        <w:tc>
          <w:tcPr>
            <w:tcW w:w="985"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rPr>
                <w:rFonts w:ascii="仿宋" w:hAnsi="仿宋" w:eastAsia="仿宋" w:cs="仿宋"/>
                <w:sz w:val="24"/>
              </w:rPr>
            </w:pPr>
            <w:r>
              <w:rPr>
                <w:rFonts w:hint="eastAsia" w:ascii="仿宋" w:hAnsi="仿宋" w:eastAsia="仿宋" w:cs="仿宋"/>
                <w:sz w:val="24"/>
              </w:rPr>
              <w:t>＜</w:t>
            </w:r>
            <w:r>
              <w:rPr>
                <w:rFonts w:ascii="仿宋" w:hAnsi="仿宋" w:eastAsia="仿宋" w:cs="仿宋"/>
                <w:sz w:val="24"/>
              </w:rPr>
              <w:t>1/C</w:t>
            </w:r>
          </w:p>
        </w:tc>
        <w:tc>
          <w:tcPr>
            <w:tcW w:w="955"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rPr>
                <w:rFonts w:ascii="仿宋" w:hAnsi="仿宋" w:eastAsia="仿宋" w:cs="仿宋"/>
                <w:sz w:val="24"/>
              </w:rPr>
            </w:pPr>
            <w:r>
              <w:rPr>
                <w:rFonts w:hint="eastAsia" w:ascii="仿宋" w:hAnsi="仿宋" w:eastAsia="仿宋" w:cs="仿宋"/>
                <w:sz w:val="24"/>
              </w:rPr>
              <w:t>150/C</w:t>
            </w:r>
          </w:p>
        </w:tc>
      </w:tr>
      <w:tr>
        <w:tblPrEx>
          <w:tblCellMar>
            <w:top w:w="0" w:type="dxa"/>
            <w:left w:w="0" w:type="dxa"/>
            <w:bottom w:w="0" w:type="dxa"/>
            <w:right w:w="0" w:type="dxa"/>
          </w:tblCellMar>
        </w:tblPrEx>
        <w:trPr>
          <w:trHeight w:val="270" w:hRule="atLeast"/>
          <w:jc w:val="center"/>
        </w:trPr>
        <w:tc>
          <w:tcPr>
            <w:tcW w:w="288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jc w:val="center"/>
              <w:rPr>
                <w:rFonts w:ascii="仿宋" w:hAnsi="仿宋" w:eastAsia="仿宋" w:cs="仿宋"/>
                <w:sz w:val="24"/>
              </w:rPr>
            </w:pPr>
            <w:r>
              <w:rPr>
                <w:rFonts w:ascii="仿宋" w:hAnsi="仿宋" w:eastAsia="仿宋" w:cs="仿宋"/>
                <w:sz w:val="24"/>
              </w:rPr>
              <w:t>≈200*N/c</w:t>
            </w:r>
          </w:p>
        </w:tc>
        <w:tc>
          <w:tcPr>
            <w:tcW w:w="4600" w:type="dxa"/>
            <w:gridSpan w:val="4"/>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360" w:lineRule="auto"/>
              <w:ind w:firstLine="480" w:firstLineChars="200"/>
              <w:jc w:val="center"/>
              <w:rPr>
                <w:rFonts w:ascii="仿宋" w:hAnsi="仿宋" w:eastAsia="仿宋" w:cs="仿宋"/>
                <w:sz w:val="24"/>
              </w:rPr>
            </w:pPr>
            <w:r>
              <w:rPr>
                <w:rFonts w:hint="eastAsia" w:ascii="仿宋" w:hAnsi="仿宋" w:eastAsia="仿宋" w:cs="仿宋"/>
                <w:sz w:val="24"/>
              </w:rPr>
              <w:t>＜</w:t>
            </w:r>
            <w:r>
              <w:rPr>
                <w:rFonts w:ascii="仿宋" w:hAnsi="仿宋" w:eastAsia="仿宋" w:cs="仿宋"/>
                <w:sz w:val="24"/>
              </w:rPr>
              <w:t>3*N/C</w:t>
            </w:r>
          </w:p>
        </w:tc>
      </w:tr>
    </w:tbl>
    <w:p>
      <w:pPr>
        <w:spacing w:line="360" w:lineRule="auto"/>
        <w:ind w:left="0" w:leftChars="0" w:firstLine="0" w:firstLineChars="0"/>
        <w:jc w:val="left"/>
        <w:rPr>
          <w:rFonts w:hint="eastAsia"/>
          <w:b/>
          <w:sz w:val="28"/>
        </w:rPr>
      </w:pPr>
    </w:p>
    <w:p>
      <w:pPr>
        <w:spacing w:line="360" w:lineRule="auto"/>
        <w:ind w:left="0" w:leftChars="0" w:firstLine="480" w:firstLineChars="200"/>
        <w:jc w:val="left"/>
        <w:rPr>
          <w:rFonts w:hint="eastAsia"/>
          <w:b w:val="0"/>
          <w:bCs w:val="0"/>
          <w:sz w:val="24"/>
          <w:szCs w:val="24"/>
        </w:rPr>
      </w:pPr>
    </w:p>
    <w:p>
      <w:pPr>
        <w:spacing w:line="360" w:lineRule="auto"/>
        <w:ind w:left="0" w:leftChars="0" w:firstLine="480" w:firstLineChars="200"/>
        <w:jc w:val="left"/>
        <w:rPr>
          <w:rFonts w:hint="eastAsia"/>
          <w:b w:val="0"/>
          <w:bCs w:val="0"/>
          <w:sz w:val="24"/>
          <w:szCs w:val="24"/>
        </w:rPr>
      </w:pPr>
    </w:p>
    <w:p>
      <w:pPr>
        <w:spacing w:line="360" w:lineRule="auto"/>
        <w:ind w:left="0" w:leftChars="0" w:firstLine="480" w:firstLineChars="200"/>
        <w:jc w:val="left"/>
        <w:rPr>
          <w:rFonts w:hint="eastAsia"/>
          <w:b w:val="0"/>
          <w:bCs w:val="0"/>
          <w:sz w:val="24"/>
          <w:szCs w:val="24"/>
        </w:rPr>
      </w:pPr>
    </w:p>
    <w:p>
      <w:pPr>
        <w:spacing w:line="360" w:lineRule="auto"/>
        <w:ind w:left="0" w:leftChars="0" w:firstLine="480" w:firstLineChars="200"/>
        <w:jc w:val="left"/>
        <w:rPr>
          <w:rFonts w:hint="eastAsia"/>
          <w:b w:val="0"/>
          <w:bCs w:val="0"/>
          <w:sz w:val="24"/>
          <w:szCs w:val="24"/>
        </w:rPr>
      </w:pPr>
    </w:p>
    <w:p>
      <w:pPr>
        <w:spacing w:line="360" w:lineRule="auto"/>
        <w:ind w:left="0" w:leftChars="0" w:firstLine="480" w:firstLineChars="200"/>
        <w:jc w:val="left"/>
        <w:rPr>
          <w:rFonts w:hint="eastAsia"/>
          <w:b w:val="0"/>
          <w:bCs w:val="0"/>
          <w:sz w:val="24"/>
          <w:szCs w:val="24"/>
        </w:rPr>
      </w:pPr>
    </w:p>
    <w:p>
      <w:pPr>
        <w:spacing w:line="360" w:lineRule="auto"/>
        <w:ind w:left="0" w:leftChars="0" w:firstLine="480" w:firstLineChars="200"/>
        <w:jc w:val="left"/>
        <w:rPr>
          <w:rFonts w:hint="eastAsia"/>
          <w:b w:val="0"/>
          <w:bCs w:val="0"/>
          <w:sz w:val="24"/>
          <w:szCs w:val="24"/>
        </w:rPr>
      </w:pPr>
    </w:p>
    <w:p>
      <w:pPr>
        <w:spacing w:line="360" w:lineRule="auto"/>
        <w:jc w:val="left"/>
        <w:rPr>
          <w:rFonts w:hint="eastAsia"/>
          <w:b/>
          <w:bCs/>
          <w:sz w:val="28"/>
          <w:szCs w:val="28"/>
        </w:rPr>
      </w:pPr>
      <w:r>
        <w:rPr>
          <w:rFonts w:hint="eastAsia"/>
          <w:b w:val="0"/>
          <w:bCs w:val="0"/>
          <w:sz w:val="24"/>
          <w:szCs w:val="24"/>
        </w:rPr>
        <w:t>★</w:t>
      </w:r>
      <w:r>
        <w:rPr>
          <w:rFonts w:hint="eastAsia" w:hAnsi="宋体" w:cs="宋体"/>
          <w:b/>
          <w:bCs/>
          <w:color w:val="000000"/>
          <w:kern w:val="0"/>
          <w:sz w:val="28"/>
          <w:szCs w:val="28"/>
          <w:lang w:val="en-US" w:eastAsia="zh-CN" w:bidi="ar"/>
        </w:rPr>
        <w:t>2.2</w:t>
      </w:r>
      <w:r>
        <w:rPr>
          <w:rFonts w:hint="eastAsia" w:hAnsi="宋体" w:cs="宋体"/>
          <w:b/>
          <w:bCs/>
          <w:color w:val="000000"/>
          <w:kern w:val="0"/>
          <w:sz w:val="28"/>
          <w:szCs w:val="28"/>
          <w:lang w:bidi="ar"/>
        </w:rPr>
        <w:t>采购</w:t>
      </w:r>
      <w:r>
        <w:rPr>
          <w:rFonts w:hint="eastAsia"/>
          <w:b/>
          <w:bCs/>
          <w:sz w:val="28"/>
          <w:szCs w:val="28"/>
        </w:rPr>
        <w:t>范围和内容</w:t>
      </w:r>
    </w:p>
    <w:p>
      <w:pPr>
        <w:spacing w:line="360" w:lineRule="auto"/>
        <w:ind w:left="0" w:leftChars="0" w:firstLine="0" w:firstLineChars="0"/>
        <w:jc w:val="left"/>
        <w:rPr>
          <w:rFonts w:hint="eastAsia"/>
          <w:b/>
          <w:sz w:val="28"/>
        </w:rPr>
      </w:pPr>
      <w:r>
        <w:rPr>
          <w:rFonts w:hint="eastAsia"/>
          <w:color w:val="000000"/>
          <w:sz w:val="24"/>
          <w:szCs w:val="24"/>
        </w:rPr>
        <w:t>本次采购的范围和内容如下，</w:t>
      </w:r>
      <w:r>
        <w:rPr>
          <w:rFonts w:hint="eastAsia" w:ascii="Times New Roman" w:hAnsi="Times New Roman" w:cs="Times New Roman"/>
          <w:color w:val="000000"/>
          <w:sz w:val="24"/>
          <w:szCs w:val="24"/>
        </w:rPr>
        <w:t>投标</w:t>
      </w:r>
      <w:r>
        <w:rPr>
          <w:rFonts w:hint="eastAsia" w:ascii="Times New Roman" w:hAnsi="Times New Roman" w:cs="Times New Roman"/>
          <w:color w:val="000000"/>
          <w:sz w:val="24"/>
          <w:szCs w:val="24"/>
          <w:lang w:val="en-US" w:eastAsia="zh-CN"/>
        </w:rPr>
        <w:t>方</w:t>
      </w:r>
      <w:r>
        <w:rPr>
          <w:rFonts w:hint="eastAsia"/>
          <w:color w:val="000000"/>
          <w:sz w:val="24"/>
          <w:szCs w:val="24"/>
        </w:rPr>
        <w:t>应按此进行响应并报价：</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2"/>
        <w:gridCol w:w="2329"/>
        <w:gridCol w:w="4912"/>
        <w:gridCol w:w="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53" w:type="pct"/>
            <w:vAlign w:val="center"/>
          </w:tcPr>
          <w:p>
            <w:pPr>
              <w:spacing w:line="360" w:lineRule="auto"/>
              <w:ind w:firstLine="0" w:firstLineChars="0"/>
              <w:rPr>
                <w:rFonts w:ascii="宋体" w:hAnsi="宋体"/>
                <w:sz w:val="24"/>
                <w:szCs w:val="24"/>
              </w:rPr>
            </w:pPr>
            <w:r>
              <w:rPr>
                <w:rFonts w:hint="eastAsia" w:ascii="宋体" w:hAnsi="宋体"/>
                <w:sz w:val="24"/>
                <w:szCs w:val="24"/>
              </w:rPr>
              <w:t>序号</w:t>
            </w:r>
          </w:p>
        </w:tc>
        <w:tc>
          <w:tcPr>
            <w:tcW w:w="1366" w:type="pct"/>
            <w:vAlign w:val="center"/>
          </w:tcPr>
          <w:p>
            <w:pPr>
              <w:spacing w:line="360" w:lineRule="auto"/>
              <w:ind w:firstLine="480"/>
              <w:rPr>
                <w:rFonts w:ascii="宋体" w:hAnsi="宋体"/>
                <w:sz w:val="24"/>
                <w:szCs w:val="24"/>
              </w:rPr>
            </w:pPr>
            <w:r>
              <w:rPr>
                <w:rFonts w:hint="eastAsia" w:ascii="宋体" w:hAnsi="宋体"/>
                <w:sz w:val="24"/>
                <w:szCs w:val="24"/>
              </w:rPr>
              <w:t>名称</w:t>
            </w:r>
          </w:p>
        </w:tc>
        <w:tc>
          <w:tcPr>
            <w:tcW w:w="2881" w:type="pct"/>
            <w:vAlign w:val="center"/>
          </w:tcPr>
          <w:p>
            <w:pPr>
              <w:spacing w:line="360" w:lineRule="auto"/>
              <w:ind w:firstLine="480"/>
              <w:rPr>
                <w:rFonts w:ascii="宋体" w:hAnsi="宋体"/>
                <w:sz w:val="24"/>
                <w:szCs w:val="24"/>
              </w:rPr>
            </w:pPr>
            <w:r>
              <w:rPr>
                <w:rFonts w:hint="eastAsia" w:hAnsi="宋体" w:cs="宋体"/>
                <w:b w:val="0"/>
                <w:bCs w:val="0"/>
                <w:color w:val="000000"/>
                <w:kern w:val="0"/>
                <w:sz w:val="22"/>
                <w:szCs w:val="22"/>
                <w:lang w:bidi="ar"/>
              </w:rPr>
              <w:t>采购范围</w:t>
            </w:r>
          </w:p>
        </w:tc>
        <w:tc>
          <w:tcPr>
            <w:tcW w:w="398" w:type="pct"/>
            <w:vAlign w:val="center"/>
          </w:tcPr>
          <w:p>
            <w:pPr>
              <w:spacing w:line="360" w:lineRule="auto"/>
              <w:ind w:firstLine="0" w:firstLineChars="0"/>
              <w:rPr>
                <w:rFonts w:ascii="宋体" w:hAnsi="宋体"/>
                <w:sz w:val="24"/>
                <w:szCs w:val="24"/>
              </w:rPr>
            </w:pPr>
            <w:r>
              <w:rPr>
                <w:rFonts w:hint="eastAsia" w:ascii="宋体" w:hAnsi="宋体"/>
                <w:sz w:val="24"/>
                <w:szCs w:val="24"/>
              </w:rPr>
              <w:t>数量/套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53" w:type="pct"/>
            <w:vAlign w:val="center"/>
          </w:tcPr>
          <w:p>
            <w:pPr>
              <w:spacing w:line="360" w:lineRule="auto"/>
              <w:ind w:left="0" w:leftChars="0" w:firstLine="0" w:firstLineChars="0"/>
              <w:jc w:val="center"/>
              <w:rPr>
                <w:rFonts w:ascii="宋体" w:hAnsi="宋体"/>
                <w:sz w:val="24"/>
                <w:szCs w:val="24"/>
              </w:rPr>
            </w:pPr>
            <w:r>
              <w:rPr>
                <w:rFonts w:hint="eastAsia" w:ascii="宋体" w:hAnsi="宋体"/>
                <w:sz w:val="24"/>
                <w:szCs w:val="24"/>
              </w:rPr>
              <w:t>1</w:t>
            </w:r>
          </w:p>
        </w:tc>
        <w:tc>
          <w:tcPr>
            <w:tcW w:w="1366" w:type="pct"/>
            <w:vAlign w:val="center"/>
          </w:tcPr>
          <w:p>
            <w:pPr>
              <w:spacing w:line="360" w:lineRule="auto"/>
              <w:ind w:firstLine="0" w:firstLineChars="0"/>
              <w:rPr>
                <w:rFonts w:ascii="宋体" w:hAnsi="宋体"/>
                <w:sz w:val="24"/>
                <w:szCs w:val="24"/>
              </w:rPr>
            </w:pPr>
            <w:r>
              <w:rPr>
                <w:rFonts w:hint="eastAsia" w:ascii="宋体"/>
                <w:color w:val="000000" w:themeColor="text1"/>
                <w:sz w:val="24"/>
                <w:szCs w:val="24"/>
                <w14:textFill>
                  <w14:solidFill>
                    <w14:schemeClr w14:val="tx1"/>
                  </w14:solidFill>
                </w14:textFill>
              </w:rPr>
              <w:t>外加电流法判断蓄电池脱离母线故障的研究</w:t>
            </w:r>
            <w:bookmarkStart w:id="21" w:name="_GoBack"/>
            <w:bookmarkEnd w:id="21"/>
          </w:p>
        </w:tc>
        <w:tc>
          <w:tcPr>
            <w:tcW w:w="2881" w:type="pct"/>
            <w:vAlign w:val="center"/>
          </w:tcPr>
          <w:p>
            <w:pPr>
              <w:spacing w:line="360" w:lineRule="auto"/>
              <w:ind w:left="0" w:leftChars="0" w:firstLine="0" w:firstLineChars="0"/>
              <w:jc w:val="left"/>
              <w:rPr>
                <w:rFonts w:ascii="宋体" w:hAnsi="宋体"/>
                <w:sz w:val="24"/>
                <w:szCs w:val="24"/>
              </w:rPr>
            </w:pPr>
            <w:r>
              <w:rPr>
                <w:rFonts w:hint="eastAsia" w:ascii="仿宋_GB2312"/>
                <w:sz w:val="24"/>
                <w:szCs w:val="24"/>
              </w:rPr>
              <w:t>研制外加电流法判断蓄电池脱离母线故障装置</w:t>
            </w:r>
            <w:r>
              <w:rPr>
                <w:rFonts w:hint="eastAsia" w:ascii="仿宋_GB2312" w:hAnsi="Times New Roman" w:cs="Times New Roman"/>
                <w:sz w:val="24"/>
                <w:szCs w:val="24"/>
              </w:rPr>
              <w:t>的零部件</w:t>
            </w:r>
            <w:r>
              <w:rPr>
                <w:rFonts w:hint="eastAsia" w:ascii="仿宋_GB2312" w:hAnsi="Times New Roman" w:cs="Times New Roman"/>
                <w:sz w:val="24"/>
                <w:szCs w:val="24"/>
                <w:lang w:eastAsia="zh-CN"/>
              </w:rPr>
              <w:t>材料、</w:t>
            </w:r>
            <w:r>
              <w:rPr>
                <w:rFonts w:hint="eastAsia" w:ascii="仿宋_GB2312" w:hAnsi="Times New Roman" w:cs="Times New Roman"/>
                <w:sz w:val="24"/>
                <w:szCs w:val="24"/>
              </w:rPr>
              <w:t>加工、组装、现场测试，功能性能测试工作</w:t>
            </w:r>
          </w:p>
        </w:tc>
        <w:tc>
          <w:tcPr>
            <w:tcW w:w="398" w:type="pct"/>
            <w:vAlign w:val="center"/>
          </w:tcPr>
          <w:p>
            <w:pPr>
              <w:spacing w:line="360" w:lineRule="auto"/>
              <w:ind w:left="0" w:leftChars="0" w:firstLine="0" w:firstLineChars="0"/>
              <w:jc w:val="center"/>
              <w:rPr>
                <w:rFonts w:ascii="宋体" w:hAnsi="宋体"/>
                <w:sz w:val="24"/>
                <w:szCs w:val="24"/>
              </w:rPr>
            </w:pPr>
            <w:r>
              <w:rPr>
                <w:rFonts w:hint="eastAsia" w:ascii="宋体" w:hAnsi="宋体"/>
                <w:sz w:val="24"/>
                <w:szCs w:val="24"/>
              </w:rPr>
              <w:t>1</w:t>
            </w:r>
          </w:p>
        </w:tc>
      </w:tr>
    </w:tbl>
    <w:p>
      <w:pPr>
        <w:keepNext/>
        <w:keepLines/>
        <w:numPr>
          <w:ilvl w:val="0"/>
          <w:numId w:val="2"/>
        </w:numPr>
        <w:spacing w:before="156" w:beforeLines="50" w:after="156" w:afterLines="50" w:line="360" w:lineRule="auto"/>
        <w:ind w:firstLine="643" w:firstLineChars="0"/>
        <w:outlineLvl w:val="0"/>
        <w:rPr>
          <w:b/>
          <w:sz w:val="28"/>
        </w:rPr>
      </w:pPr>
      <w:bookmarkStart w:id="12" w:name="_Toc509005144"/>
      <w:bookmarkStart w:id="13" w:name="_Toc3080_WPSOffice_Level1"/>
      <w:r>
        <w:rPr>
          <w:rFonts w:hint="eastAsia" w:ascii="宋体"/>
          <w:b/>
          <w:bCs/>
          <w:kern w:val="44"/>
          <w:sz w:val="32"/>
          <w:szCs w:val="44"/>
        </w:rPr>
        <w:t>总体要求</w:t>
      </w:r>
      <w:bookmarkEnd w:id="12"/>
      <w:bookmarkEnd w:id="13"/>
    </w:p>
    <w:p>
      <w:pPr>
        <w:rPr>
          <w:rFonts w:hAnsi="宋体" w:cs="宋体"/>
          <w:sz w:val="24"/>
          <w:szCs w:val="24"/>
        </w:rPr>
      </w:pPr>
      <w:bookmarkStart w:id="14" w:name="_Toc20967_WPSOffice_Level1"/>
      <w:bookmarkStart w:id="15" w:name="_Toc509005145"/>
      <w:r>
        <w:rPr>
          <w:rFonts w:hint="eastAsia"/>
          <w:sz w:val="24"/>
          <w:szCs w:val="24"/>
          <w:lang w:eastAsia="zh-CN"/>
        </w:rPr>
        <w:t>投标方</w:t>
      </w:r>
      <w:r>
        <w:rPr>
          <w:rFonts w:hint="eastAsia"/>
          <w:sz w:val="24"/>
          <w:szCs w:val="24"/>
        </w:rPr>
        <w:t>必须响应并承诺下列要求：</w:t>
      </w:r>
    </w:p>
    <w:p>
      <w:pPr>
        <w:pStyle w:val="4"/>
        <w:rPr>
          <w:sz w:val="24"/>
          <w:szCs w:val="24"/>
        </w:rPr>
      </w:pPr>
      <w:r>
        <w:rPr>
          <w:rFonts w:hint="eastAsia"/>
          <w:b w:val="0"/>
          <w:bCs w:val="0"/>
          <w:sz w:val="24"/>
          <w:szCs w:val="24"/>
        </w:rPr>
        <w:t>本规范书指标要求中，凡标有下划线或加“★”的地方均被视为重要的技术指标要求或性能要求。</w:t>
      </w:r>
      <w:r>
        <w:rPr>
          <w:rFonts w:hint="eastAsia"/>
          <w:b w:val="0"/>
          <w:bCs w:val="0"/>
          <w:sz w:val="24"/>
          <w:szCs w:val="24"/>
          <w:lang w:eastAsia="zh-CN"/>
        </w:rPr>
        <w:t>投标方</w:t>
      </w:r>
      <w:r>
        <w:rPr>
          <w:rFonts w:hint="eastAsia"/>
          <w:b w:val="0"/>
          <w:bCs w:val="0"/>
          <w:sz w:val="24"/>
          <w:szCs w:val="24"/>
        </w:rPr>
        <w:t>要特别加以注意，必须完全满足这些要求。</w:t>
      </w:r>
    </w:p>
    <w:p>
      <w:pPr>
        <w:pStyle w:val="4"/>
        <w:rPr>
          <w:sz w:val="24"/>
          <w:szCs w:val="24"/>
        </w:rPr>
      </w:pPr>
      <w:r>
        <w:rPr>
          <w:rFonts w:hint="eastAsia"/>
          <w:b w:val="0"/>
          <w:bCs w:val="0"/>
          <w:sz w:val="24"/>
          <w:szCs w:val="24"/>
          <w:lang w:eastAsia="zh-CN"/>
        </w:rPr>
        <w:t>投标方</w:t>
      </w:r>
      <w:r>
        <w:rPr>
          <w:rFonts w:hint="eastAsia"/>
          <w:b w:val="0"/>
          <w:bCs w:val="0"/>
          <w:sz w:val="24"/>
          <w:szCs w:val="24"/>
        </w:rPr>
        <w:t>应列出各个单项工作的报价，还应对各个单项工作的不同阶段工作进行划分，并在列出各阶段工作的详细报价。</w:t>
      </w:r>
    </w:p>
    <w:p>
      <w:pPr>
        <w:pStyle w:val="4"/>
        <w:rPr>
          <w:sz w:val="24"/>
          <w:szCs w:val="24"/>
        </w:rPr>
      </w:pPr>
      <w:r>
        <w:rPr>
          <w:rFonts w:hint="eastAsia"/>
          <w:b w:val="0"/>
          <w:bCs w:val="0"/>
          <w:sz w:val="24"/>
          <w:szCs w:val="24"/>
          <w:lang w:eastAsia="zh-CN"/>
        </w:rPr>
        <w:t>投标方</w:t>
      </w:r>
      <w:r>
        <w:rPr>
          <w:rFonts w:hint="eastAsia"/>
          <w:b w:val="0"/>
          <w:bCs w:val="0"/>
          <w:sz w:val="24"/>
          <w:szCs w:val="24"/>
        </w:rPr>
        <w:t>必须提供完整的建议书，至少包含以下内容：</w:t>
      </w:r>
    </w:p>
    <w:p>
      <w:pPr>
        <w:pStyle w:val="14"/>
        <w:rPr>
          <w:rFonts w:hAnsi="宋体" w:cs="宋体"/>
          <w:b/>
          <w:sz w:val="24"/>
          <w:szCs w:val="24"/>
        </w:rPr>
      </w:pPr>
      <w:r>
        <w:rPr>
          <w:rFonts w:hint="eastAsia" w:hAnsi="宋体" w:cs="宋体"/>
          <w:sz w:val="24"/>
          <w:szCs w:val="24"/>
        </w:rPr>
        <w:t>必须阐述本项目总体的服务思路，并提出项目的服务目标。</w:t>
      </w:r>
    </w:p>
    <w:p>
      <w:pPr>
        <w:pStyle w:val="14"/>
        <w:rPr>
          <w:rFonts w:hAnsi="宋体" w:cs="宋体"/>
          <w:b/>
          <w:sz w:val="24"/>
          <w:szCs w:val="24"/>
        </w:rPr>
      </w:pPr>
      <w:r>
        <w:rPr>
          <w:rFonts w:hint="eastAsia" w:hAnsi="宋体" w:cs="宋体"/>
          <w:sz w:val="24"/>
          <w:szCs w:val="24"/>
        </w:rPr>
        <w:t>提供本项目的需求建议，对企业整体的需求做出实质性的评估。</w:t>
      </w:r>
    </w:p>
    <w:p>
      <w:pPr>
        <w:keepNext/>
        <w:keepLines/>
        <w:numPr>
          <w:ilvl w:val="0"/>
          <w:numId w:val="2"/>
        </w:numPr>
        <w:spacing w:before="156" w:beforeLines="50" w:after="156" w:afterLines="50" w:line="360" w:lineRule="auto"/>
        <w:ind w:firstLine="643" w:firstLineChars="0"/>
        <w:outlineLvl w:val="0"/>
        <w:rPr>
          <w:rFonts w:ascii="宋体"/>
          <w:b/>
          <w:bCs/>
          <w:kern w:val="44"/>
          <w:sz w:val="32"/>
          <w:szCs w:val="44"/>
        </w:rPr>
      </w:pPr>
      <w:r>
        <w:rPr>
          <w:rFonts w:hint="eastAsia" w:ascii="宋体"/>
          <w:b/>
          <w:bCs/>
          <w:kern w:val="44"/>
          <w:sz w:val="32"/>
          <w:szCs w:val="44"/>
        </w:rPr>
        <w:t>技术要求</w:t>
      </w:r>
      <w:bookmarkEnd w:id="14"/>
      <w:bookmarkEnd w:id="15"/>
    </w:p>
    <w:p>
      <w:pPr>
        <w:pStyle w:val="4"/>
        <w:keepNext/>
        <w:keepLines/>
        <w:pageBreakBefore w:val="0"/>
        <w:widowControl w:val="0"/>
        <w:kinsoku/>
        <w:wordWrap/>
        <w:overflowPunct/>
        <w:topLinePunct w:val="0"/>
        <w:autoSpaceDE/>
        <w:autoSpaceDN/>
        <w:bidi w:val="0"/>
        <w:adjustRightInd/>
        <w:snapToGrid/>
        <w:spacing w:line="360" w:lineRule="auto"/>
        <w:textAlignment w:val="auto"/>
        <w:rPr>
          <w:rFonts w:hint="eastAsia" w:ascii="Times New Roman" w:cs="Times New Roman"/>
          <w:b w:val="0"/>
          <w:bCs w:val="0"/>
          <w:sz w:val="24"/>
          <w:szCs w:val="24"/>
          <w:lang w:val="en-US" w:eastAsia="zh-CN"/>
        </w:rPr>
      </w:pPr>
      <w:r>
        <w:rPr>
          <w:rFonts w:hint="eastAsia" w:ascii="Times New Roman" w:cs="Times New Roman"/>
          <w:b w:val="0"/>
          <w:bCs w:val="0"/>
          <w:sz w:val="24"/>
          <w:szCs w:val="24"/>
          <w:lang w:val="en-US" w:eastAsia="zh-CN"/>
        </w:rPr>
        <w:t>协助采购单位关于</w:t>
      </w:r>
      <w:r>
        <w:rPr>
          <w:rFonts w:hint="eastAsia" w:ascii="Times New Roman" w:cs="Times New Roman"/>
          <w:b w:val="0"/>
          <w:bCs w:val="0"/>
          <w:sz w:val="24"/>
          <w:szCs w:val="24"/>
        </w:rPr>
        <w:t>一种外加电流法判断蓄电池脱离母线故障装置</w:t>
      </w:r>
      <w:r>
        <w:rPr>
          <w:rFonts w:hint="eastAsia" w:ascii="Times New Roman" w:cs="Times New Roman"/>
          <w:b w:val="0"/>
          <w:bCs w:val="0"/>
          <w:sz w:val="24"/>
          <w:szCs w:val="24"/>
          <w:lang w:val="en-US" w:eastAsia="zh-CN"/>
        </w:rPr>
        <w:t>的零配件加工和测试，完成1套组装工作，并配合现场测试与功能调试。</w:t>
      </w:r>
    </w:p>
    <w:p>
      <w:pPr>
        <w:keepNext/>
        <w:keepLines/>
        <w:spacing w:before="156" w:beforeLines="50" w:after="156" w:afterLines="50" w:line="360" w:lineRule="auto"/>
        <w:ind w:left="0" w:leftChars="0" w:firstLine="0" w:firstLineChars="0"/>
        <w:outlineLvl w:val="0"/>
        <w:rPr>
          <w:rFonts w:ascii="宋体"/>
          <w:b/>
          <w:bCs/>
          <w:kern w:val="44"/>
          <w:sz w:val="32"/>
          <w:szCs w:val="44"/>
        </w:rPr>
      </w:pPr>
    </w:p>
    <w:p>
      <w:pPr>
        <w:keepNext/>
        <w:keepLines/>
        <w:numPr>
          <w:ilvl w:val="0"/>
          <w:numId w:val="2"/>
        </w:numPr>
        <w:spacing w:before="156" w:beforeLines="50" w:after="156" w:afterLines="50" w:line="360" w:lineRule="auto"/>
        <w:ind w:firstLine="643" w:firstLineChars="0"/>
        <w:jc w:val="left"/>
        <w:outlineLvl w:val="0"/>
        <w:rPr>
          <w:rFonts w:ascii="宋体"/>
          <w:b/>
          <w:bCs/>
          <w:kern w:val="44"/>
          <w:sz w:val="32"/>
          <w:szCs w:val="44"/>
        </w:rPr>
      </w:pPr>
      <w:bookmarkStart w:id="16" w:name="_Toc509005146"/>
      <w:bookmarkStart w:id="17" w:name="_Toc12132_WPSOffice_Level1"/>
      <w:r>
        <w:rPr>
          <w:rFonts w:hint="eastAsia" w:ascii="宋体"/>
          <w:b/>
          <w:bCs/>
          <w:kern w:val="44"/>
          <w:sz w:val="32"/>
          <w:szCs w:val="44"/>
        </w:rPr>
        <w:t>其他要求</w:t>
      </w:r>
      <w:bookmarkEnd w:id="16"/>
      <w:bookmarkEnd w:id="17"/>
    </w:p>
    <w:p>
      <w:pPr>
        <w:pStyle w:val="13"/>
        <w:numPr>
          <w:ilvl w:val="1"/>
          <w:numId w:val="8"/>
        </w:numPr>
        <w:ind w:firstLine="562"/>
        <w:outlineLvl w:val="1"/>
        <w:rPr>
          <w:b/>
          <w:sz w:val="28"/>
        </w:rPr>
      </w:pPr>
      <w:r>
        <w:rPr>
          <w:rFonts w:hint="eastAsia"/>
          <w:b/>
          <w:sz w:val="28"/>
        </w:rPr>
        <w:t>项目进度</w:t>
      </w:r>
    </w:p>
    <w:p>
      <w:pPr>
        <w:numPr>
          <w:ilvl w:val="2"/>
          <w:numId w:val="9"/>
        </w:numPr>
        <w:spacing w:line="360" w:lineRule="auto"/>
        <w:ind w:firstLine="480"/>
        <w:rPr>
          <w:rFonts w:ascii="宋体"/>
          <w:sz w:val="24"/>
          <w:szCs w:val="24"/>
        </w:rPr>
      </w:pPr>
      <w:r>
        <w:rPr>
          <w:rFonts w:hint="eastAsia" w:ascii="宋体"/>
          <w:sz w:val="24"/>
          <w:szCs w:val="24"/>
        </w:rPr>
        <w:t>投标方必须响应并承诺下列要求：投标方应在建议书中根据招标方要求的服务、产品交付日期，投标方应明确对最短可行项目进度的承诺。</w:t>
      </w:r>
    </w:p>
    <w:p>
      <w:pPr>
        <w:pStyle w:val="13"/>
        <w:numPr>
          <w:ilvl w:val="1"/>
          <w:numId w:val="8"/>
        </w:numPr>
        <w:ind w:firstLine="562"/>
        <w:outlineLvl w:val="1"/>
        <w:rPr>
          <w:b/>
          <w:sz w:val="28"/>
        </w:rPr>
      </w:pPr>
      <w:r>
        <w:rPr>
          <w:rFonts w:hint="eastAsia"/>
          <w:b/>
          <w:sz w:val="28"/>
        </w:rPr>
        <w:t>项目联络</w:t>
      </w:r>
    </w:p>
    <w:p>
      <w:pPr>
        <w:numPr>
          <w:ilvl w:val="2"/>
          <w:numId w:val="10"/>
        </w:numPr>
        <w:spacing w:line="360" w:lineRule="auto"/>
        <w:ind w:firstLine="480"/>
        <w:rPr>
          <w:rFonts w:ascii="宋体"/>
          <w:sz w:val="24"/>
          <w:szCs w:val="24"/>
        </w:rPr>
      </w:pPr>
      <w:r>
        <w:rPr>
          <w:rFonts w:hint="eastAsia" w:ascii="宋体"/>
          <w:sz w:val="24"/>
          <w:szCs w:val="24"/>
        </w:rPr>
        <w:t>为审查和确认本项目的工作方案，便于合同按期执行，在项目实施中需召开多次联络会。计划在招标方所在地根据需要可进行多次。</w:t>
      </w:r>
    </w:p>
    <w:p>
      <w:pPr>
        <w:spacing w:line="360" w:lineRule="auto"/>
        <w:ind w:firstLine="480"/>
        <w:rPr>
          <w:rFonts w:ascii="宋体"/>
          <w:sz w:val="24"/>
          <w:szCs w:val="24"/>
        </w:rPr>
      </w:pPr>
      <w:r>
        <w:rPr>
          <w:rFonts w:hint="eastAsia" w:ascii="宋体"/>
          <w:sz w:val="24"/>
          <w:szCs w:val="24"/>
        </w:rPr>
        <w:t>联络会的内容如下：</w:t>
      </w:r>
    </w:p>
    <w:p>
      <w:pPr>
        <w:numPr>
          <w:ilvl w:val="0"/>
          <w:numId w:val="11"/>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11"/>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11"/>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3"/>
        <w:numPr>
          <w:ilvl w:val="1"/>
          <w:numId w:val="8"/>
        </w:numPr>
        <w:ind w:firstLine="562"/>
        <w:outlineLvl w:val="1"/>
        <w:rPr>
          <w:b/>
          <w:sz w:val="28"/>
        </w:rPr>
      </w:pPr>
      <w:r>
        <w:rPr>
          <w:rFonts w:hint="eastAsia"/>
          <w:b/>
          <w:sz w:val="28"/>
        </w:rPr>
        <w:t>评审与验收</w:t>
      </w:r>
    </w:p>
    <w:p>
      <w:pPr>
        <w:numPr>
          <w:ilvl w:val="2"/>
          <w:numId w:val="12"/>
        </w:numPr>
        <w:spacing w:line="360" w:lineRule="auto"/>
        <w:ind w:firstLine="480"/>
        <w:rPr>
          <w:rFonts w:ascii="宋体"/>
          <w:sz w:val="24"/>
          <w:szCs w:val="24"/>
        </w:rPr>
      </w:pP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12"/>
        </w:numPr>
        <w:spacing w:line="360" w:lineRule="auto"/>
        <w:ind w:firstLine="480"/>
        <w:rPr>
          <w:rFonts w:ascii="宋体"/>
          <w:sz w:val="24"/>
          <w:szCs w:val="24"/>
        </w:rPr>
      </w:pPr>
      <w:r>
        <w:rPr>
          <w:rFonts w:ascii="宋体"/>
          <w:sz w:val="24"/>
          <w:szCs w:val="24"/>
        </w:rPr>
        <w:t>招标方可根据合同及</w:t>
      </w:r>
      <w:r>
        <w:rPr>
          <w:rFonts w:hint="eastAsia" w:ascii="宋体"/>
          <w:sz w:val="24"/>
          <w:szCs w:val="24"/>
          <w:lang w:val="en-US" w:eastAsia="zh-CN"/>
        </w:rPr>
        <w:t>技术规范书等</w:t>
      </w:r>
      <w:r>
        <w:rPr>
          <w:rFonts w:ascii="宋体"/>
          <w:sz w:val="24"/>
          <w:szCs w:val="24"/>
        </w:rPr>
        <w:t>有关规定进行修改和补充,经双方确认后形成验收文件作为验收依据。</w:t>
      </w:r>
      <w:r>
        <w:rPr>
          <w:rFonts w:hint="eastAsia" w:ascii="宋体"/>
          <w:sz w:val="24"/>
          <w:szCs w:val="24"/>
          <w:lang w:val="en-US" w:eastAsia="zh-CN"/>
        </w:rPr>
        <w:t>收货</w:t>
      </w:r>
      <w:r>
        <w:rPr>
          <w:rFonts w:ascii="宋体"/>
          <w:sz w:val="24"/>
          <w:szCs w:val="24"/>
        </w:rPr>
        <w:t>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3"/>
        <w:numPr>
          <w:ilvl w:val="1"/>
          <w:numId w:val="8"/>
        </w:numPr>
        <w:ind w:firstLine="562"/>
        <w:outlineLvl w:val="1"/>
        <w:rPr>
          <w:b/>
          <w:sz w:val="28"/>
        </w:rPr>
      </w:pPr>
      <w:r>
        <w:rPr>
          <w:rFonts w:hint="eastAsia"/>
          <w:b/>
          <w:sz w:val="28"/>
        </w:rPr>
        <w:t>技术资料和文件</w:t>
      </w:r>
    </w:p>
    <w:p>
      <w:pPr>
        <w:numPr>
          <w:ilvl w:val="2"/>
          <w:numId w:val="13"/>
        </w:numPr>
        <w:spacing w:line="360" w:lineRule="auto"/>
        <w:ind w:firstLine="480"/>
        <w:rPr>
          <w:rFonts w:ascii="宋体"/>
          <w:sz w:val="24"/>
          <w:szCs w:val="24"/>
        </w:rPr>
      </w:pPr>
      <w:r>
        <w:rPr>
          <w:rFonts w:hint="eastAsia" w:ascii="宋体"/>
          <w:sz w:val="24"/>
          <w:szCs w:val="24"/>
        </w:rPr>
        <w:t>投标方提供的文件和资料应能满足招标方进行维护和进一步完善的需要。</w:t>
      </w:r>
    </w:p>
    <w:p>
      <w:pPr>
        <w:numPr>
          <w:ilvl w:val="2"/>
          <w:numId w:val="13"/>
        </w:numPr>
        <w:spacing w:line="360" w:lineRule="auto"/>
        <w:ind w:firstLine="480"/>
        <w:rPr>
          <w:rFonts w:ascii="宋体"/>
          <w:sz w:val="24"/>
          <w:szCs w:val="24"/>
        </w:rPr>
      </w:pPr>
      <w:r>
        <w:rPr>
          <w:rFonts w:hint="eastAsia" w:ascii="宋体"/>
          <w:sz w:val="24"/>
          <w:szCs w:val="24"/>
        </w:rPr>
        <w:t>提供的图纸应符合标准规格。</w:t>
      </w:r>
    </w:p>
    <w:p>
      <w:pPr>
        <w:keepNext w:val="0"/>
        <w:keepLines w:val="0"/>
        <w:pageBreakBefore w:val="0"/>
        <w:widowControl w:val="0"/>
        <w:numPr>
          <w:ilvl w:val="2"/>
          <w:numId w:val="13"/>
        </w:numPr>
        <w:kinsoku/>
        <w:wordWrap/>
        <w:overflowPunct/>
        <w:topLinePunct w:val="0"/>
        <w:autoSpaceDE/>
        <w:autoSpaceDN/>
        <w:bidi w:val="0"/>
        <w:adjustRightInd/>
        <w:snapToGrid/>
        <w:spacing w:line="360" w:lineRule="auto"/>
        <w:ind w:firstLine="480"/>
        <w:textAlignment w:val="auto"/>
        <w:rPr>
          <w:rFonts w:ascii="宋体"/>
          <w:sz w:val="24"/>
          <w:szCs w:val="24"/>
        </w:rPr>
      </w:pPr>
      <w:r>
        <w:rPr>
          <w:rFonts w:hint="eastAsia" w:ascii="宋体"/>
          <w:sz w:val="24"/>
          <w:szCs w:val="24"/>
        </w:rPr>
        <w:t>投标方应向招标方提供项目的所有交付物（电子版）。</w:t>
      </w:r>
    </w:p>
    <w:p>
      <w:pPr>
        <w:pStyle w:val="14"/>
        <w:keepNext w:val="0"/>
        <w:keepLines w:val="0"/>
        <w:pageBreakBefore w:val="0"/>
        <w:widowControl w:val="0"/>
        <w:numPr>
          <w:ilvl w:val="2"/>
          <w:numId w:val="0"/>
        </w:numPr>
        <w:kinsoku/>
        <w:wordWrap/>
        <w:overflowPunct/>
        <w:topLinePunct w:val="0"/>
        <w:autoSpaceDE/>
        <w:autoSpaceDN/>
        <w:bidi w:val="0"/>
        <w:adjustRightInd/>
        <w:snapToGrid/>
        <w:spacing w:line="360" w:lineRule="auto"/>
        <w:ind w:firstLine="482" w:firstLineChars="200"/>
        <w:textAlignment w:val="auto"/>
        <w:rPr>
          <w:u w:val="single"/>
        </w:rPr>
      </w:pPr>
      <w:r>
        <w:rPr>
          <w:rFonts w:hint="eastAsia" w:ascii="宋体" w:hAnsi="Times New Roman" w:eastAsia="宋体" w:cs="Times New Roman"/>
          <w:b/>
          <w:bCs/>
          <w:kern w:val="2"/>
          <w:sz w:val="24"/>
          <w:szCs w:val="24"/>
          <w:lang w:val="en-US" w:eastAsia="zh-CN" w:bidi="ar-SA"/>
        </w:rPr>
        <w:t xml:space="preserve">5.4.4 </w:t>
      </w:r>
      <w:r>
        <w:rPr>
          <w:rFonts w:hint="eastAsia" w:ascii="宋体" w:hAnsi="Times New Roman" w:cs="Times New Roman"/>
          <w:b/>
          <w:bCs/>
          <w:kern w:val="2"/>
          <w:sz w:val="24"/>
          <w:szCs w:val="24"/>
          <w:lang w:val="en-US" w:eastAsia="zh-CN" w:bidi="ar-SA"/>
        </w:rPr>
        <w:t xml:space="preserve"> </w:t>
      </w:r>
      <w:r>
        <w:rPr>
          <w:rFonts w:hint="eastAsia" w:ascii="宋体" w:hAnsi="Times New Roman" w:eastAsia="宋体" w:cs="Times New Roman"/>
          <w:kern w:val="2"/>
          <w:sz w:val="24"/>
          <w:szCs w:val="24"/>
          <w:u w:val="none"/>
          <w:lang w:val="en-US" w:eastAsia="zh-CN" w:bidi="ar-SA"/>
        </w:rPr>
        <w:t>若采购人有需要，</w:t>
      </w:r>
      <w:r>
        <w:rPr>
          <w:rFonts w:hint="eastAsia" w:ascii="宋体" w:hAnsi="Times New Roman" w:cs="Times New Roman"/>
          <w:kern w:val="2"/>
          <w:sz w:val="24"/>
          <w:szCs w:val="24"/>
          <w:u w:val="none"/>
          <w:lang w:val="en-US" w:eastAsia="zh-CN" w:bidi="ar-SA"/>
        </w:rPr>
        <w:t>投标方</w:t>
      </w:r>
      <w:r>
        <w:rPr>
          <w:rFonts w:hint="eastAsia" w:ascii="宋体" w:hAnsi="Times New Roman" w:eastAsia="宋体" w:cs="Times New Roman"/>
          <w:kern w:val="2"/>
          <w:sz w:val="24"/>
          <w:szCs w:val="24"/>
          <w:u w:val="none"/>
          <w:lang w:val="en-US" w:eastAsia="zh-CN" w:bidi="ar-SA"/>
        </w:rPr>
        <w:t>应为采购人编写论文配合提供素材，协助采购人编制专利申请材料。</w:t>
      </w:r>
    </w:p>
    <w:p>
      <w:pPr>
        <w:pStyle w:val="13"/>
        <w:numPr>
          <w:ilvl w:val="1"/>
          <w:numId w:val="8"/>
        </w:numPr>
        <w:ind w:firstLine="562"/>
        <w:jc w:val="left"/>
        <w:outlineLvl w:val="1"/>
        <w:rPr>
          <w:b/>
          <w:sz w:val="28"/>
        </w:rPr>
      </w:pPr>
      <w:r>
        <w:rPr>
          <w:rFonts w:hint="eastAsia"/>
          <w:b/>
          <w:sz w:val="28"/>
        </w:rPr>
        <w:t>售后服务</w:t>
      </w:r>
    </w:p>
    <w:p>
      <w:pPr>
        <w:numPr>
          <w:ilvl w:val="2"/>
          <w:numId w:val="14"/>
        </w:numPr>
        <w:spacing w:line="360" w:lineRule="auto"/>
        <w:ind w:firstLine="480"/>
        <w:rPr>
          <w:rFonts w:ascii="宋体"/>
          <w:sz w:val="24"/>
          <w:szCs w:val="24"/>
        </w:rPr>
      </w:pPr>
      <w:r>
        <w:rPr>
          <w:rFonts w:ascii="宋体"/>
          <w:sz w:val="24"/>
          <w:szCs w:val="24"/>
        </w:rPr>
        <w:t>合同签订后，响应</w:t>
      </w:r>
      <w:bookmarkStart w:id="18" w:name="_Toc72320160"/>
      <w:bookmarkStart w:id="19" w:name="_Toc110765302"/>
      <w:bookmarkStart w:id="20" w:name="_Toc103761492"/>
      <w:r>
        <w:rPr>
          <w:rFonts w:ascii="宋体"/>
          <w:sz w:val="24"/>
          <w:szCs w:val="24"/>
        </w:rPr>
        <w:t>方应指定负责本项目的项目经理，负责协调项目实施全过程的各项工作，如项目进度、测试验收等。</w:t>
      </w:r>
    </w:p>
    <w:p>
      <w:pPr>
        <w:numPr>
          <w:ilvl w:val="2"/>
          <w:numId w:val="14"/>
        </w:numPr>
        <w:spacing w:line="360" w:lineRule="auto"/>
        <w:ind w:firstLine="480"/>
        <w:rPr>
          <w:rFonts w:ascii="宋体"/>
          <w:sz w:val="24"/>
          <w:szCs w:val="24"/>
        </w:rPr>
      </w:pPr>
      <w:r>
        <w:rPr>
          <w:rFonts w:ascii="宋体"/>
          <w:sz w:val="24"/>
          <w:szCs w:val="24"/>
        </w:rPr>
        <w:t>保证期内，响应</w:t>
      </w:r>
      <w:bookmarkEnd w:id="18"/>
      <w:bookmarkEnd w:id="19"/>
      <w:bookmarkEnd w:id="20"/>
      <w:r>
        <w:rPr>
          <w:rFonts w:ascii="宋体"/>
          <w:sz w:val="24"/>
          <w:szCs w:val="24"/>
        </w:rPr>
        <w:t>方在接到用户维护请求</w:t>
      </w:r>
      <w:r>
        <w:rPr>
          <w:rFonts w:hint="eastAsia" w:ascii="宋体"/>
          <w:sz w:val="24"/>
          <w:szCs w:val="24"/>
        </w:rPr>
        <w:t>12</w:t>
      </w:r>
      <w:r>
        <w:rPr>
          <w:rFonts w:ascii="宋体"/>
          <w:sz w:val="24"/>
          <w:szCs w:val="24"/>
        </w:rPr>
        <w:t>小时内做出回复，常见系统故障</w:t>
      </w:r>
      <w:r>
        <w:rPr>
          <w:rFonts w:hint="eastAsia" w:ascii="宋体"/>
          <w:sz w:val="24"/>
          <w:szCs w:val="24"/>
        </w:rPr>
        <w:t>24</w:t>
      </w:r>
      <w:r>
        <w:rPr>
          <w:rFonts w:ascii="宋体"/>
          <w:sz w:val="24"/>
          <w:szCs w:val="24"/>
        </w:rPr>
        <w:t>小时内通过远程和现场用户相配合的方式解决问题或提出解决方案供用户参考，若仍无法解决则在下一</w:t>
      </w:r>
      <w:r>
        <w:rPr>
          <w:rFonts w:hint="eastAsia" w:ascii="宋体"/>
          <w:sz w:val="24"/>
          <w:szCs w:val="24"/>
        </w:rPr>
        <w:t>48</w:t>
      </w:r>
      <w:r>
        <w:rPr>
          <w:rFonts w:ascii="宋体"/>
          <w:sz w:val="24"/>
          <w:szCs w:val="24"/>
        </w:rPr>
        <w:t>小时内派工程师现场解决问题。</w:t>
      </w:r>
    </w:p>
    <w:p>
      <w:pPr>
        <w:ind w:firstLine="0" w:firstLineChars="0"/>
      </w:pPr>
    </w:p>
    <w:p>
      <w:pPr>
        <w:ind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jc w:val="right"/>
    </w:pPr>
    <w: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6457950" cy="5133975"/>
          <wp:effectExtent l="0" t="0" r="0" b="9525"/>
          <wp:wrapNone/>
          <wp:docPr id="1" name="图片 3"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CreateImage"/>
                  <pic:cNvPicPr>
                    <a:picLocks noChangeAspect="1"/>
                  </pic:cNvPicPr>
                </pic:nvPicPr>
                <pic:blipFill>
                  <a:blip r:embed="rId1"/>
                  <a:stretch>
                    <a:fillRect/>
                  </a:stretch>
                </pic:blipFill>
                <pic:spPr>
                  <a:xfrm>
                    <a:off x="0" y="0"/>
                    <a:ext cx="6457950" cy="5133975"/>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color w:val="auto"/>
      </w:rPr>
    </w:lvl>
    <w:lvl w:ilvl="2" w:tentative="0">
      <w:start w:val="1"/>
      <w:numFmt w:val="decimal"/>
      <w:pStyle w:val="14"/>
      <w:isLgl/>
      <w:suff w:val="space"/>
      <w:lvlText w:val="%1.%2.%3"/>
      <w:lvlJc w:val="left"/>
      <w:pPr>
        <w:ind w:left="0" w:firstLine="0"/>
      </w:pPr>
      <w:rPr>
        <w:rFonts w:hint="eastAsia"/>
        <w:b/>
        <w:i w:val="0"/>
        <w:color w:val="auto"/>
        <w:sz w:val="24"/>
        <w:szCs w:val="28"/>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29944D32"/>
    <w:multiLevelType w:val="multilevel"/>
    <w:tmpl w:val="29944D32"/>
    <w:lvl w:ilvl="0" w:tentative="0">
      <w:start w:val="1"/>
      <w:numFmt w:val="decimal"/>
      <w:lvlText w:val="%1."/>
      <w:lvlJc w:val="left"/>
      <w:pPr>
        <w:ind w:left="-643"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
    <w:nsid w:val="2D084262"/>
    <w:multiLevelType w:val="multilevel"/>
    <w:tmpl w:val="2D084262"/>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636C69A8"/>
    <w:multiLevelType w:val="multilevel"/>
    <w:tmpl w:val="636C69A8"/>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9">
    <w:nsid w:val="64E207D0"/>
    <w:multiLevelType w:val="multilevel"/>
    <w:tmpl w:val="64E207D0"/>
    <w:lvl w:ilvl="0" w:tentative="0">
      <w:start w:val="1"/>
      <w:numFmt w:val="decimal"/>
      <w:lvlText w:val="%1"/>
      <w:lvlJc w:val="left"/>
      <w:pPr>
        <w:ind w:left="425" w:hanging="425"/>
      </w:pPr>
      <w:rPr>
        <w:rFonts w:hint="eastAsia"/>
      </w:rPr>
    </w:lvl>
    <w:lvl w:ilvl="1" w:tentative="0">
      <w:start w:val="1"/>
      <w:numFmt w:val="decimal"/>
      <w:lvlText w:val="1.%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1">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2">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 w:numId="3">
    <w:abstractNumId w:val="9"/>
  </w:num>
  <w:num w:numId="4">
    <w:abstractNumId w:val="7"/>
  </w:num>
  <w:num w:numId="5">
    <w:abstractNumId w:val="12"/>
  </w:num>
  <w:num w:numId="6">
    <w:abstractNumId w:val="13"/>
  </w:num>
  <w:num w:numId="7">
    <w:abstractNumId w:val="3"/>
  </w:num>
  <w:num w:numId="8">
    <w:abstractNumId w:val="5"/>
  </w:num>
  <w:num w:numId="9">
    <w:abstractNumId w:val="10"/>
  </w:num>
  <w:num w:numId="10">
    <w:abstractNumId w:val="11"/>
  </w:num>
  <w:num w:numId="11">
    <w:abstractNumId w:val="4"/>
  </w:num>
  <w:num w:numId="12">
    <w:abstractNumId w:val="8"/>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64EC6"/>
    <w:rsid w:val="0012724E"/>
    <w:rsid w:val="0029513F"/>
    <w:rsid w:val="002E74C1"/>
    <w:rsid w:val="006B0651"/>
    <w:rsid w:val="00A444A2"/>
    <w:rsid w:val="00B73152"/>
    <w:rsid w:val="00C510B7"/>
    <w:rsid w:val="00D1758E"/>
    <w:rsid w:val="00DA5318"/>
    <w:rsid w:val="01FF0DD2"/>
    <w:rsid w:val="032C3071"/>
    <w:rsid w:val="033A0B59"/>
    <w:rsid w:val="085166EA"/>
    <w:rsid w:val="09352129"/>
    <w:rsid w:val="0BA01F76"/>
    <w:rsid w:val="0BA51502"/>
    <w:rsid w:val="0C661367"/>
    <w:rsid w:val="0C770F81"/>
    <w:rsid w:val="0E875E5F"/>
    <w:rsid w:val="11120404"/>
    <w:rsid w:val="11D93657"/>
    <w:rsid w:val="129A37B9"/>
    <w:rsid w:val="15F54EAB"/>
    <w:rsid w:val="16B87951"/>
    <w:rsid w:val="16D47282"/>
    <w:rsid w:val="16E3355D"/>
    <w:rsid w:val="17C55914"/>
    <w:rsid w:val="19BA37C2"/>
    <w:rsid w:val="1BD14CC5"/>
    <w:rsid w:val="1C216483"/>
    <w:rsid w:val="1D194148"/>
    <w:rsid w:val="1D8E7572"/>
    <w:rsid w:val="1E767DB7"/>
    <w:rsid w:val="1EC55306"/>
    <w:rsid w:val="21046F3F"/>
    <w:rsid w:val="25564EC6"/>
    <w:rsid w:val="2CEE6CC2"/>
    <w:rsid w:val="2D746ED9"/>
    <w:rsid w:val="2E6E5285"/>
    <w:rsid w:val="2F071ECD"/>
    <w:rsid w:val="2F750C6B"/>
    <w:rsid w:val="38527D74"/>
    <w:rsid w:val="397C5290"/>
    <w:rsid w:val="3ADB4C7C"/>
    <w:rsid w:val="3B9F29DF"/>
    <w:rsid w:val="3DE5069A"/>
    <w:rsid w:val="41B94863"/>
    <w:rsid w:val="494537F8"/>
    <w:rsid w:val="49773515"/>
    <w:rsid w:val="4D6115C1"/>
    <w:rsid w:val="4E4F5A44"/>
    <w:rsid w:val="4FA50C7C"/>
    <w:rsid w:val="51D41BDF"/>
    <w:rsid w:val="559F12E5"/>
    <w:rsid w:val="563A7A06"/>
    <w:rsid w:val="57561457"/>
    <w:rsid w:val="580F4AF0"/>
    <w:rsid w:val="5A5652BF"/>
    <w:rsid w:val="5A8E79A0"/>
    <w:rsid w:val="5B021EDD"/>
    <w:rsid w:val="5BB82905"/>
    <w:rsid w:val="5C091B4A"/>
    <w:rsid w:val="5DBB20D6"/>
    <w:rsid w:val="5E186BEC"/>
    <w:rsid w:val="5FBB761D"/>
    <w:rsid w:val="61204966"/>
    <w:rsid w:val="6350047D"/>
    <w:rsid w:val="63531402"/>
    <w:rsid w:val="646E5FE2"/>
    <w:rsid w:val="65B358D0"/>
    <w:rsid w:val="665B52A8"/>
    <w:rsid w:val="67161EDC"/>
    <w:rsid w:val="698D482D"/>
    <w:rsid w:val="6BFA38B5"/>
    <w:rsid w:val="6E2132C1"/>
    <w:rsid w:val="6E5F7F3D"/>
    <w:rsid w:val="72DD00D4"/>
    <w:rsid w:val="72FD79B8"/>
    <w:rsid w:val="73C36379"/>
    <w:rsid w:val="75113A9C"/>
    <w:rsid w:val="754607E1"/>
    <w:rsid w:val="758A3766"/>
    <w:rsid w:val="75D160D9"/>
    <w:rsid w:val="77C04B4E"/>
    <w:rsid w:val="782765AD"/>
    <w:rsid w:val="79E63264"/>
    <w:rsid w:val="7A555F1E"/>
    <w:rsid w:val="7D543CAC"/>
    <w:rsid w:val="7E097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outlineLvl w:val="1"/>
    </w:pPr>
    <w:rPr>
      <w:rFonts w:hAnsi="Arial"/>
      <w:b/>
      <w:bCs/>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Plain Text"/>
    <w:basedOn w:val="1"/>
    <w:qFormat/>
    <w:uiPriority w:val="0"/>
    <w:pPr>
      <w:ind w:firstLine="0" w:firstLineChars="0"/>
    </w:pPr>
    <w:rPr>
      <w:rFonts w:ascii="宋体" w:hAnsi="Courier New" w:cs="Courier New"/>
      <w:szCs w:val="21"/>
    </w:rPr>
  </w:style>
  <w:style w:type="paragraph" w:styleId="6">
    <w:name w:val="footer"/>
    <w:basedOn w:val="1"/>
    <w:qFormat/>
    <w:uiPriority w:val="0"/>
    <w:pPr>
      <w:tabs>
        <w:tab w:val="center" w:pos="4153"/>
        <w:tab w:val="right" w:pos="8306"/>
      </w:tabs>
      <w:snapToGrid w:val="0"/>
      <w:ind w:firstLine="0" w:firstLineChars="0"/>
      <w:jc w:val="left"/>
    </w:pPr>
    <w:rPr>
      <w:kern w:val="0"/>
      <w:sz w:val="18"/>
      <w:szCs w:val="18"/>
    </w:rPr>
  </w:style>
  <w:style w:type="paragraph" w:styleId="7">
    <w:name w:val="header"/>
    <w:basedOn w:val="1"/>
    <w:qFormat/>
    <w:uiPriority w:val="0"/>
    <w:pPr>
      <w:tabs>
        <w:tab w:val="center" w:pos="4153"/>
        <w:tab w:val="right" w:pos="8306"/>
      </w:tabs>
      <w:snapToGrid w:val="0"/>
      <w:ind w:firstLine="0" w:firstLineChars="0"/>
      <w:jc w:val="center"/>
    </w:pPr>
    <w:rPr>
      <w:kern w:val="0"/>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paragraph" w:customStyle="1" w:styleId="12">
    <w:name w:val="WPSOffice手动目录 1"/>
    <w:qFormat/>
    <w:uiPriority w:val="0"/>
    <w:rPr>
      <w:rFonts w:ascii="Calibri" w:hAnsi="Calibri" w:eastAsia="宋体" w:cs="Times New Roman"/>
      <w:lang w:val="en-US" w:eastAsia="zh-CN" w:bidi="ar-SA"/>
    </w:rPr>
  </w:style>
  <w:style w:type="paragraph" w:customStyle="1" w:styleId="13">
    <w:name w:val="样式2"/>
    <w:basedOn w:val="1"/>
    <w:qFormat/>
    <w:uiPriority w:val="0"/>
    <w:pPr>
      <w:spacing w:line="360" w:lineRule="auto"/>
    </w:pPr>
    <w:rPr>
      <w:rFonts w:ascii="宋体"/>
      <w:sz w:val="24"/>
      <w:szCs w:val="24"/>
    </w:rPr>
  </w:style>
  <w:style w:type="paragraph" w:customStyle="1" w:styleId="14">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522</Words>
  <Characters>2982</Characters>
  <Lines>24</Lines>
  <Paragraphs>6</Paragraphs>
  <TotalTime>3</TotalTime>
  <ScaleCrop>false</ScaleCrop>
  <LinksUpToDate>false</LinksUpToDate>
  <CharactersWithSpaces>3498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2020-07-21T07:26:00Z</dcterms:created>
  <dc:creator>郭斌</dc:creator>
  <cp:lastModifiedBy>刘国盛</cp:lastModifiedBy>
  <dcterms:modified xsi:type="dcterms:W3CDTF">2024-05-13T01:22:09Z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1F3109C424E044C2B55CB0C2715AA3A7</vt:lpwstr>
  </property>
</Properties>
</file>