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0" w:firstLineChars="0"/>
        <w:jc w:val="center"/>
        <w:rPr>
          <w:rFonts w:ascii="黑体" w:hAnsi="黑体" w:eastAsia="黑体"/>
          <w:sz w:val="52"/>
          <w:szCs w:val="44"/>
        </w:rPr>
      </w:pPr>
      <w:r>
        <w:rPr>
          <w:rFonts w:hint="eastAsia" w:ascii="黑体" w:hAnsi="黑体" w:eastAsia="黑体"/>
          <w:sz w:val="52"/>
          <w:szCs w:val="44"/>
          <w:lang w:eastAsia="zh-CN"/>
        </w:rPr>
        <w:t>一种采用并联分流电阻法可控通断技术的蓄电池电压补偿装置</w:t>
      </w:r>
      <w:r>
        <w:rPr>
          <w:rFonts w:hint="eastAsia" w:ascii="黑体" w:hAnsi="黑体" w:eastAsia="黑体"/>
          <w:sz w:val="52"/>
          <w:szCs w:val="44"/>
          <w:lang w:val="en-US" w:eastAsia="zh-CN"/>
        </w:rPr>
        <w:t>技术</w:t>
      </w:r>
      <w:r>
        <w:rPr>
          <w:rFonts w:hint="eastAsia" w:ascii="黑体" w:hAnsi="黑体" w:eastAsia="黑体"/>
          <w:sz w:val="52"/>
          <w:szCs w:val="44"/>
        </w:rPr>
        <w:t>规范书</w:t>
      </w: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jc w:val="center"/>
        <w:rPr>
          <w:rFonts w:ascii="黑体" w:hAnsi="黑体" w:eastAsia="黑体"/>
          <w:sz w:val="52"/>
          <w:szCs w:val="44"/>
        </w:rPr>
      </w:pPr>
    </w:p>
    <w:p>
      <w:pPr>
        <w:spacing w:line="360" w:lineRule="auto"/>
        <w:ind w:firstLine="1040"/>
        <w:rPr>
          <w:rFonts w:ascii="黑体" w:hAnsi="黑体" w:eastAsia="黑体"/>
          <w:sz w:val="52"/>
          <w:szCs w:val="44"/>
        </w:rPr>
      </w:pPr>
    </w:p>
    <w:p>
      <w:pPr>
        <w:spacing w:line="360" w:lineRule="auto"/>
        <w:ind w:firstLine="640"/>
        <w:jc w:val="center"/>
        <w:rPr>
          <w:rFonts w:ascii="宋体"/>
          <w:sz w:val="32"/>
          <w:szCs w:val="32"/>
        </w:rPr>
      </w:pPr>
      <w:r>
        <w:rPr>
          <w:rFonts w:hint="eastAsia" w:ascii="宋体"/>
          <w:sz w:val="32"/>
          <w:szCs w:val="32"/>
        </w:rPr>
        <w:t>广西电网有限责任公司防城港供电局</w:t>
      </w:r>
    </w:p>
    <w:p>
      <w:pPr>
        <w:ind w:firstLine="643"/>
        <w:jc w:val="center"/>
        <w:rPr>
          <w:rFonts w:ascii="宋体" w:hAnsi="宋体"/>
          <w:b/>
          <w:bCs/>
          <w:sz w:val="32"/>
          <w:szCs w:val="36"/>
        </w:rPr>
      </w:pPr>
      <w:bookmarkStart w:id="0" w:name="_Toc30501_WPSOffice_Type1"/>
    </w:p>
    <w:p>
      <w:pPr>
        <w:pStyle w:val="2"/>
      </w:pPr>
    </w:p>
    <w:p>
      <w:pPr>
        <w:ind w:firstLine="643"/>
        <w:jc w:val="center"/>
        <w:rPr>
          <w:b/>
          <w:bCs/>
          <w:sz w:val="32"/>
          <w:szCs w:val="36"/>
        </w:rPr>
      </w:pPr>
      <w:r>
        <w:rPr>
          <w:rFonts w:ascii="宋体" w:hAnsi="宋体"/>
          <w:b/>
          <w:bCs/>
          <w:sz w:val="32"/>
          <w:szCs w:val="36"/>
        </w:rPr>
        <w:t>目</w:t>
      </w:r>
      <w:r>
        <w:rPr>
          <w:rFonts w:hint="eastAsia" w:ascii="宋体" w:hAnsi="宋体"/>
          <w:b/>
          <w:bCs/>
          <w:sz w:val="32"/>
          <w:szCs w:val="36"/>
        </w:rPr>
        <w:t xml:space="preserve">  </w:t>
      </w:r>
      <w:r>
        <w:rPr>
          <w:rFonts w:ascii="宋体" w:hAnsi="宋体"/>
          <w:b/>
          <w:bCs/>
          <w:sz w:val="32"/>
          <w:szCs w:val="36"/>
        </w:rPr>
        <w:t>录</w:t>
      </w:r>
    </w:p>
    <w:p>
      <w:pPr>
        <w:pStyle w:val="12"/>
        <w:tabs>
          <w:tab w:val="right" w:leader="dot" w:pos="8306"/>
        </w:tabs>
        <w:ind w:firstLine="420"/>
        <w:rPr>
          <w:b/>
          <w:bCs/>
        </w:rPr>
      </w:pPr>
      <w:r>
        <w:fldChar w:fldCharType="begin"/>
      </w:r>
      <w:r>
        <w:instrText xml:space="preserve"> HYPERLINK \l "_Toc12377_WPSOffice_Level1" </w:instrText>
      </w:r>
      <w:r>
        <w:fldChar w:fldCharType="separate"/>
      </w:r>
      <w:r>
        <w:rPr>
          <w:rFonts w:ascii="宋体" w:hAnsi="Times New Roman"/>
          <w:b/>
          <w:bCs/>
        </w:rPr>
        <w:t xml:space="preserve">1. </w:t>
      </w:r>
      <w:r>
        <w:rPr>
          <w:rFonts w:hint="eastAsia" w:ascii="宋体" w:hAnsi="Times New Roman"/>
          <w:b/>
          <w:bCs/>
        </w:rPr>
        <w:t>总则</w:t>
      </w:r>
      <w:r>
        <w:rPr>
          <w:b/>
          <w:bCs/>
        </w:rPr>
        <w:tab/>
      </w:r>
      <w:bookmarkStart w:id="1" w:name="_Toc12377_WPSOffice_Level1Page"/>
      <w:r>
        <w:rPr>
          <w:b/>
          <w:bCs/>
        </w:rPr>
        <w:t>1</w:t>
      </w:r>
      <w:bookmarkEnd w:id="1"/>
      <w:r>
        <w:rPr>
          <w:b/>
          <w:bCs/>
        </w:rPr>
        <w:fldChar w:fldCharType="end"/>
      </w:r>
    </w:p>
    <w:p>
      <w:pPr>
        <w:pStyle w:val="12"/>
        <w:tabs>
          <w:tab w:val="right" w:leader="dot" w:pos="8306"/>
        </w:tabs>
        <w:ind w:firstLine="420"/>
        <w:rPr>
          <w:b/>
          <w:bCs/>
        </w:rPr>
      </w:pPr>
      <w:r>
        <w:fldChar w:fldCharType="begin"/>
      </w:r>
      <w:r>
        <w:instrText xml:space="preserve"> HYPERLINK \l "_Toc30501_WPSOffice_Level1" </w:instrText>
      </w:r>
      <w:r>
        <w:fldChar w:fldCharType="separate"/>
      </w:r>
      <w:r>
        <w:rPr>
          <w:rFonts w:ascii="宋体" w:hAnsi="Times New Roman"/>
          <w:b/>
          <w:bCs/>
        </w:rPr>
        <w:t xml:space="preserve">2. </w:t>
      </w:r>
      <w:r>
        <w:rPr>
          <w:rFonts w:hint="eastAsia" w:ascii="宋体" w:hAnsi="Times New Roman"/>
          <w:b/>
          <w:bCs/>
        </w:rPr>
        <w:t>项目概述</w:t>
      </w:r>
      <w:r>
        <w:rPr>
          <w:b/>
          <w:bCs/>
        </w:rPr>
        <w:tab/>
      </w:r>
      <w:bookmarkStart w:id="2" w:name="_Toc30501_WPSOffice_Level1Page"/>
      <w:r>
        <w:rPr>
          <w:b/>
          <w:bCs/>
        </w:rPr>
        <w:t>3</w:t>
      </w:r>
      <w:bookmarkEnd w:id="2"/>
      <w:r>
        <w:rPr>
          <w:b/>
          <w:bCs/>
        </w:rPr>
        <w:fldChar w:fldCharType="end"/>
      </w:r>
    </w:p>
    <w:p>
      <w:pPr>
        <w:pStyle w:val="12"/>
        <w:tabs>
          <w:tab w:val="right" w:leader="dot" w:pos="8306"/>
        </w:tabs>
        <w:ind w:firstLine="420"/>
        <w:rPr>
          <w:b/>
          <w:bCs/>
        </w:rPr>
      </w:pPr>
      <w:r>
        <w:fldChar w:fldCharType="begin"/>
      </w:r>
      <w:r>
        <w:instrText xml:space="preserve"> HYPERLINK \l "_Toc3080_WPSOffice_Level1" </w:instrText>
      </w:r>
      <w:r>
        <w:fldChar w:fldCharType="separate"/>
      </w:r>
      <w:r>
        <w:rPr>
          <w:b/>
          <w:bCs/>
        </w:rPr>
        <w:t xml:space="preserve">3. </w:t>
      </w:r>
      <w:r>
        <w:rPr>
          <w:rFonts w:hint="eastAsia" w:ascii="宋体" w:hAnsi="Times New Roman"/>
          <w:b/>
          <w:bCs/>
        </w:rPr>
        <w:t>总体要求</w:t>
      </w:r>
      <w:r>
        <w:rPr>
          <w:b/>
          <w:bCs/>
        </w:rPr>
        <w:tab/>
      </w:r>
      <w:bookmarkStart w:id="3" w:name="_Toc3080_WPSOffice_Level1Page"/>
      <w:r>
        <w:rPr>
          <w:b/>
          <w:bCs/>
        </w:rPr>
        <w:t>3</w:t>
      </w:r>
      <w:bookmarkEnd w:id="3"/>
      <w:r>
        <w:rPr>
          <w:b/>
          <w:bCs/>
        </w:rPr>
        <w:fldChar w:fldCharType="end"/>
      </w:r>
    </w:p>
    <w:p>
      <w:pPr>
        <w:pStyle w:val="12"/>
        <w:tabs>
          <w:tab w:val="right" w:leader="dot" w:pos="8306"/>
        </w:tabs>
        <w:ind w:firstLine="420"/>
        <w:rPr>
          <w:b/>
          <w:bCs/>
        </w:rPr>
      </w:pPr>
      <w:r>
        <w:fldChar w:fldCharType="begin"/>
      </w:r>
      <w:r>
        <w:instrText xml:space="preserve"> HYPERLINK \l "_Toc20967_WPSOffice_Level1" </w:instrText>
      </w:r>
      <w:r>
        <w:fldChar w:fldCharType="separate"/>
      </w:r>
      <w:r>
        <w:rPr>
          <w:rFonts w:ascii="宋体" w:hAnsi="Times New Roman"/>
          <w:b/>
          <w:bCs/>
        </w:rPr>
        <w:t xml:space="preserve">4. </w:t>
      </w:r>
      <w:r>
        <w:rPr>
          <w:rFonts w:hint="eastAsia" w:ascii="宋体" w:hAnsi="Times New Roman"/>
          <w:b/>
          <w:bCs/>
        </w:rPr>
        <w:t>技术要求</w:t>
      </w:r>
      <w:r>
        <w:rPr>
          <w:b/>
          <w:bCs/>
        </w:rPr>
        <w:tab/>
      </w:r>
      <w:bookmarkStart w:id="4" w:name="_Toc20967_WPSOffice_Level1Page"/>
      <w:r>
        <w:rPr>
          <w:b/>
          <w:bCs/>
        </w:rPr>
        <w:t>4</w:t>
      </w:r>
      <w:bookmarkEnd w:id="4"/>
      <w:r>
        <w:rPr>
          <w:b/>
          <w:bCs/>
        </w:rPr>
        <w:fldChar w:fldCharType="end"/>
      </w:r>
    </w:p>
    <w:p>
      <w:pPr>
        <w:pStyle w:val="12"/>
        <w:tabs>
          <w:tab w:val="right" w:leader="dot" w:pos="8306"/>
        </w:tabs>
        <w:ind w:firstLine="420"/>
      </w:pPr>
      <w:r>
        <w:fldChar w:fldCharType="begin"/>
      </w:r>
      <w:r>
        <w:instrText xml:space="preserve"> HYPERLINK \l "_Toc12132_WPSOffice_Level1" </w:instrText>
      </w:r>
      <w:r>
        <w:fldChar w:fldCharType="separate"/>
      </w:r>
      <w:r>
        <w:rPr>
          <w:rFonts w:ascii="宋体" w:hAnsi="Times New Roman"/>
          <w:b/>
          <w:bCs/>
        </w:rPr>
        <w:t xml:space="preserve">5. </w:t>
      </w:r>
      <w:r>
        <w:rPr>
          <w:rFonts w:hint="eastAsia" w:ascii="宋体" w:hAnsi="Times New Roman"/>
          <w:b/>
          <w:bCs/>
        </w:rPr>
        <w:t>其他要求</w:t>
      </w:r>
      <w:r>
        <w:rPr>
          <w:b/>
          <w:bCs/>
        </w:rPr>
        <w:tab/>
      </w:r>
      <w:bookmarkStart w:id="5" w:name="_Toc12132_WPSOffice_Level1Page"/>
      <w:r>
        <w:rPr>
          <w:b/>
          <w:bCs/>
        </w:rPr>
        <w:t>4</w:t>
      </w:r>
      <w:bookmarkEnd w:id="5"/>
      <w:r>
        <w:rPr>
          <w:b/>
          <w:bCs/>
        </w:rPr>
        <w:fldChar w:fldCharType="end"/>
      </w:r>
    </w:p>
    <w:bookmarkEnd w:id="0"/>
    <w:p>
      <w:pPr>
        <w:spacing w:line="360" w:lineRule="auto"/>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ind w:firstLine="640"/>
        <w:rPr>
          <w:rFonts w:ascii="宋体"/>
          <w:sz w:val="32"/>
          <w:szCs w:val="32"/>
        </w:rPr>
      </w:pPr>
    </w:p>
    <w:p>
      <w:pPr>
        <w:pStyle w:val="11"/>
        <w:ind w:firstLine="640"/>
        <w:rPr>
          <w:rFonts w:ascii="宋体"/>
          <w:sz w:val="32"/>
          <w:szCs w:val="32"/>
        </w:rPr>
      </w:pPr>
    </w:p>
    <w:p>
      <w:pPr>
        <w:pStyle w:val="11"/>
        <w:ind w:left="0" w:leftChars="0" w:firstLine="0" w:firstLineChars="0"/>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p>
    <w:p>
      <w:pPr>
        <w:keepNext/>
        <w:keepLines/>
        <w:numPr>
          <w:ilvl w:val="0"/>
          <w:numId w:val="2"/>
        </w:numPr>
        <w:spacing w:before="156" w:beforeLines="50" w:after="156" w:afterLines="50" w:line="360" w:lineRule="auto"/>
        <w:ind w:firstLine="643" w:firstLineChars="0"/>
        <w:outlineLvl w:val="0"/>
        <w:rPr>
          <w:rFonts w:ascii="宋体"/>
          <w:b/>
          <w:bCs/>
          <w:kern w:val="44"/>
          <w:sz w:val="32"/>
          <w:szCs w:val="44"/>
        </w:rPr>
      </w:pPr>
      <w:bookmarkStart w:id="6" w:name="_Toc509005142"/>
      <w:bookmarkStart w:id="7" w:name="_Toc411238017"/>
      <w:bookmarkStart w:id="8" w:name="_Toc12377_WPSOffice_Level1"/>
      <w:r>
        <w:rPr>
          <w:rFonts w:hint="eastAsia" w:ascii="宋体"/>
          <w:b/>
          <w:bCs/>
          <w:kern w:val="44"/>
          <w:sz w:val="32"/>
          <w:szCs w:val="44"/>
        </w:rPr>
        <w:t>总则</w:t>
      </w:r>
      <w:bookmarkEnd w:id="6"/>
      <w:bookmarkEnd w:id="7"/>
      <w:bookmarkEnd w:id="8"/>
    </w:p>
    <w:p>
      <w:pPr>
        <w:pStyle w:val="13"/>
        <w:numPr>
          <w:ilvl w:val="1"/>
          <w:numId w:val="3"/>
        </w:numPr>
        <w:ind w:firstLine="562"/>
        <w:outlineLvl w:val="1"/>
        <w:rPr>
          <w:b/>
          <w:sz w:val="28"/>
        </w:rPr>
      </w:pPr>
      <w:r>
        <w:rPr>
          <w:rFonts w:hint="eastAsia"/>
          <w:b/>
          <w:sz w:val="28"/>
        </w:rPr>
        <w:t>一般要求</w:t>
      </w:r>
    </w:p>
    <w:p>
      <w:pPr>
        <w:numPr>
          <w:ilvl w:val="2"/>
          <w:numId w:val="4"/>
        </w:numPr>
        <w:spacing w:line="360" w:lineRule="auto"/>
        <w:ind w:firstLine="480"/>
        <w:rPr>
          <w:rFonts w:ascii="宋体"/>
          <w:sz w:val="24"/>
          <w:szCs w:val="24"/>
        </w:rPr>
      </w:pPr>
      <w:r>
        <w:rPr>
          <w:rFonts w:hint="eastAsia" w:ascii="宋体"/>
          <w:sz w:val="24"/>
          <w:szCs w:val="24"/>
        </w:rPr>
        <w:t>投标方必须认真阅读本技术条款内容，以免造成投标失败。</w:t>
      </w:r>
    </w:p>
    <w:p>
      <w:pPr>
        <w:numPr>
          <w:ilvl w:val="2"/>
          <w:numId w:val="4"/>
        </w:numPr>
        <w:spacing w:line="360" w:lineRule="auto"/>
        <w:ind w:firstLine="480"/>
        <w:rPr>
          <w:rFonts w:ascii="宋体"/>
          <w:color w:val="000000" w:themeColor="text1"/>
          <w:sz w:val="24"/>
          <w:szCs w:val="24"/>
          <w14:textFill>
            <w14:solidFill>
              <w14:schemeClr w14:val="tx1"/>
            </w14:solidFill>
          </w14:textFill>
        </w:rPr>
      </w:pPr>
      <w:r>
        <w:rPr>
          <w:rFonts w:hint="eastAsia" w:ascii="宋体"/>
          <w:sz w:val="24"/>
          <w:szCs w:val="24"/>
        </w:rPr>
        <w:t>本技术规范书主要描述广西电网有限责任公司防城港供</w:t>
      </w:r>
      <w:r>
        <w:rPr>
          <w:rFonts w:hint="eastAsia" w:ascii="宋体"/>
          <w:color w:val="000000" w:themeColor="text1"/>
          <w:sz w:val="24"/>
          <w:szCs w:val="24"/>
          <w14:textFill>
            <w14:solidFill>
              <w14:schemeClr w14:val="tx1"/>
            </w14:solidFill>
          </w14:textFill>
        </w:rPr>
        <w:t>电局“</w:t>
      </w:r>
      <w:r>
        <w:rPr>
          <w:rFonts w:hint="eastAsia" w:ascii="宋体"/>
          <w:color w:val="000000" w:themeColor="text1"/>
          <w:sz w:val="24"/>
          <w:szCs w:val="24"/>
          <w:lang w:eastAsia="zh-CN"/>
          <w14:textFill>
            <w14:solidFill>
              <w14:schemeClr w14:val="tx1"/>
            </w14:solidFill>
          </w14:textFill>
        </w:rPr>
        <w:t>一种采用并联分流电阻法可控通断技术的蓄电池电压补偿装置</w:t>
      </w:r>
      <w:r>
        <w:rPr>
          <w:rFonts w:hint="eastAsia" w:ascii="宋体"/>
          <w:color w:val="000000" w:themeColor="text1"/>
          <w:sz w:val="24"/>
          <w:szCs w:val="24"/>
          <w14:textFill>
            <w14:solidFill>
              <w14:schemeClr w14:val="tx1"/>
            </w14:solidFill>
          </w14:textFill>
        </w:rPr>
        <w:t>” 项目服务要求有关事项。</w:t>
      </w:r>
    </w:p>
    <w:p>
      <w:pPr>
        <w:numPr>
          <w:ilvl w:val="2"/>
          <w:numId w:val="4"/>
        </w:numPr>
        <w:spacing w:line="360" w:lineRule="auto"/>
        <w:ind w:firstLine="480"/>
        <w:rPr>
          <w:rFonts w:ascii="宋体"/>
          <w:sz w:val="24"/>
          <w:szCs w:val="24"/>
        </w:rPr>
      </w:pPr>
      <w:r>
        <w:rPr>
          <w:rFonts w:hint="eastAsia" w:ascii="宋体"/>
          <w:sz w:val="24"/>
          <w:szCs w:val="24"/>
        </w:rPr>
        <w:t>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numPr>
          <w:ilvl w:val="2"/>
          <w:numId w:val="4"/>
        </w:numPr>
        <w:spacing w:line="360" w:lineRule="auto"/>
        <w:ind w:firstLine="480"/>
        <w:rPr>
          <w:rFonts w:ascii="宋体"/>
          <w:sz w:val="24"/>
          <w:szCs w:val="24"/>
        </w:rPr>
      </w:pPr>
      <w:r>
        <w:rPr>
          <w:rFonts w:hint="eastAsia" w:ascii="宋体"/>
          <w:sz w:val="24"/>
          <w:szCs w:val="24"/>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numPr>
          <w:ilvl w:val="2"/>
          <w:numId w:val="4"/>
        </w:numPr>
        <w:spacing w:line="360" w:lineRule="auto"/>
        <w:ind w:firstLine="480"/>
        <w:rPr>
          <w:rFonts w:ascii="宋体"/>
          <w:sz w:val="24"/>
          <w:szCs w:val="24"/>
        </w:rPr>
      </w:pPr>
      <w:r>
        <w:rPr>
          <w:rFonts w:hint="eastAsia" w:ascii="宋体"/>
          <w:sz w:val="24"/>
          <w:szCs w:val="24"/>
        </w:rPr>
        <w:t>如果投标方认为本技术条款所描述技术要求等存在不合理性或不明白的，可在响应原要求后陈述相关建议。</w:t>
      </w:r>
    </w:p>
    <w:p>
      <w:pPr>
        <w:numPr>
          <w:ilvl w:val="2"/>
          <w:numId w:val="4"/>
        </w:numPr>
        <w:spacing w:line="360" w:lineRule="auto"/>
        <w:ind w:firstLine="480"/>
        <w:rPr>
          <w:rFonts w:ascii="宋体"/>
          <w:sz w:val="24"/>
          <w:szCs w:val="24"/>
        </w:rPr>
      </w:pPr>
      <w:r>
        <w:rPr>
          <w:rFonts w:hint="eastAsia" w:ascii="宋体"/>
          <w:sz w:val="24"/>
          <w:szCs w:val="24"/>
        </w:rPr>
        <w:t>投标方也可提出满足本技术规范书要求，且技术先进、成熟、价格合理的其他建议，供招标方选择。</w:t>
      </w:r>
    </w:p>
    <w:p>
      <w:pPr>
        <w:numPr>
          <w:ilvl w:val="2"/>
          <w:numId w:val="4"/>
        </w:numPr>
        <w:spacing w:line="360" w:lineRule="auto"/>
        <w:ind w:firstLine="480"/>
        <w:rPr>
          <w:rFonts w:ascii="宋体"/>
          <w:sz w:val="24"/>
          <w:szCs w:val="24"/>
        </w:rPr>
      </w:pPr>
      <w:r>
        <w:rPr>
          <w:rFonts w:hint="eastAsia" w:ascii="宋体"/>
          <w:sz w:val="24"/>
          <w:szCs w:val="24"/>
        </w:rPr>
        <w:t>投标方应提供满足本技术规范书要求的完整的服务、工作产品，满足国家及用户提出的有关质量标准要求。所有工作产品必须具有在中国境内的合法使用权。</w:t>
      </w:r>
    </w:p>
    <w:p>
      <w:pPr>
        <w:numPr>
          <w:ilvl w:val="2"/>
          <w:numId w:val="4"/>
        </w:numPr>
        <w:spacing w:line="360" w:lineRule="auto"/>
        <w:ind w:firstLine="480"/>
        <w:rPr>
          <w:rFonts w:ascii="宋体"/>
          <w:sz w:val="24"/>
          <w:szCs w:val="24"/>
        </w:rPr>
      </w:pPr>
      <w:r>
        <w:rPr>
          <w:rFonts w:hint="eastAsia" w:ascii="宋体"/>
          <w:sz w:val="24"/>
          <w:szCs w:val="24"/>
        </w:rPr>
        <w:t>本技术规范书所使用的标准如与投标方所执行的标准不一致，按较高标准执行。</w:t>
      </w:r>
    </w:p>
    <w:p>
      <w:pPr>
        <w:numPr>
          <w:ilvl w:val="2"/>
          <w:numId w:val="4"/>
        </w:numPr>
        <w:spacing w:line="360" w:lineRule="auto"/>
        <w:ind w:firstLine="480"/>
        <w:rPr>
          <w:rFonts w:ascii="宋体"/>
          <w:sz w:val="24"/>
          <w:szCs w:val="24"/>
        </w:rPr>
      </w:pPr>
      <w:r>
        <w:rPr>
          <w:rFonts w:hint="eastAsia" w:ascii="宋体"/>
          <w:sz w:val="24"/>
          <w:szCs w:val="24"/>
        </w:rPr>
        <w:t>如果因为无法提供的原因而提供其他产品、服务，投标方应明确说明并提出质量保证承诺。</w:t>
      </w:r>
    </w:p>
    <w:p>
      <w:pPr>
        <w:numPr>
          <w:ilvl w:val="2"/>
          <w:numId w:val="4"/>
        </w:numPr>
        <w:spacing w:line="360" w:lineRule="auto"/>
        <w:ind w:firstLine="480"/>
        <w:rPr>
          <w:rFonts w:ascii="宋体"/>
          <w:sz w:val="24"/>
          <w:szCs w:val="24"/>
        </w:rPr>
      </w:pPr>
      <w:r>
        <w:rPr>
          <w:rFonts w:hint="eastAsia" w:ascii="宋体"/>
          <w:sz w:val="24"/>
          <w:szCs w:val="24"/>
        </w:rPr>
        <w:t>投标方应保证为今后招标方开发的或招标方委托第三方开发的其他工作产品提供可靠的性能和兼容性。</w:t>
      </w:r>
    </w:p>
    <w:p>
      <w:pPr>
        <w:numPr>
          <w:ilvl w:val="2"/>
          <w:numId w:val="4"/>
        </w:numPr>
        <w:spacing w:line="360" w:lineRule="auto"/>
        <w:ind w:firstLine="480"/>
        <w:rPr>
          <w:rFonts w:ascii="宋体"/>
          <w:sz w:val="24"/>
          <w:szCs w:val="24"/>
        </w:rPr>
      </w:pPr>
      <w:r>
        <w:rPr>
          <w:rFonts w:hint="eastAsia" w:ascii="宋体"/>
          <w:sz w:val="24"/>
          <w:szCs w:val="24"/>
        </w:rPr>
        <w:t>投标方应对本次投标所有文件保密，不得向其他单位公布或泄漏招标项目的有关信息。</w:t>
      </w:r>
    </w:p>
    <w:p>
      <w:pPr>
        <w:numPr>
          <w:ilvl w:val="2"/>
          <w:numId w:val="4"/>
        </w:numPr>
        <w:spacing w:line="360" w:lineRule="auto"/>
        <w:ind w:firstLine="480"/>
        <w:rPr>
          <w:rFonts w:ascii="宋体"/>
          <w:sz w:val="24"/>
          <w:szCs w:val="24"/>
        </w:rPr>
      </w:pPr>
      <w:r>
        <w:rPr>
          <w:rFonts w:hint="eastAsia" w:ascii="宋体"/>
          <w:sz w:val="24"/>
          <w:szCs w:val="24"/>
        </w:rPr>
        <w:t>招标方保留技术规范书修改的权利，可以提出变更的意见和建议，最终签订的技术协议与合同具有同等效力。</w:t>
      </w:r>
    </w:p>
    <w:p>
      <w:pPr>
        <w:numPr>
          <w:ilvl w:val="2"/>
          <w:numId w:val="4"/>
        </w:numPr>
        <w:spacing w:line="360" w:lineRule="auto"/>
        <w:ind w:firstLine="480"/>
        <w:rPr>
          <w:rFonts w:ascii="宋体"/>
          <w:sz w:val="24"/>
          <w:szCs w:val="24"/>
        </w:rPr>
      </w:pPr>
      <w:r>
        <w:rPr>
          <w:rFonts w:hint="eastAsia" w:ascii="宋体"/>
          <w:sz w:val="24"/>
          <w:szCs w:val="24"/>
        </w:rPr>
        <w:t>在不超出本技术规范书要求的情况下，投标方应对招标方提出的所有细化要求予以满足。</w:t>
      </w:r>
    </w:p>
    <w:p>
      <w:pPr>
        <w:numPr>
          <w:ilvl w:val="2"/>
          <w:numId w:val="4"/>
        </w:numPr>
        <w:spacing w:line="360" w:lineRule="auto"/>
        <w:ind w:firstLine="480"/>
        <w:rPr>
          <w:rFonts w:ascii="宋体"/>
          <w:sz w:val="24"/>
          <w:szCs w:val="24"/>
        </w:rPr>
      </w:pPr>
      <w:r>
        <w:rPr>
          <w:rFonts w:hint="eastAsia" w:ascii="宋体"/>
          <w:sz w:val="24"/>
          <w:szCs w:val="24"/>
        </w:rPr>
        <w:t>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numPr>
          <w:ilvl w:val="2"/>
          <w:numId w:val="4"/>
        </w:numPr>
        <w:spacing w:line="360" w:lineRule="auto"/>
        <w:ind w:firstLine="480"/>
        <w:rPr>
          <w:rFonts w:ascii="宋体"/>
          <w:sz w:val="24"/>
          <w:szCs w:val="24"/>
        </w:rPr>
      </w:pPr>
      <w:r>
        <w:rPr>
          <w:rFonts w:hint="eastAsia" w:ascii="宋体"/>
          <w:sz w:val="24"/>
          <w:szCs w:val="24"/>
        </w:rPr>
        <w:t>有文件、图纸、通信的均使用中文。所有计算、说明、图纸文件、手册等使用国际单位制。</w:t>
      </w:r>
    </w:p>
    <w:p>
      <w:pPr>
        <w:pStyle w:val="13"/>
        <w:numPr>
          <w:ilvl w:val="1"/>
          <w:numId w:val="3"/>
        </w:numPr>
        <w:ind w:firstLine="562"/>
        <w:jc w:val="left"/>
        <w:outlineLvl w:val="1"/>
        <w:rPr>
          <w:b/>
          <w:sz w:val="28"/>
        </w:rPr>
      </w:pPr>
      <w:r>
        <w:rPr>
          <w:rFonts w:hint="eastAsia"/>
          <w:b/>
          <w:sz w:val="28"/>
        </w:rPr>
        <w:t>招标方职责</w:t>
      </w:r>
    </w:p>
    <w:p>
      <w:pPr>
        <w:numPr>
          <w:ilvl w:val="0"/>
          <w:numId w:val="5"/>
        </w:numPr>
        <w:spacing w:line="360" w:lineRule="auto"/>
        <w:ind w:firstLine="480"/>
        <w:rPr>
          <w:rFonts w:ascii="宋体" w:hAnsi="宋体"/>
          <w:sz w:val="24"/>
          <w:szCs w:val="24"/>
        </w:rPr>
      </w:pPr>
      <w:r>
        <w:rPr>
          <w:rFonts w:hint="eastAsia" w:ascii="宋体" w:hAnsi="宋体"/>
          <w:sz w:val="24"/>
          <w:szCs w:val="24"/>
        </w:rPr>
        <w:t>提出“</w:t>
      </w:r>
      <w:r>
        <w:rPr>
          <w:rFonts w:hint="eastAsia" w:ascii="宋体" w:hAnsi="宋体"/>
          <w:sz w:val="24"/>
          <w:szCs w:val="24"/>
          <w:lang w:eastAsia="zh-CN"/>
        </w:rPr>
        <w:t>一种采用并联分流电阻法可控通断技术的蓄电池电压补偿装置</w:t>
      </w:r>
      <w:r>
        <w:rPr>
          <w:rFonts w:hint="eastAsia" w:ascii="宋体" w:hAnsi="宋体"/>
          <w:sz w:val="24"/>
          <w:szCs w:val="24"/>
        </w:rPr>
        <w:t>”的详细需求；</w:t>
      </w:r>
    </w:p>
    <w:p>
      <w:pPr>
        <w:numPr>
          <w:ilvl w:val="0"/>
          <w:numId w:val="5"/>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5"/>
        </w:numPr>
        <w:spacing w:line="360" w:lineRule="auto"/>
        <w:ind w:firstLine="480"/>
        <w:rPr>
          <w:rFonts w:ascii="宋体" w:hAnsi="宋体"/>
          <w:sz w:val="24"/>
          <w:szCs w:val="24"/>
        </w:rPr>
      </w:pPr>
      <w:r>
        <w:rPr>
          <w:rFonts w:ascii="宋体" w:hAnsi="宋体"/>
          <w:sz w:val="24"/>
          <w:szCs w:val="24"/>
        </w:rPr>
        <w:t>为响应方收集项目开发所需原始资料等提供协助；</w:t>
      </w:r>
    </w:p>
    <w:p>
      <w:pPr>
        <w:numPr>
          <w:ilvl w:val="0"/>
          <w:numId w:val="5"/>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5"/>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装置功能</w:t>
      </w:r>
      <w:r>
        <w:rPr>
          <w:rFonts w:ascii="宋体" w:hAnsi="宋体"/>
          <w:sz w:val="24"/>
          <w:szCs w:val="24"/>
        </w:rPr>
        <w:t>验收；</w:t>
      </w:r>
    </w:p>
    <w:p>
      <w:pPr>
        <w:numPr>
          <w:ilvl w:val="0"/>
          <w:numId w:val="5"/>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5"/>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hint="eastAsia" w:ascii="宋体" w:hAnsi="宋体"/>
          <w:sz w:val="24"/>
          <w:szCs w:val="24"/>
          <w:lang w:eastAsia="zh-CN"/>
        </w:rPr>
        <w:t>。</w:t>
      </w:r>
    </w:p>
    <w:p>
      <w:pPr>
        <w:pStyle w:val="13"/>
        <w:numPr>
          <w:ilvl w:val="1"/>
          <w:numId w:val="3"/>
        </w:numPr>
        <w:ind w:firstLine="562"/>
        <w:outlineLvl w:val="1"/>
        <w:rPr>
          <w:b/>
          <w:sz w:val="28"/>
        </w:rPr>
      </w:pPr>
      <w:r>
        <w:rPr>
          <w:rFonts w:hint="eastAsia"/>
          <w:b/>
          <w:sz w:val="28"/>
        </w:rPr>
        <w:t>投标方职责</w:t>
      </w:r>
    </w:p>
    <w:p>
      <w:pPr>
        <w:numPr>
          <w:ilvl w:val="0"/>
          <w:numId w:val="6"/>
        </w:numPr>
        <w:spacing w:line="360" w:lineRule="auto"/>
        <w:ind w:firstLine="480"/>
        <w:rPr>
          <w:rFonts w:ascii="宋体" w:hAnsi="宋体"/>
          <w:sz w:val="24"/>
          <w:szCs w:val="24"/>
        </w:rPr>
      </w:pPr>
      <w:r>
        <w:rPr>
          <w:rFonts w:hint="eastAsia" w:ascii="宋体" w:hAnsi="宋体"/>
          <w:sz w:val="24"/>
          <w:szCs w:val="24"/>
        </w:rPr>
        <w:t>提供完整</w:t>
      </w:r>
      <w:r>
        <w:rPr>
          <w:rFonts w:hint="eastAsia" w:ascii="宋体" w:hAnsi="宋体"/>
          <w:sz w:val="24"/>
          <w:szCs w:val="24"/>
          <w:lang w:val="en-US" w:eastAsia="zh-CN"/>
        </w:rPr>
        <w:t>材料的加工、测试试验</w:t>
      </w:r>
      <w:r>
        <w:rPr>
          <w:rFonts w:hint="eastAsia" w:ascii="宋体" w:hAnsi="宋体"/>
          <w:sz w:val="24"/>
          <w:szCs w:val="24"/>
        </w:rPr>
        <w:t>服务报价；</w:t>
      </w:r>
    </w:p>
    <w:p>
      <w:pPr>
        <w:numPr>
          <w:ilvl w:val="0"/>
          <w:numId w:val="6"/>
        </w:numPr>
        <w:spacing w:line="360" w:lineRule="auto"/>
        <w:ind w:firstLine="480"/>
        <w:rPr>
          <w:rFonts w:ascii="宋体" w:hAnsi="宋体"/>
          <w:sz w:val="24"/>
          <w:szCs w:val="24"/>
        </w:rPr>
      </w:pPr>
      <w:r>
        <w:rPr>
          <w:rFonts w:hint="eastAsia" w:ascii="宋体" w:hAnsi="宋体"/>
          <w:sz w:val="24"/>
          <w:szCs w:val="24"/>
        </w:rPr>
        <w:t>按合同范围提供完整的项目实施方案；</w:t>
      </w:r>
    </w:p>
    <w:p>
      <w:pPr>
        <w:numPr>
          <w:ilvl w:val="0"/>
          <w:numId w:val="6"/>
        </w:numPr>
        <w:spacing w:line="360" w:lineRule="auto"/>
        <w:ind w:firstLine="480"/>
        <w:rPr>
          <w:rFonts w:hint="eastAsia" w:ascii="宋体" w:hAnsi="宋体" w:cs="Times New Roman"/>
          <w:sz w:val="24"/>
          <w:szCs w:val="24"/>
        </w:rPr>
      </w:pPr>
      <w:r>
        <w:rPr>
          <w:rFonts w:hint="eastAsia" w:ascii="宋体" w:hAnsi="宋体"/>
          <w:sz w:val="24"/>
          <w:szCs w:val="24"/>
        </w:rPr>
        <w:t>按合同要求进行“</w:t>
      </w:r>
      <w:r>
        <w:rPr>
          <w:rFonts w:hint="eastAsia" w:ascii="宋体" w:hAnsi="宋体"/>
          <w:sz w:val="24"/>
          <w:szCs w:val="24"/>
          <w:lang w:eastAsia="zh-CN"/>
        </w:rPr>
        <w:t>一种采用并联分流电阻法可控通断技术的蓄电池电压补偿装置</w:t>
      </w:r>
      <w:r>
        <w:rPr>
          <w:rFonts w:hint="eastAsia" w:ascii="宋体" w:hAnsi="宋体"/>
          <w:sz w:val="24"/>
          <w:szCs w:val="24"/>
        </w:rPr>
        <w:t>”项目的</w:t>
      </w:r>
      <w:r>
        <w:rPr>
          <w:rFonts w:hint="eastAsia" w:ascii="宋体" w:hAnsi="宋体" w:cs="Times New Roman"/>
          <w:sz w:val="24"/>
          <w:szCs w:val="24"/>
        </w:rPr>
        <w:t>零部件</w:t>
      </w:r>
      <w:r>
        <w:rPr>
          <w:rFonts w:hint="eastAsia" w:ascii="宋体" w:hAnsi="宋体" w:cs="Times New Roman"/>
          <w:sz w:val="24"/>
          <w:szCs w:val="24"/>
          <w:lang w:eastAsia="zh-CN"/>
        </w:rPr>
        <w:t>材料、</w:t>
      </w:r>
      <w:r>
        <w:rPr>
          <w:rFonts w:hint="eastAsia" w:ascii="宋体" w:hAnsi="宋体" w:cs="Times New Roman"/>
          <w:sz w:val="24"/>
          <w:szCs w:val="24"/>
        </w:rPr>
        <w:t>加工、组装、现场测试</w:t>
      </w:r>
      <w:r>
        <w:rPr>
          <w:rFonts w:hint="eastAsia" w:ascii="宋体" w:hAnsi="宋体" w:cs="Times New Roman"/>
          <w:sz w:val="24"/>
          <w:szCs w:val="24"/>
          <w:lang w:eastAsia="zh-CN"/>
        </w:rPr>
        <w:t>、</w:t>
      </w:r>
      <w:r>
        <w:rPr>
          <w:rFonts w:hint="eastAsia" w:ascii="宋体" w:hAnsi="宋体" w:cs="Times New Roman"/>
          <w:sz w:val="24"/>
          <w:szCs w:val="24"/>
        </w:rPr>
        <w:t>功能性能测试工作；</w:t>
      </w:r>
    </w:p>
    <w:p>
      <w:pPr>
        <w:numPr>
          <w:ilvl w:val="0"/>
          <w:numId w:val="6"/>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6"/>
        </w:numPr>
        <w:spacing w:line="360" w:lineRule="auto"/>
        <w:ind w:firstLine="480"/>
        <w:rPr>
          <w:rFonts w:ascii="宋体" w:hAnsi="宋体"/>
          <w:sz w:val="24"/>
          <w:szCs w:val="24"/>
        </w:rPr>
      </w:pPr>
      <w:r>
        <w:rPr>
          <w:rFonts w:hint="eastAsia" w:ascii="宋体" w:hAnsi="宋体"/>
          <w:sz w:val="24"/>
          <w:szCs w:val="24"/>
        </w:rPr>
        <w:t>负责质保期间</w:t>
      </w:r>
      <w:r>
        <w:rPr>
          <w:rFonts w:hint="eastAsia" w:ascii="宋体" w:hAnsi="宋体"/>
          <w:sz w:val="24"/>
          <w:szCs w:val="24"/>
          <w:lang w:val="en-US" w:eastAsia="zh-CN"/>
        </w:rPr>
        <w:t>材料的加工、测试试验</w:t>
      </w:r>
      <w:r>
        <w:rPr>
          <w:rFonts w:hint="eastAsia" w:ascii="宋体" w:hAnsi="宋体"/>
          <w:sz w:val="24"/>
          <w:szCs w:val="24"/>
        </w:rPr>
        <w:t>服务的维护；</w:t>
      </w:r>
    </w:p>
    <w:p>
      <w:pPr>
        <w:numPr>
          <w:ilvl w:val="0"/>
          <w:numId w:val="6"/>
        </w:numPr>
        <w:spacing w:line="360" w:lineRule="auto"/>
        <w:ind w:firstLine="480"/>
        <w:rPr>
          <w:rFonts w:ascii="宋体" w:hAnsi="宋体"/>
          <w:sz w:val="24"/>
          <w:szCs w:val="24"/>
        </w:rPr>
      </w:pPr>
      <w:r>
        <w:rPr>
          <w:rFonts w:hint="eastAsia" w:ascii="宋体" w:hAnsi="宋体"/>
          <w:sz w:val="24"/>
          <w:szCs w:val="24"/>
        </w:rPr>
        <w:t>按期提交满足采购方要求的“</w:t>
      </w:r>
      <w:r>
        <w:rPr>
          <w:rFonts w:hint="eastAsia" w:ascii="宋体" w:hAnsi="宋体"/>
          <w:sz w:val="24"/>
          <w:szCs w:val="24"/>
          <w:lang w:eastAsia="zh-CN"/>
        </w:rPr>
        <w:t>一种采用并联分流电阻法可控通断技术的蓄电池电压补偿装置</w:t>
      </w:r>
      <w:r>
        <w:rPr>
          <w:rFonts w:hint="eastAsia" w:ascii="宋体" w:hAnsi="宋体"/>
          <w:sz w:val="24"/>
          <w:szCs w:val="24"/>
        </w:rPr>
        <w:t>”项目</w:t>
      </w:r>
      <w:r>
        <w:rPr>
          <w:rFonts w:hint="eastAsia" w:ascii="宋体" w:hAnsi="宋体"/>
          <w:sz w:val="24"/>
          <w:szCs w:val="24"/>
          <w:lang w:val="en-US" w:eastAsia="zh-CN"/>
        </w:rPr>
        <w:t>材料的加工后、测试试验合格后完整一套装置成果</w:t>
      </w:r>
      <w:r>
        <w:rPr>
          <w:rFonts w:hint="eastAsia" w:ascii="宋体" w:hAnsi="宋体"/>
          <w:sz w:val="24"/>
          <w:szCs w:val="24"/>
        </w:rPr>
        <w:t>。</w:t>
      </w:r>
    </w:p>
    <w:p>
      <w:pPr>
        <w:pStyle w:val="13"/>
        <w:ind w:left="562" w:firstLine="0" w:firstLineChars="0"/>
        <w:outlineLvl w:val="1"/>
        <w:rPr>
          <w:rFonts w:hint="eastAsia" w:eastAsia="宋体"/>
          <w:b/>
          <w:color w:val="auto"/>
          <w:sz w:val="28"/>
          <w:lang w:eastAsia="zh-CN"/>
        </w:rPr>
      </w:pPr>
      <w:r>
        <w:rPr>
          <w:rFonts w:hint="eastAsia"/>
          <w:b/>
          <w:color w:val="auto"/>
          <w:sz w:val="28"/>
        </w:rPr>
        <w:t>1.4 要求</w:t>
      </w:r>
      <w:r>
        <w:rPr>
          <w:rFonts w:hint="eastAsia"/>
          <w:b/>
          <w:color w:val="auto"/>
          <w:sz w:val="28"/>
          <w:lang w:eastAsia="zh-CN"/>
        </w:rPr>
        <w:t>提供的资质业绩材料</w:t>
      </w:r>
    </w:p>
    <w:p>
      <w:pPr>
        <w:numPr>
          <w:ilvl w:val="0"/>
          <w:numId w:val="7"/>
        </w:numPr>
        <w:spacing w:line="360" w:lineRule="auto"/>
        <w:ind w:firstLine="480"/>
        <w:rPr>
          <w:rFonts w:ascii="宋体" w:hAnsi="宋体"/>
          <w:color w:val="auto"/>
          <w:sz w:val="24"/>
          <w:szCs w:val="24"/>
          <w:u w:val="single"/>
        </w:rPr>
      </w:pPr>
      <w:r>
        <w:rPr>
          <w:rFonts w:hint="eastAsia" w:ascii="宋体" w:hAnsi="宋体"/>
          <w:color w:val="auto"/>
          <w:sz w:val="24"/>
          <w:szCs w:val="24"/>
          <w:u w:val="single"/>
        </w:rPr>
        <w:t>近</w:t>
      </w:r>
      <w:r>
        <w:rPr>
          <w:rFonts w:hint="eastAsia" w:ascii="宋体" w:hAnsi="宋体"/>
          <w:color w:val="auto"/>
          <w:sz w:val="24"/>
          <w:szCs w:val="24"/>
          <w:u w:val="single"/>
          <w:lang w:val="en-US" w:eastAsia="zh-CN"/>
        </w:rPr>
        <w:t>8</w:t>
      </w:r>
      <w:r>
        <w:rPr>
          <w:rFonts w:hint="eastAsia" w:ascii="宋体" w:hAnsi="宋体"/>
          <w:color w:val="auto"/>
          <w:sz w:val="24"/>
          <w:szCs w:val="24"/>
          <w:u w:val="single"/>
        </w:rPr>
        <w:t>年</w:t>
      </w:r>
      <w:r>
        <w:rPr>
          <w:rFonts w:hint="eastAsia" w:ascii="宋体" w:hAnsi="宋体"/>
          <w:color w:val="auto"/>
          <w:sz w:val="24"/>
          <w:szCs w:val="24"/>
          <w:u w:val="single"/>
          <w:lang w:val="en-US" w:eastAsia="zh-CN"/>
        </w:rPr>
        <w:t>在广西电网有限责任公司防城港供电局</w:t>
      </w:r>
      <w:r>
        <w:rPr>
          <w:rFonts w:hint="eastAsia" w:ascii="宋体" w:hAnsi="宋体"/>
          <w:color w:val="auto"/>
          <w:sz w:val="24"/>
          <w:szCs w:val="24"/>
          <w:u w:val="single"/>
        </w:rPr>
        <w:t>至少具有3项与直流系统相关的职工创新</w:t>
      </w:r>
      <w:r>
        <w:rPr>
          <w:rFonts w:hint="eastAsia" w:ascii="宋体" w:hAnsi="宋体"/>
          <w:color w:val="auto"/>
          <w:sz w:val="24"/>
          <w:szCs w:val="24"/>
          <w:u w:val="single"/>
          <w:lang w:val="en-US" w:eastAsia="zh-CN"/>
        </w:rPr>
        <w:t>项目或者科技创新项目</w:t>
      </w:r>
      <w:r>
        <w:rPr>
          <w:rFonts w:hint="eastAsia" w:ascii="宋体" w:hAnsi="宋体"/>
          <w:color w:val="auto"/>
          <w:sz w:val="24"/>
          <w:szCs w:val="24"/>
          <w:u w:val="single"/>
        </w:rPr>
        <w:t>的业绩（附合同）；</w:t>
      </w:r>
    </w:p>
    <w:p>
      <w:pPr>
        <w:numPr>
          <w:ilvl w:val="0"/>
          <w:numId w:val="7"/>
        </w:numPr>
        <w:spacing w:line="360" w:lineRule="auto"/>
        <w:ind w:firstLine="480"/>
        <w:rPr>
          <w:rFonts w:ascii="宋体" w:hAnsi="宋体"/>
          <w:color w:val="auto"/>
          <w:sz w:val="24"/>
          <w:szCs w:val="24"/>
          <w:u w:val="single"/>
        </w:rPr>
      </w:pPr>
      <w:r>
        <w:rPr>
          <w:rFonts w:hint="eastAsia" w:ascii="宋体" w:hAnsi="宋体"/>
          <w:color w:val="auto"/>
          <w:sz w:val="24"/>
          <w:szCs w:val="24"/>
          <w:u w:val="single"/>
        </w:rPr>
        <w:t>具有直流系统蓄电池监测装置相关的型式试验电磁兼容检测报告及电磁兼容检验证书；</w:t>
      </w:r>
    </w:p>
    <w:p>
      <w:pPr>
        <w:keepNext/>
        <w:keepLines/>
        <w:numPr>
          <w:ilvl w:val="0"/>
          <w:numId w:val="2"/>
        </w:numPr>
        <w:spacing w:before="156" w:beforeLines="50" w:after="156" w:afterLines="50" w:line="360" w:lineRule="auto"/>
        <w:ind w:firstLine="643" w:firstLineChars="0"/>
        <w:jc w:val="left"/>
        <w:outlineLvl w:val="0"/>
        <w:rPr>
          <w:rFonts w:ascii="宋体"/>
          <w:b/>
          <w:bCs/>
          <w:color w:val="auto"/>
          <w:kern w:val="44"/>
          <w:sz w:val="32"/>
          <w:szCs w:val="44"/>
        </w:rPr>
      </w:pPr>
      <w:bookmarkStart w:id="9" w:name="_Toc411238019"/>
      <w:bookmarkStart w:id="10" w:name="_Toc30501_WPSOffice_Level1"/>
      <w:bookmarkStart w:id="11" w:name="_Toc509005143"/>
      <w:r>
        <w:rPr>
          <w:rFonts w:hint="eastAsia" w:ascii="宋体"/>
          <w:b/>
          <w:bCs/>
          <w:color w:val="auto"/>
          <w:kern w:val="44"/>
          <w:sz w:val="32"/>
          <w:szCs w:val="44"/>
        </w:rPr>
        <w:t>项目概述</w:t>
      </w:r>
      <w:bookmarkEnd w:id="9"/>
      <w:bookmarkEnd w:id="10"/>
      <w:bookmarkEnd w:id="11"/>
    </w:p>
    <w:p>
      <w:pPr>
        <w:pStyle w:val="2"/>
        <w:ind w:left="0" w:leftChars="0" w:firstLine="562" w:firstLineChars="200"/>
        <w:jc w:val="both"/>
        <w:rPr>
          <w:rFonts w:hint="eastAsia" w:eastAsia="宋体"/>
          <w:sz w:val="28"/>
          <w:szCs w:val="28"/>
          <w:lang w:eastAsia="zh-CN"/>
        </w:rPr>
      </w:pPr>
      <w:r>
        <w:rPr>
          <w:rFonts w:hint="eastAsia" w:ascii="仿宋" w:hAnsi="仿宋" w:eastAsia="仿宋" w:cs="仿宋"/>
          <w:sz w:val="28"/>
          <w:szCs w:val="28"/>
          <w:lang w:val="en-US" w:eastAsia="zh-CN"/>
        </w:rPr>
        <w:t>2.1</w:t>
      </w:r>
      <w:r>
        <w:rPr>
          <w:rFonts w:hint="eastAsia" w:ascii="仿宋" w:hAnsi="仿宋" w:eastAsia="仿宋" w:cs="仿宋"/>
          <w:sz w:val="28"/>
          <w:szCs w:val="28"/>
          <w:lang w:eastAsia="zh-CN"/>
        </w:rPr>
        <w:t>项目</w:t>
      </w:r>
      <w:r>
        <w:rPr>
          <w:rFonts w:hint="eastAsia" w:ascii="仿宋" w:hAnsi="仿宋" w:eastAsia="仿宋" w:cs="仿宋"/>
          <w:sz w:val="28"/>
          <w:szCs w:val="28"/>
        </w:rPr>
        <w:t>摘要</w:t>
      </w:r>
    </w:p>
    <w:p>
      <w:pPr>
        <w:spacing w:line="360" w:lineRule="auto"/>
        <w:ind w:firstLine="480" w:firstLineChars="200"/>
        <w:rPr>
          <w:rFonts w:hint="eastAsia" w:ascii="宋体" w:eastAsia="宋体"/>
          <w:color w:val="000000" w:themeColor="text1"/>
          <w:sz w:val="24"/>
          <w:szCs w:val="24"/>
          <w:lang w:eastAsia="zh-CN"/>
          <w14:textFill>
            <w14:solidFill>
              <w14:schemeClr w14:val="tx1"/>
            </w14:solidFill>
          </w14:textFill>
        </w:rPr>
      </w:pPr>
      <w:r>
        <w:rPr>
          <w:rFonts w:hint="eastAsia" w:ascii="宋体" w:eastAsia="宋体"/>
          <w:color w:val="000000" w:themeColor="text1"/>
          <w:sz w:val="24"/>
          <w:szCs w:val="24"/>
          <w:lang w:eastAsia="zh-CN"/>
          <w14:textFill>
            <w14:solidFill>
              <w14:schemeClr w14:val="tx1"/>
            </w14:solidFill>
          </w14:textFill>
        </w:rPr>
        <w:t>在变电站、电动汽车等应用场合都需要使用串联电池组，以满足高电压、高容量的需求。单体电池由于生产工艺等原因导致各电池容量与性能的差异，在对电池组进行充放电的过程中，必然会扩大这种差异；充电时，容量小、性能差的电池会产生过充现象，而放电时，容量小、性能差的电池会有过放现象，长此以往，将加速电池的损坏。</w:t>
      </w:r>
    </w:p>
    <w:p>
      <w:pPr>
        <w:spacing w:line="360" w:lineRule="auto"/>
        <w:ind w:firstLine="480" w:firstLineChars="200"/>
        <w:rPr>
          <w:rFonts w:hint="eastAsia" w:ascii="宋体" w:eastAsia="宋体"/>
          <w:color w:val="000000" w:themeColor="text1"/>
          <w:sz w:val="24"/>
          <w:szCs w:val="24"/>
          <w:lang w:eastAsia="zh-CN"/>
          <w14:textFill>
            <w14:solidFill>
              <w14:schemeClr w14:val="tx1"/>
            </w14:solidFill>
          </w14:textFill>
        </w:rPr>
      </w:pPr>
      <w:r>
        <w:rPr>
          <w:rFonts w:hint="eastAsia" w:ascii="宋体" w:eastAsia="宋体"/>
          <w:color w:val="000000" w:themeColor="text1"/>
          <w:sz w:val="24"/>
          <w:szCs w:val="24"/>
          <w:lang w:eastAsia="zh-CN"/>
          <w14:textFill>
            <w14:solidFill>
              <w14:schemeClr w14:val="tx1"/>
            </w14:solidFill>
          </w14:textFill>
        </w:rPr>
        <w:t>本项目是研究一种采用并联分流电阻均衡法可控通断技术的蓄电池电压补偿装置，该均衡法的原理如下：每个单体电池上并联一个可控通断的电阻，它可以起到分流的作用，系统采集各单体电池的电压，若发现其中有单体电池电压超过平均电压的一定阈值后，导通该单体电池并接的电阻而进行分流，能量消耗在并联电阻上，这样充电较快的单体电池会放缓充电速度，最终使得所有电池都能同时充满电所以通过监控电池鼓胀情况以及对单体电池进行多点监控，是十分有必要、有意义的。</w:t>
      </w:r>
    </w:p>
    <w:p>
      <w:pPr>
        <w:spacing w:line="360" w:lineRule="auto"/>
        <w:ind w:left="0" w:leftChars="0" w:firstLine="0" w:firstLineChars="0"/>
        <w:jc w:val="left"/>
        <w:rPr>
          <w:rFonts w:hint="eastAsia" w:hAnsi="宋体" w:cs="宋体"/>
          <w:b/>
          <w:bCs/>
          <w:color w:val="000000"/>
          <w:kern w:val="0"/>
          <w:sz w:val="28"/>
          <w:szCs w:val="28"/>
          <w:lang w:bidi="ar"/>
        </w:rPr>
      </w:pPr>
    </w:p>
    <w:p>
      <w:pPr>
        <w:spacing w:line="360" w:lineRule="auto"/>
        <w:ind w:left="0" w:leftChars="0" w:firstLine="480" w:firstLineChars="200"/>
        <w:jc w:val="left"/>
        <w:rPr>
          <w:rFonts w:hint="eastAsia"/>
          <w:b/>
          <w:bCs/>
          <w:sz w:val="28"/>
          <w:szCs w:val="28"/>
        </w:rPr>
      </w:pPr>
      <w:r>
        <w:rPr>
          <w:rFonts w:hint="eastAsia"/>
          <w:b w:val="0"/>
          <w:bCs w:val="0"/>
          <w:sz w:val="24"/>
          <w:szCs w:val="24"/>
        </w:rPr>
        <w:t>★</w:t>
      </w:r>
      <w:r>
        <w:rPr>
          <w:rFonts w:hint="eastAsia" w:hAnsi="宋体" w:cs="宋体"/>
          <w:b/>
          <w:bCs/>
          <w:color w:val="000000"/>
          <w:kern w:val="0"/>
          <w:sz w:val="28"/>
          <w:szCs w:val="28"/>
          <w:lang w:val="en-US" w:eastAsia="zh-CN" w:bidi="ar"/>
        </w:rPr>
        <w:t>2.2</w:t>
      </w:r>
      <w:r>
        <w:rPr>
          <w:rFonts w:hint="eastAsia" w:hAnsi="宋体" w:cs="宋体"/>
          <w:b/>
          <w:bCs/>
          <w:color w:val="000000"/>
          <w:kern w:val="0"/>
          <w:sz w:val="28"/>
          <w:szCs w:val="28"/>
          <w:lang w:bidi="ar"/>
        </w:rPr>
        <w:t>采购</w:t>
      </w:r>
      <w:r>
        <w:rPr>
          <w:rFonts w:hint="eastAsia"/>
          <w:b/>
          <w:bCs/>
          <w:sz w:val="28"/>
          <w:szCs w:val="28"/>
        </w:rPr>
        <w:t>范围和内容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sz w:val="24"/>
          <w:szCs w:val="24"/>
        </w:rPr>
      </w:pPr>
      <w:r>
        <w:rPr>
          <w:rFonts w:hint="eastAsia"/>
          <w:color w:val="000000"/>
          <w:sz w:val="24"/>
          <w:szCs w:val="24"/>
        </w:rPr>
        <w:t>本次采购的范围和内容如下，</w:t>
      </w:r>
      <w:r>
        <w:rPr>
          <w:rFonts w:hint="eastAsia" w:ascii="Times New Roman" w:hAnsi="Times New Roman" w:cs="Times New Roman"/>
          <w:color w:val="000000"/>
          <w:sz w:val="24"/>
          <w:szCs w:val="24"/>
        </w:rPr>
        <w:t>投标</w:t>
      </w:r>
      <w:r>
        <w:rPr>
          <w:rFonts w:hint="eastAsia" w:ascii="Times New Roman" w:hAnsi="Times New Roman" w:cs="Times New Roman"/>
          <w:color w:val="000000"/>
          <w:sz w:val="24"/>
          <w:szCs w:val="24"/>
          <w:lang w:val="en-US" w:eastAsia="zh-CN"/>
        </w:rPr>
        <w:t>方</w:t>
      </w:r>
      <w:r>
        <w:rPr>
          <w:rFonts w:hint="eastAsia"/>
          <w:color w:val="000000"/>
          <w:sz w:val="24"/>
          <w:szCs w:val="24"/>
        </w:rPr>
        <w:t>应按此进行响应并报价：</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2656"/>
        <w:gridCol w:w="469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310" w:type="pct"/>
            <w:vAlign w:val="center"/>
          </w:tcPr>
          <w:p>
            <w:pPr>
              <w:spacing w:line="360" w:lineRule="auto"/>
              <w:ind w:firstLine="0" w:firstLineChars="0"/>
              <w:rPr>
                <w:rFonts w:ascii="宋体" w:hAnsi="宋体"/>
                <w:sz w:val="24"/>
                <w:szCs w:val="24"/>
              </w:rPr>
            </w:pPr>
            <w:r>
              <w:rPr>
                <w:rFonts w:hint="eastAsia" w:ascii="宋体" w:hAnsi="宋体"/>
                <w:sz w:val="24"/>
                <w:szCs w:val="24"/>
              </w:rPr>
              <w:t>序号</w:t>
            </w:r>
          </w:p>
        </w:tc>
        <w:tc>
          <w:tcPr>
            <w:tcW w:w="1558" w:type="pct"/>
            <w:vAlign w:val="center"/>
          </w:tcPr>
          <w:p>
            <w:pPr>
              <w:spacing w:line="360" w:lineRule="auto"/>
              <w:ind w:firstLine="480"/>
              <w:rPr>
                <w:rFonts w:ascii="宋体" w:hAnsi="宋体"/>
                <w:sz w:val="24"/>
                <w:szCs w:val="24"/>
              </w:rPr>
            </w:pPr>
            <w:r>
              <w:rPr>
                <w:rFonts w:hint="eastAsia" w:ascii="宋体" w:hAnsi="宋体"/>
                <w:sz w:val="24"/>
                <w:szCs w:val="24"/>
              </w:rPr>
              <w:t>名称</w:t>
            </w:r>
          </w:p>
        </w:tc>
        <w:tc>
          <w:tcPr>
            <w:tcW w:w="2755" w:type="pct"/>
            <w:vAlign w:val="center"/>
          </w:tcPr>
          <w:p>
            <w:pPr>
              <w:spacing w:line="360" w:lineRule="auto"/>
              <w:ind w:firstLine="480"/>
              <w:rPr>
                <w:rFonts w:ascii="宋体" w:hAnsi="宋体"/>
                <w:sz w:val="24"/>
                <w:szCs w:val="24"/>
              </w:rPr>
            </w:pPr>
            <w:r>
              <w:rPr>
                <w:rFonts w:hint="eastAsia" w:hAnsi="宋体" w:cs="宋体"/>
                <w:b w:val="0"/>
                <w:bCs w:val="0"/>
                <w:color w:val="000000"/>
                <w:kern w:val="0"/>
                <w:sz w:val="22"/>
                <w:szCs w:val="22"/>
                <w:lang w:bidi="ar"/>
              </w:rPr>
              <w:t>采购范围</w:t>
            </w:r>
          </w:p>
        </w:tc>
        <w:tc>
          <w:tcPr>
            <w:tcW w:w="375" w:type="pct"/>
            <w:vAlign w:val="center"/>
          </w:tcPr>
          <w:p>
            <w:pPr>
              <w:spacing w:line="360" w:lineRule="auto"/>
              <w:ind w:firstLine="0" w:firstLineChars="0"/>
              <w:rPr>
                <w:rFonts w:ascii="宋体" w:hAnsi="宋体"/>
                <w:sz w:val="24"/>
                <w:szCs w:val="24"/>
              </w:rPr>
            </w:pPr>
            <w:r>
              <w:rPr>
                <w:rFonts w:hint="eastAsia" w:ascii="宋体" w:hAnsi="宋体"/>
                <w:sz w:val="24"/>
                <w:szCs w:val="24"/>
              </w:rPr>
              <w:t>数量/套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10" w:type="pct"/>
            <w:vAlign w:val="center"/>
          </w:tcPr>
          <w:p>
            <w:pPr>
              <w:spacing w:line="360" w:lineRule="auto"/>
              <w:ind w:left="0" w:leftChars="0" w:firstLine="0" w:firstLineChars="0"/>
              <w:jc w:val="center"/>
              <w:rPr>
                <w:rFonts w:ascii="宋体" w:hAnsi="宋体"/>
                <w:sz w:val="24"/>
                <w:szCs w:val="24"/>
              </w:rPr>
            </w:pPr>
            <w:r>
              <w:rPr>
                <w:rFonts w:hint="eastAsia" w:ascii="宋体" w:hAnsi="宋体"/>
                <w:sz w:val="24"/>
                <w:szCs w:val="24"/>
              </w:rPr>
              <w:t>1</w:t>
            </w:r>
          </w:p>
        </w:tc>
        <w:tc>
          <w:tcPr>
            <w:tcW w:w="1558" w:type="pct"/>
            <w:vAlign w:val="center"/>
          </w:tcPr>
          <w:p>
            <w:pPr>
              <w:spacing w:line="360" w:lineRule="auto"/>
              <w:ind w:firstLine="0" w:firstLineChars="0"/>
              <w:rPr>
                <w:rFonts w:hint="eastAsia" w:ascii="宋体" w:hAnsi="宋体" w:eastAsia="宋体"/>
                <w:sz w:val="24"/>
                <w:szCs w:val="24"/>
                <w:lang w:eastAsia="zh-CN"/>
              </w:rPr>
            </w:pPr>
            <w:r>
              <w:rPr>
                <w:rFonts w:hint="eastAsia" w:ascii="宋体"/>
                <w:color w:val="000000" w:themeColor="text1"/>
                <w:sz w:val="24"/>
                <w:szCs w:val="24"/>
                <w:lang w:eastAsia="zh-CN"/>
                <w14:textFill>
                  <w14:solidFill>
                    <w14:schemeClr w14:val="tx1"/>
                  </w14:solidFill>
                </w14:textFill>
              </w:rPr>
              <w:t>一种采用并联分流电阻法可控通断技术的蓄电池电压补偿装置</w:t>
            </w:r>
          </w:p>
        </w:tc>
        <w:tc>
          <w:tcPr>
            <w:tcW w:w="2755" w:type="pct"/>
            <w:vAlign w:val="center"/>
          </w:tcPr>
          <w:p>
            <w:pPr>
              <w:spacing w:line="360" w:lineRule="auto"/>
              <w:ind w:left="0" w:leftChars="0" w:firstLine="0" w:firstLineChars="0"/>
              <w:jc w:val="left"/>
              <w:rPr>
                <w:rFonts w:ascii="宋体" w:hAnsi="宋体"/>
                <w:sz w:val="24"/>
                <w:szCs w:val="24"/>
              </w:rPr>
            </w:pPr>
            <w:r>
              <w:rPr>
                <w:rFonts w:hint="eastAsia" w:ascii="仿宋_GB2312"/>
                <w:sz w:val="24"/>
                <w:szCs w:val="24"/>
              </w:rPr>
              <w:t>研制</w:t>
            </w:r>
            <w:r>
              <w:rPr>
                <w:rFonts w:hint="eastAsia" w:ascii="仿宋_GB2312"/>
                <w:sz w:val="24"/>
                <w:szCs w:val="24"/>
                <w:lang w:eastAsia="zh-CN"/>
              </w:rPr>
              <w:t>一种采用并联分流电阻法可控通断技术的蓄电池电压补偿装置</w:t>
            </w:r>
            <w:r>
              <w:rPr>
                <w:rFonts w:hint="eastAsia" w:ascii="仿宋_GB2312" w:hAnsi="Times New Roman" w:cs="Times New Roman"/>
                <w:sz w:val="24"/>
                <w:szCs w:val="24"/>
              </w:rPr>
              <w:t>的零部件</w:t>
            </w:r>
            <w:r>
              <w:rPr>
                <w:rFonts w:hint="eastAsia" w:ascii="仿宋_GB2312" w:hAnsi="Times New Roman" w:cs="Times New Roman"/>
                <w:sz w:val="24"/>
                <w:szCs w:val="24"/>
                <w:lang w:eastAsia="zh-CN"/>
              </w:rPr>
              <w:t>材料、</w:t>
            </w:r>
            <w:r>
              <w:rPr>
                <w:rFonts w:hint="eastAsia" w:ascii="仿宋_GB2312" w:hAnsi="Times New Roman" w:cs="Times New Roman"/>
                <w:sz w:val="24"/>
                <w:szCs w:val="24"/>
              </w:rPr>
              <w:t>加工、组装、现场测试，功能性能测试工作</w:t>
            </w:r>
          </w:p>
        </w:tc>
        <w:tc>
          <w:tcPr>
            <w:tcW w:w="375" w:type="pct"/>
            <w:vAlign w:val="center"/>
          </w:tcPr>
          <w:p>
            <w:pPr>
              <w:spacing w:line="360" w:lineRule="auto"/>
              <w:ind w:left="0" w:leftChars="0" w:firstLine="0" w:firstLineChars="0"/>
              <w:jc w:val="center"/>
              <w:rPr>
                <w:rFonts w:ascii="宋体" w:hAnsi="宋体"/>
                <w:sz w:val="24"/>
                <w:szCs w:val="24"/>
              </w:rPr>
            </w:pPr>
            <w:r>
              <w:rPr>
                <w:rFonts w:hint="eastAsia" w:ascii="宋体" w:hAnsi="宋体"/>
                <w:sz w:val="24"/>
                <w:szCs w:val="24"/>
              </w:rPr>
              <w:t>1</w:t>
            </w:r>
          </w:p>
        </w:tc>
      </w:tr>
    </w:tbl>
    <w:p>
      <w:pPr>
        <w:keepNext/>
        <w:keepLines/>
        <w:numPr>
          <w:ilvl w:val="0"/>
          <w:numId w:val="2"/>
        </w:numPr>
        <w:spacing w:before="156" w:beforeLines="50" w:after="156" w:afterLines="50" w:line="360" w:lineRule="auto"/>
        <w:ind w:firstLine="643" w:firstLineChars="0"/>
        <w:outlineLvl w:val="0"/>
        <w:rPr>
          <w:b/>
          <w:sz w:val="28"/>
        </w:rPr>
      </w:pPr>
      <w:bookmarkStart w:id="12" w:name="_Toc3080_WPSOffice_Level1"/>
      <w:bookmarkStart w:id="13" w:name="_Toc509005144"/>
      <w:r>
        <w:rPr>
          <w:rFonts w:hint="eastAsia" w:ascii="宋体"/>
          <w:b/>
          <w:bCs/>
          <w:kern w:val="44"/>
          <w:sz w:val="32"/>
          <w:szCs w:val="44"/>
        </w:rPr>
        <w:t>总体要求</w:t>
      </w:r>
      <w:bookmarkEnd w:id="12"/>
      <w:bookmarkEnd w:id="13"/>
    </w:p>
    <w:p>
      <w:pPr>
        <w:rPr>
          <w:rFonts w:hAnsi="宋体" w:cs="宋体"/>
          <w:sz w:val="24"/>
          <w:szCs w:val="24"/>
        </w:rPr>
      </w:pPr>
      <w:bookmarkStart w:id="14" w:name="_Toc509005145"/>
      <w:bookmarkStart w:id="15" w:name="_Toc20967_WPSOffice_Level1"/>
      <w:r>
        <w:rPr>
          <w:rFonts w:hint="eastAsia"/>
          <w:sz w:val="24"/>
          <w:szCs w:val="24"/>
          <w:lang w:eastAsia="zh-CN"/>
        </w:rPr>
        <w:t>投标方</w:t>
      </w:r>
      <w:r>
        <w:rPr>
          <w:rFonts w:hint="eastAsia"/>
          <w:sz w:val="24"/>
          <w:szCs w:val="24"/>
        </w:rPr>
        <w:t>必须响应并承诺下列要求：</w:t>
      </w:r>
    </w:p>
    <w:p>
      <w:pPr>
        <w:pStyle w:val="4"/>
        <w:rPr>
          <w:sz w:val="24"/>
          <w:szCs w:val="24"/>
        </w:rPr>
      </w:pPr>
      <w:r>
        <w:rPr>
          <w:rFonts w:hint="eastAsia"/>
          <w:b w:val="0"/>
          <w:bCs w:val="0"/>
          <w:sz w:val="24"/>
          <w:szCs w:val="24"/>
        </w:rPr>
        <w:t>本规范书指标要求中，凡标有下划线或加“★”的地方均被视为重要的技术指标要求或性能要求。</w:t>
      </w:r>
      <w:r>
        <w:rPr>
          <w:rFonts w:hint="eastAsia"/>
          <w:b w:val="0"/>
          <w:bCs w:val="0"/>
          <w:sz w:val="24"/>
          <w:szCs w:val="24"/>
          <w:lang w:eastAsia="zh-CN"/>
        </w:rPr>
        <w:t>投标方</w:t>
      </w:r>
      <w:r>
        <w:rPr>
          <w:rFonts w:hint="eastAsia"/>
          <w:b w:val="0"/>
          <w:bCs w:val="0"/>
          <w:sz w:val="24"/>
          <w:szCs w:val="24"/>
        </w:rPr>
        <w:t>要特别加以注意，必须完全满足这些要求。</w:t>
      </w:r>
    </w:p>
    <w:p>
      <w:pPr>
        <w:pStyle w:val="4"/>
        <w:rPr>
          <w:sz w:val="24"/>
          <w:szCs w:val="24"/>
        </w:rPr>
      </w:pPr>
      <w:r>
        <w:rPr>
          <w:rFonts w:hint="eastAsia"/>
          <w:b w:val="0"/>
          <w:bCs w:val="0"/>
          <w:sz w:val="24"/>
          <w:szCs w:val="24"/>
          <w:lang w:eastAsia="zh-CN"/>
        </w:rPr>
        <w:t>投标方</w:t>
      </w:r>
      <w:r>
        <w:rPr>
          <w:rFonts w:hint="eastAsia"/>
          <w:b w:val="0"/>
          <w:bCs w:val="0"/>
          <w:sz w:val="24"/>
          <w:szCs w:val="24"/>
        </w:rPr>
        <w:t>应列出各个单项工作的报价，还应对各个单项工作的不同阶段工作进行划分，并在列出各阶段工作的详细报价。</w:t>
      </w:r>
    </w:p>
    <w:p>
      <w:pPr>
        <w:pStyle w:val="4"/>
        <w:rPr>
          <w:sz w:val="24"/>
          <w:szCs w:val="24"/>
        </w:rPr>
      </w:pPr>
      <w:r>
        <w:rPr>
          <w:rFonts w:hint="eastAsia"/>
          <w:b w:val="0"/>
          <w:bCs w:val="0"/>
          <w:sz w:val="24"/>
          <w:szCs w:val="24"/>
          <w:lang w:eastAsia="zh-CN"/>
        </w:rPr>
        <w:t>投标方</w:t>
      </w:r>
      <w:r>
        <w:rPr>
          <w:rFonts w:hint="eastAsia"/>
          <w:b w:val="0"/>
          <w:bCs w:val="0"/>
          <w:sz w:val="24"/>
          <w:szCs w:val="24"/>
        </w:rPr>
        <w:t>必须提供完整的建议书，至少包含以下内容：</w:t>
      </w:r>
    </w:p>
    <w:p>
      <w:pPr>
        <w:pStyle w:val="14"/>
        <w:rPr>
          <w:rFonts w:hAnsi="宋体" w:cs="宋体"/>
          <w:b/>
          <w:sz w:val="24"/>
          <w:szCs w:val="24"/>
        </w:rPr>
      </w:pPr>
      <w:r>
        <w:rPr>
          <w:rFonts w:hint="eastAsia" w:hAnsi="宋体" w:cs="宋体"/>
          <w:sz w:val="24"/>
          <w:szCs w:val="24"/>
        </w:rPr>
        <w:t>必须阐述本项目总体的服务思路，并提出项目的服务目标。</w:t>
      </w:r>
    </w:p>
    <w:p>
      <w:pPr>
        <w:pStyle w:val="14"/>
        <w:rPr>
          <w:rFonts w:hAnsi="宋体" w:cs="宋体"/>
          <w:b/>
          <w:sz w:val="24"/>
          <w:szCs w:val="24"/>
        </w:rPr>
      </w:pPr>
      <w:r>
        <w:rPr>
          <w:rFonts w:hint="eastAsia" w:hAnsi="宋体" w:cs="宋体"/>
          <w:sz w:val="24"/>
          <w:szCs w:val="24"/>
        </w:rPr>
        <w:t>提供本项目的需求建议，对企业整体的需求做出实质性的评估。</w:t>
      </w:r>
    </w:p>
    <w:p>
      <w:pPr>
        <w:keepNext/>
        <w:keepLines/>
        <w:numPr>
          <w:ilvl w:val="0"/>
          <w:numId w:val="2"/>
        </w:numPr>
        <w:spacing w:before="156" w:beforeLines="50" w:after="156" w:afterLines="50" w:line="360" w:lineRule="auto"/>
        <w:ind w:firstLine="643" w:firstLineChars="0"/>
        <w:outlineLvl w:val="0"/>
        <w:rPr>
          <w:rFonts w:ascii="宋体"/>
          <w:b/>
          <w:bCs/>
          <w:kern w:val="44"/>
          <w:sz w:val="32"/>
          <w:szCs w:val="44"/>
        </w:rPr>
      </w:pPr>
      <w:r>
        <w:rPr>
          <w:rFonts w:hint="eastAsia" w:ascii="宋体"/>
          <w:b/>
          <w:bCs/>
          <w:kern w:val="44"/>
          <w:sz w:val="32"/>
          <w:szCs w:val="44"/>
        </w:rPr>
        <w:t>技术要求</w:t>
      </w:r>
      <w:bookmarkEnd w:id="14"/>
      <w:bookmarkEnd w:id="15"/>
    </w:p>
    <w:p>
      <w:pPr>
        <w:pStyle w:val="4"/>
        <w:keepNext/>
        <w:keepLines/>
        <w:pageBreakBefore w:val="0"/>
        <w:widowControl w:val="0"/>
        <w:numPr>
          <w:numId w:val="0"/>
        </w:numPr>
        <w:kinsoku/>
        <w:wordWrap/>
        <w:overflowPunct/>
        <w:topLinePunct w:val="0"/>
        <w:autoSpaceDE/>
        <w:autoSpaceDN/>
        <w:bidi w:val="0"/>
        <w:adjustRightInd/>
        <w:snapToGrid/>
        <w:spacing w:line="360" w:lineRule="auto"/>
        <w:ind w:leftChars="200"/>
        <w:textAlignment w:val="auto"/>
        <w:rPr>
          <w:rFonts w:hint="eastAsia" w:ascii="Times New Roman" w:cs="Times New Roman"/>
          <w:b w:val="0"/>
          <w:bCs w:val="0"/>
          <w:sz w:val="24"/>
          <w:szCs w:val="24"/>
          <w:lang w:val="en-US" w:eastAsia="zh-CN"/>
        </w:rPr>
      </w:pPr>
      <w:r>
        <w:rPr>
          <w:rFonts w:hint="eastAsia" w:cs="Times New Roman"/>
          <w:b/>
          <w:bCs/>
          <w:sz w:val="24"/>
          <w:szCs w:val="24"/>
          <w:lang w:val="en-US" w:eastAsia="zh-CN"/>
        </w:rPr>
        <w:t>4.1</w:t>
      </w:r>
      <w:r>
        <w:rPr>
          <w:rFonts w:hint="eastAsia" w:ascii="Times New Roman" w:cs="Times New Roman"/>
          <w:b w:val="0"/>
          <w:bCs w:val="0"/>
          <w:sz w:val="24"/>
          <w:szCs w:val="24"/>
          <w:lang w:val="en-US" w:eastAsia="zh-CN"/>
        </w:rPr>
        <w:t>协助采购单位关于</w:t>
      </w:r>
      <w:r>
        <w:rPr>
          <w:rFonts w:hint="eastAsia" w:cs="Times New Roman"/>
          <w:b w:val="0"/>
          <w:bCs w:val="0"/>
          <w:sz w:val="24"/>
          <w:szCs w:val="24"/>
          <w:lang w:eastAsia="zh-CN"/>
        </w:rPr>
        <w:t>一种采用并联分流电阻法可控通断技术的蓄电池电压补偿装置</w:t>
      </w:r>
      <w:r>
        <w:rPr>
          <w:rFonts w:hint="eastAsia" w:ascii="Times New Roman" w:cs="Times New Roman"/>
          <w:b w:val="0"/>
          <w:bCs w:val="0"/>
          <w:sz w:val="24"/>
          <w:szCs w:val="24"/>
          <w:lang w:val="en-US" w:eastAsia="zh-CN"/>
        </w:rPr>
        <w:t>的零配件加工和测试，完成1套</w:t>
      </w:r>
      <w:r>
        <w:rPr>
          <w:rFonts w:hint="eastAsia" w:cs="Times New Roman"/>
          <w:b w:val="0"/>
          <w:bCs w:val="0"/>
          <w:sz w:val="24"/>
          <w:szCs w:val="24"/>
          <w:lang w:val="en-US" w:eastAsia="zh-CN"/>
        </w:rPr>
        <w:t>装置</w:t>
      </w:r>
      <w:r>
        <w:rPr>
          <w:rFonts w:hint="eastAsia" w:ascii="Times New Roman" w:cs="Times New Roman"/>
          <w:b w:val="0"/>
          <w:bCs w:val="0"/>
          <w:sz w:val="24"/>
          <w:szCs w:val="24"/>
          <w:lang w:val="en-US" w:eastAsia="zh-CN"/>
        </w:rPr>
        <w:t>组装工作，并配合现场测试与功能调试。</w:t>
      </w:r>
    </w:p>
    <w:p>
      <w:pPr>
        <w:keepNext/>
        <w:keepLines/>
        <w:pageBreakBefore w:val="0"/>
        <w:widowControl w:val="0"/>
        <w:kinsoku/>
        <w:wordWrap/>
        <w:overflowPunct/>
        <w:topLinePunct w:val="0"/>
        <w:autoSpaceDE/>
        <w:autoSpaceDN/>
        <w:bidi w:val="0"/>
        <w:adjustRightInd/>
        <w:snapToGrid/>
        <w:spacing w:before="156" w:beforeLines="50" w:after="156" w:afterLines="50" w:line="240" w:lineRule="auto"/>
        <w:ind w:left="0" w:leftChars="0" w:firstLine="0" w:firstLineChars="0"/>
        <w:textAlignment w:val="auto"/>
        <w:outlineLvl w:val="0"/>
        <w:rPr>
          <w:rFonts w:ascii="宋体"/>
          <w:b/>
          <w:bCs/>
          <w:kern w:val="44"/>
          <w:sz w:val="32"/>
          <w:szCs w:val="44"/>
        </w:rPr>
      </w:pPr>
    </w:p>
    <w:p>
      <w:pPr>
        <w:keepNext/>
        <w:keepLines/>
        <w:numPr>
          <w:ilvl w:val="0"/>
          <w:numId w:val="2"/>
        </w:numPr>
        <w:spacing w:before="156" w:beforeLines="50" w:after="156" w:afterLines="50" w:line="360" w:lineRule="auto"/>
        <w:ind w:firstLine="643" w:firstLineChars="0"/>
        <w:jc w:val="left"/>
        <w:outlineLvl w:val="0"/>
        <w:rPr>
          <w:rFonts w:ascii="宋体"/>
          <w:b/>
          <w:bCs/>
          <w:kern w:val="44"/>
          <w:sz w:val="32"/>
          <w:szCs w:val="44"/>
        </w:rPr>
      </w:pPr>
      <w:bookmarkStart w:id="16" w:name="_Toc509005146"/>
      <w:bookmarkStart w:id="17" w:name="_Toc12132_WPSOffice_Level1"/>
      <w:r>
        <w:rPr>
          <w:rFonts w:hint="eastAsia" w:ascii="宋体"/>
          <w:b/>
          <w:bCs/>
          <w:kern w:val="44"/>
          <w:sz w:val="32"/>
          <w:szCs w:val="44"/>
        </w:rPr>
        <w:t>其他要求</w:t>
      </w:r>
      <w:bookmarkEnd w:id="16"/>
      <w:bookmarkEnd w:id="17"/>
    </w:p>
    <w:p>
      <w:pPr>
        <w:pStyle w:val="13"/>
        <w:numPr>
          <w:ilvl w:val="1"/>
          <w:numId w:val="8"/>
        </w:numPr>
        <w:ind w:firstLine="562"/>
        <w:jc w:val="left"/>
        <w:outlineLvl w:val="1"/>
        <w:rPr>
          <w:b/>
          <w:sz w:val="28"/>
        </w:rPr>
      </w:pPr>
      <w:r>
        <w:rPr>
          <w:rFonts w:hint="eastAsia"/>
          <w:b/>
          <w:sz w:val="28"/>
        </w:rPr>
        <w:t>项目进度</w:t>
      </w:r>
    </w:p>
    <w:p>
      <w:pPr>
        <w:numPr>
          <w:ilvl w:val="2"/>
          <w:numId w:val="9"/>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投标方必须响应并承诺下列要求：投标方应在建议书中根据招标方要求的服务、产品交付日期，投标方应明确对最短可行项目进度的承诺。</w:t>
      </w:r>
    </w:p>
    <w:p>
      <w:pPr>
        <w:pStyle w:val="13"/>
        <w:numPr>
          <w:ilvl w:val="1"/>
          <w:numId w:val="8"/>
        </w:numPr>
        <w:ind w:firstLine="562"/>
        <w:outlineLvl w:val="1"/>
        <w:rPr>
          <w:b/>
          <w:sz w:val="28"/>
        </w:rPr>
      </w:pPr>
      <w:r>
        <w:rPr>
          <w:rFonts w:hint="eastAsia"/>
          <w:b/>
          <w:sz w:val="28"/>
        </w:rPr>
        <w:t>项目联络</w:t>
      </w:r>
    </w:p>
    <w:p>
      <w:pPr>
        <w:numPr>
          <w:ilvl w:val="2"/>
          <w:numId w:val="10"/>
        </w:numPr>
        <w:spacing w:line="360" w:lineRule="auto"/>
        <w:ind w:firstLine="480"/>
        <w:rPr>
          <w:rFonts w:ascii="宋体"/>
          <w:sz w:val="24"/>
          <w:szCs w:val="24"/>
        </w:rPr>
      </w:pPr>
      <w:r>
        <w:rPr>
          <w:rFonts w:hint="eastAsia" w:ascii="宋体"/>
          <w:sz w:val="24"/>
          <w:szCs w:val="24"/>
        </w:rPr>
        <w:t>为审查和确认本项目的工作方案，便于合同按期执行，在项目实施中需召开多次联络会。计划在招标方所在地根据需要可进行多次。</w:t>
      </w:r>
    </w:p>
    <w:p>
      <w:pPr>
        <w:spacing w:line="360" w:lineRule="auto"/>
        <w:ind w:firstLine="480"/>
        <w:rPr>
          <w:rFonts w:ascii="宋体"/>
          <w:sz w:val="24"/>
          <w:szCs w:val="24"/>
        </w:rPr>
      </w:pPr>
      <w:r>
        <w:rPr>
          <w:rFonts w:hint="eastAsia" w:ascii="宋体"/>
          <w:sz w:val="24"/>
          <w:szCs w:val="24"/>
        </w:rPr>
        <w:t>联络会的内容如下：</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11"/>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3"/>
        <w:numPr>
          <w:ilvl w:val="1"/>
          <w:numId w:val="8"/>
        </w:numPr>
        <w:ind w:firstLine="562"/>
        <w:outlineLvl w:val="1"/>
        <w:rPr>
          <w:b/>
          <w:sz w:val="28"/>
        </w:rPr>
      </w:pPr>
      <w:r>
        <w:rPr>
          <w:rFonts w:hint="eastAsia"/>
          <w:b/>
          <w:sz w:val="28"/>
        </w:rPr>
        <w:t>评审与验收</w:t>
      </w:r>
    </w:p>
    <w:p>
      <w:pPr>
        <w:numPr>
          <w:ilvl w:val="2"/>
          <w:numId w:val="12"/>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12"/>
        </w:numPr>
        <w:spacing w:line="360" w:lineRule="auto"/>
        <w:ind w:firstLine="480"/>
        <w:rPr>
          <w:rFonts w:ascii="宋体"/>
          <w:sz w:val="24"/>
          <w:szCs w:val="24"/>
        </w:rPr>
      </w:pPr>
      <w:r>
        <w:rPr>
          <w:rFonts w:ascii="宋体"/>
          <w:sz w:val="24"/>
          <w:szCs w:val="24"/>
        </w:rPr>
        <w:t>招标方可根据合同及</w:t>
      </w:r>
      <w:r>
        <w:rPr>
          <w:rFonts w:hint="eastAsia" w:ascii="宋体"/>
          <w:sz w:val="24"/>
          <w:szCs w:val="24"/>
          <w:lang w:val="en-US" w:eastAsia="zh-CN"/>
        </w:rPr>
        <w:t>技术规范书等</w:t>
      </w:r>
      <w:r>
        <w:rPr>
          <w:rFonts w:ascii="宋体"/>
          <w:sz w:val="24"/>
          <w:szCs w:val="24"/>
        </w:rPr>
        <w:t>有关规定进行修改和补充,经双方确认后形成验收文件作为验收依据。</w:t>
      </w:r>
      <w:r>
        <w:rPr>
          <w:rFonts w:hint="eastAsia" w:ascii="宋体"/>
          <w:sz w:val="24"/>
          <w:szCs w:val="24"/>
          <w:lang w:val="en-US" w:eastAsia="zh-CN"/>
        </w:rPr>
        <w:t>收货</w:t>
      </w:r>
      <w:r>
        <w:rPr>
          <w:rFonts w:ascii="宋体"/>
          <w:sz w:val="24"/>
          <w:szCs w:val="24"/>
        </w:rPr>
        <w:t>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3"/>
        <w:numPr>
          <w:ilvl w:val="1"/>
          <w:numId w:val="8"/>
        </w:numPr>
        <w:ind w:firstLine="562"/>
        <w:outlineLvl w:val="1"/>
        <w:rPr>
          <w:b/>
          <w:sz w:val="28"/>
        </w:rPr>
      </w:pPr>
      <w:r>
        <w:rPr>
          <w:rFonts w:hint="eastAsia"/>
          <w:b/>
          <w:sz w:val="28"/>
        </w:rPr>
        <w:t>技术资料和文件</w:t>
      </w:r>
    </w:p>
    <w:p>
      <w:pPr>
        <w:numPr>
          <w:ilvl w:val="2"/>
          <w:numId w:val="13"/>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bookmarkStart w:id="21" w:name="_GoBack"/>
      <w:bookmarkEnd w:id="21"/>
    </w:p>
    <w:p>
      <w:pPr>
        <w:numPr>
          <w:ilvl w:val="2"/>
          <w:numId w:val="13"/>
        </w:numPr>
        <w:spacing w:line="360" w:lineRule="auto"/>
        <w:ind w:firstLine="480"/>
        <w:rPr>
          <w:rFonts w:ascii="宋体"/>
          <w:sz w:val="24"/>
          <w:szCs w:val="24"/>
        </w:rPr>
      </w:pPr>
      <w:r>
        <w:rPr>
          <w:rFonts w:hint="eastAsia" w:ascii="宋体"/>
          <w:sz w:val="24"/>
          <w:szCs w:val="24"/>
        </w:rPr>
        <w:t>提供的图纸应符合标准规格。</w:t>
      </w:r>
    </w:p>
    <w:p>
      <w:pPr>
        <w:keepNext w:val="0"/>
        <w:keepLines w:val="0"/>
        <w:pageBreakBefore w:val="0"/>
        <w:widowControl w:val="0"/>
        <w:numPr>
          <w:ilvl w:val="2"/>
          <w:numId w:val="13"/>
        </w:numPr>
        <w:kinsoku/>
        <w:wordWrap/>
        <w:overflowPunct/>
        <w:topLinePunct w:val="0"/>
        <w:autoSpaceDE/>
        <w:autoSpaceDN/>
        <w:bidi w:val="0"/>
        <w:adjustRightInd/>
        <w:snapToGrid/>
        <w:spacing w:line="360" w:lineRule="auto"/>
        <w:ind w:firstLine="480"/>
        <w:textAlignment w:val="auto"/>
        <w:rPr>
          <w:rFonts w:ascii="宋体"/>
          <w:sz w:val="24"/>
          <w:szCs w:val="24"/>
        </w:rPr>
      </w:pPr>
      <w:r>
        <w:rPr>
          <w:rFonts w:hint="eastAsia" w:ascii="宋体"/>
          <w:sz w:val="24"/>
          <w:szCs w:val="24"/>
        </w:rPr>
        <w:t>投标方应向招标方提供项目的所有交付物（电子版）。</w:t>
      </w:r>
    </w:p>
    <w:p>
      <w:pPr>
        <w:pStyle w:val="14"/>
        <w:keepNext w:val="0"/>
        <w:keepLines w:val="0"/>
        <w:pageBreakBefore w:val="0"/>
        <w:widowControl w:val="0"/>
        <w:numPr>
          <w:ilvl w:val="2"/>
          <w:numId w:val="0"/>
        </w:numPr>
        <w:kinsoku/>
        <w:wordWrap/>
        <w:overflowPunct/>
        <w:topLinePunct w:val="0"/>
        <w:autoSpaceDE/>
        <w:autoSpaceDN/>
        <w:bidi w:val="0"/>
        <w:adjustRightInd/>
        <w:snapToGrid/>
        <w:spacing w:line="360" w:lineRule="auto"/>
        <w:ind w:firstLine="482" w:firstLineChars="200"/>
        <w:textAlignment w:val="auto"/>
        <w:rPr>
          <w:u w:val="single"/>
        </w:rPr>
      </w:pPr>
      <w:r>
        <w:rPr>
          <w:rFonts w:hint="eastAsia" w:ascii="宋体" w:hAnsi="Times New Roman" w:eastAsia="宋体" w:cs="Times New Roman"/>
          <w:b/>
          <w:bCs/>
          <w:kern w:val="2"/>
          <w:sz w:val="24"/>
          <w:szCs w:val="24"/>
          <w:lang w:val="en-US" w:eastAsia="zh-CN" w:bidi="ar-SA"/>
        </w:rPr>
        <w:t xml:space="preserve">5.4.4 </w:t>
      </w:r>
      <w:r>
        <w:rPr>
          <w:rFonts w:hint="eastAsia" w:ascii="宋体" w:hAnsi="Times New Roman" w:cs="Times New Roman"/>
          <w:b/>
          <w:bCs/>
          <w:kern w:val="2"/>
          <w:sz w:val="24"/>
          <w:szCs w:val="24"/>
          <w:u w:val="none"/>
          <w:lang w:val="en-US" w:eastAsia="zh-CN" w:bidi="ar-SA"/>
        </w:rPr>
        <w:t xml:space="preserve"> </w:t>
      </w:r>
      <w:r>
        <w:rPr>
          <w:rFonts w:hint="eastAsia" w:ascii="宋体" w:hAnsi="Times New Roman" w:eastAsia="宋体" w:cs="Times New Roman"/>
          <w:kern w:val="2"/>
          <w:sz w:val="24"/>
          <w:szCs w:val="24"/>
          <w:u w:val="none"/>
          <w:lang w:val="en-US" w:eastAsia="zh-CN" w:bidi="ar-SA"/>
        </w:rPr>
        <w:t>若采购人有需要，</w:t>
      </w:r>
      <w:r>
        <w:rPr>
          <w:rFonts w:hint="eastAsia" w:ascii="宋体" w:hAnsi="Times New Roman" w:cs="Times New Roman"/>
          <w:kern w:val="2"/>
          <w:sz w:val="24"/>
          <w:szCs w:val="24"/>
          <w:u w:val="none"/>
          <w:lang w:val="en-US" w:eastAsia="zh-CN" w:bidi="ar-SA"/>
        </w:rPr>
        <w:t>投标方</w:t>
      </w:r>
      <w:r>
        <w:rPr>
          <w:rFonts w:hint="eastAsia" w:ascii="宋体" w:hAnsi="Times New Roman" w:eastAsia="宋体" w:cs="Times New Roman"/>
          <w:kern w:val="2"/>
          <w:sz w:val="24"/>
          <w:szCs w:val="24"/>
          <w:u w:val="none"/>
          <w:lang w:val="en-US" w:eastAsia="zh-CN" w:bidi="ar-SA"/>
        </w:rPr>
        <w:t>应为采购人编写论文配合提供素材，协助采购人编制专利申请材料。</w:t>
      </w:r>
    </w:p>
    <w:p>
      <w:pPr>
        <w:pStyle w:val="13"/>
        <w:numPr>
          <w:ilvl w:val="1"/>
          <w:numId w:val="8"/>
        </w:numPr>
        <w:ind w:firstLine="562"/>
        <w:jc w:val="left"/>
        <w:outlineLvl w:val="1"/>
        <w:rPr>
          <w:b/>
          <w:sz w:val="28"/>
        </w:rPr>
      </w:pPr>
      <w:r>
        <w:rPr>
          <w:rFonts w:hint="eastAsia"/>
          <w:b/>
          <w:sz w:val="28"/>
        </w:rPr>
        <w:t>售后服务</w:t>
      </w:r>
    </w:p>
    <w:p>
      <w:pPr>
        <w:numPr>
          <w:ilvl w:val="2"/>
          <w:numId w:val="14"/>
        </w:numPr>
        <w:spacing w:line="360" w:lineRule="auto"/>
        <w:ind w:firstLine="480"/>
        <w:rPr>
          <w:rFonts w:ascii="宋体"/>
          <w:sz w:val="24"/>
          <w:szCs w:val="24"/>
        </w:rPr>
      </w:pPr>
      <w:r>
        <w:rPr>
          <w:rFonts w:ascii="宋体"/>
          <w:sz w:val="24"/>
          <w:szCs w:val="24"/>
        </w:rPr>
        <w:t>合同签订后，响应</w:t>
      </w:r>
      <w:bookmarkStart w:id="18" w:name="_Toc72320160"/>
      <w:bookmarkStart w:id="19" w:name="_Toc103761492"/>
      <w:bookmarkStart w:id="20" w:name="_Toc110765302"/>
      <w:r>
        <w:rPr>
          <w:rFonts w:ascii="宋体"/>
          <w:sz w:val="24"/>
          <w:szCs w:val="24"/>
        </w:rPr>
        <w:t>方应指定负责本项目的项目经理，负责协调项目实施全过程的各项工作，如项目进度、测试验收等。</w:t>
      </w:r>
    </w:p>
    <w:p>
      <w:pPr>
        <w:numPr>
          <w:ilvl w:val="2"/>
          <w:numId w:val="14"/>
        </w:numPr>
        <w:spacing w:line="360" w:lineRule="auto"/>
        <w:ind w:firstLine="480"/>
        <w:rPr>
          <w:rFonts w:ascii="宋体"/>
          <w:sz w:val="24"/>
          <w:szCs w:val="24"/>
        </w:rPr>
      </w:pPr>
      <w:r>
        <w:rPr>
          <w:rFonts w:ascii="宋体"/>
          <w:sz w:val="24"/>
          <w:szCs w:val="24"/>
        </w:rPr>
        <w:t>保证期内，响应</w:t>
      </w:r>
      <w:bookmarkEnd w:id="18"/>
      <w:bookmarkEnd w:id="19"/>
      <w:bookmarkEnd w:id="20"/>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小时内通过远程和现场用户相配合的方式解决问题或提出解决方案供用户参考，若仍无法解决则在下一</w:t>
      </w:r>
      <w:r>
        <w:rPr>
          <w:rFonts w:hint="eastAsia" w:ascii="宋体"/>
          <w:sz w:val="24"/>
          <w:szCs w:val="24"/>
        </w:rPr>
        <w:t>48</w:t>
      </w:r>
      <w:r>
        <w:rPr>
          <w:rFonts w:ascii="宋体"/>
          <w:sz w:val="24"/>
          <w:szCs w:val="24"/>
        </w:rPr>
        <w:t>小时内派工程师现场解决问题。</w:t>
      </w:r>
    </w:p>
    <w:p>
      <w:pPr>
        <w:ind w:firstLine="0" w:firstLineChars="0"/>
      </w:pPr>
    </w:p>
    <w:p>
      <w:pPr>
        <w:ind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jc w:val="right"/>
    </w:pP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6457950" cy="5133975"/>
          <wp:effectExtent l="0" t="0" r="0" b="9525"/>
          <wp:wrapNone/>
          <wp:docPr id="1" name="图片 3" descr="Creat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CreateImage"/>
                  <pic:cNvPicPr>
                    <a:picLocks noChangeAspect="1"/>
                  </pic:cNvPicPr>
                </pic:nvPicPr>
                <pic:blipFill>
                  <a:blip r:embed="rId1"/>
                  <a:stretch>
                    <a:fillRect/>
                  </a:stretch>
                </pic:blipFill>
                <pic:spPr>
                  <a:xfrm>
                    <a:off x="0" y="0"/>
                    <a:ext cx="6457950" cy="5133975"/>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eastAsia"/>
        <w:color w:val="auto"/>
      </w:rPr>
    </w:lvl>
    <w:lvl w:ilvl="2" w:tentative="0">
      <w:start w:val="1"/>
      <w:numFmt w:val="decimal"/>
      <w:pStyle w:val="14"/>
      <w:isLgl/>
      <w:suff w:val="space"/>
      <w:lvlText w:val="%1.%2.%3"/>
      <w:lvlJc w:val="left"/>
      <w:pPr>
        <w:ind w:left="0" w:firstLine="0"/>
      </w:pPr>
      <w:rPr>
        <w:rFonts w:hint="eastAsia"/>
        <w:b/>
        <w:i w:val="0"/>
        <w:color w:val="auto"/>
        <w:sz w:val="24"/>
        <w:szCs w:val="28"/>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29944D32"/>
    <w:multiLevelType w:val="multilevel"/>
    <w:tmpl w:val="29944D32"/>
    <w:lvl w:ilvl="0" w:tentative="0">
      <w:start w:val="1"/>
      <w:numFmt w:val="decimal"/>
      <w:lvlText w:val="%1."/>
      <w:lvlJc w:val="left"/>
      <w:pPr>
        <w:ind w:left="-643"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2D084262"/>
    <w:multiLevelType w:val="multilevel"/>
    <w:tmpl w:val="2D084262"/>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636C69A8"/>
    <w:multiLevelType w:val="multilevel"/>
    <w:tmpl w:val="636C69A8"/>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8">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9">
    <w:nsid w:val="64E207D0"/>
    <w:multiLevelType w:val="multilevel"/>
    <w:tmpl w:val="64E207D0"/>
    <w:lvl w:ilvl="0" w:tentative="0">
      <w:start w:val="1"/>
      <w:numFmt w:val="decimal"/>
      <w:lvlText w:val="%1"/>
      <w:lvlJc w:val="left"/>
      <w:pPr>
        <w:ind w:left="425" w:hanging="425"/>
      </w:pPr>
      <w:rPr>
        <w:rFonts w:hint="eastAsia"/>
      </w:rPr>
    </w:lvl>
    <w:lvl w:ilvl="1" w:tentative="0">
      <w:start w:val="1"/>
      <w:numFmt w:val="decimal"/>
      <w:lvlText w:val="1.%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1">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2">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 w:numId="3">
    <w:abstractNumId w:val="9"/>
  </w:num>
  <w:num w:numId="4">
    <w:abstractNumId w:val="7"/>
  </w:num>
  <w:num w:numId="5">
    <w:abstractNumId w:val="12"/>
  </w:num>
  <w:num w:numId="6">
    <w:abstractNumId w:val="13"/>
  </w:num>
  <w:num w:numId="7">
    <w:abstractNumId w:val="3"/>
  </w:num>
  <w:num w:numId="8">
    <w:abstractNumId w:val="5"/>
  </w:num>
  <w:num w:numId="9">
    <w:abstractNumId w:val="10"/>
  </w:num>
  <w:num w:numId="10">
    <w:abstractNumId w:val="11"/>
  </w:num>
  <w:num w:numId="11">
    <w:abstractNumId w:val="4"/>
  </w:num>
  <w:num w:numId="12">
    <w:abstractNumId w:val="8"/>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64EC6"/>
    <w:rsid w:val="0012724E"/>
    <w:rsid w:val="0029513F"/>
    <w:rsid w:val="002E74C1"/>
    <w:rsid w:val="006B0651"/>
    <w:rsid w:val="00A444A2"/>
    <w:rsid w:val="00B73152"/>
    <w:rsid w:val="00C510B7"/>
    <w:rsid w:val="00D1758E"/>
    <w:rsid w:val="00DA5318"/>
    <w:rsid w:val="01FF0DD2"/>
    <w:rsid w:val="02E3014B"/>
    <w:rsid w:val="032C3071"/>
    <w:rsid w:val="09352129"/>
    <w:rsid w:val="09C43F96"/>
    <w:rsid w:val="0AB2177F"/>
    <w:rsid w:val="0B744BD6"/>
    <w:rsid w:val="0BA01F76"/>
    <w:rsid w:val="0BA51502"/>
    <w:rsid w:val="0C661367"/>
    <w:rsid w:val="0EEB6487"/>
    <w:rsid w:val="10BB784F"/>
    <w:rsid w:val="11120404"/>
    <w:rsid w:val="11D93657"/>
    <w:rsid w:val="11FC4B10"/>
    <w:rsid w:val="129A37B9"/>
    <w:rsid w:val="15F54EAB"/>
    <w:rsid w:val="16085764"/>
    <w:rsid w:val="16B87951"/>
    <w:rsid w:val="16E3355D"/>
    <w:rsid w:val="178105D0"/>
    <w:rsid w:val="19BA37C2"/>
    <w:rsid w:val="1BCD79A9"/>
    <w:rsid w:val="1BD14CC5"/>
    <w:rsid w:val="1C216483"/>
    <w:rsid w:val="1D194148"/>
    <w:rsid w:val="1D8E7572"/>
    <w:rsid w:val="1DE06110"/>
    <w:rsid w:val="1E767DB7"/>
    <w:rsid w:val="21046F3F"/>
    <w:rsid w:val="23EE4181"/>
    <w:rsid w:val="24175346"/>
    <w:rsid w:val="25564EC6"/>
    <w:rsid w:val="28902F18"/>
    <w:rsid w:val="297D4D9D"/>
    <w:rsid w:val="29CF181E"/>
    <w:rsid w:val="2A63541A"/>
    <w:rsid w:val="2A766639"/>
    <w:rsid w:val="2D5C51E6"/>
    <w:rsid w:val="2E462777"/>
    <w:rsid w:val="2E512356"/>
    <w:rsid w:val="2E6E5285"/>
    <w:rsid w:val="2F071ECD"/>
    <w:rsid w:val="3118389A"/>
    <w:rsid w:val="31CB2CCC"/>
    <w:rsid w:val="33100796"/>
    <w:rsid w:val="3523213B"/>
    <w:rsid w:val="36EB1726"/>
    <w:rsid w:val="38E9376A"/>
    <w:rsid w:val="3A617AD4"/>
    <w:rsid w:val="3ADB4C7C"/>
    <w:rsid w:val="3B9F29DF"/>
    <w:rsid w:val="3E012549"/>
    <w:rsid w:val="3FFE458D"/>
    <w:rsid w:val="40BA6EBE"/>
    <w:rsid w:val="410B59C4"/>
    <w:rsid w:val="42161379"/>
    <w:rsid w:val="44536725"/>
    <w:rsid w:val="451D1671"/>
    <w:rsid w:val="467D0B27"/>
    <w:rsid w:val="46B3080E"/>
    <w:rsid w:val="48775B70"/>
    <w:rsid w:val="494537F8"/>
    <w:rsid w:val="4D6115C1"/>
    <w:rsid w:val="4E416971"/>
    <w:rsid w:val="4E4F5A44"/>
    <w:rsid w:val="4FA50C7C"/>
    <w:rsid w:val="501E4BFD"/>
    <w:rsid w:val="51D41BDF"/>
    <w:rsid w:val="559F12E5"/>
    <w:rsid w:val="559F1D86"/>
    <w:rsid w:val="5A5652BF"/>
    <w:rsid w:val="5A8E79A0"/>
    <w:rsid w:val="5BB82905"/>
    <w:rsid w:val="5C091B4A"/>
    <w:rsid w:val="5DBB20D6"/>
    <w:rsid w:val="5DE81CA0"/>
    <w:rsid w:val="5E186BEC"/>
    <w:rsid w:val="5EC01983"/>
    <w:rsid w:val="5FBB761D"/>
    <w:rsid w:val="60A16616"/>
    <w:rsid w:val="61204966"/>
    <w:rsid w:val="61E66CAD"/>
    <w:rsid w:val="6350047D"/>
    <w:rsid w:val="646E5FE2"/>
    <w:rsid w:val="65B358D0"/>
    <w:rsid w:val="665B52A8"/>
    <w:rsid w:val="67161EDC"/>
    <w:rsid w:val="67DF4D79"/>
    <w:rsid w:val="698D482D"/>
    <w:rsid w:val="6BF85481"/>
    <w:rsid w:val="6E2132C1"/>
    <w:rsid w:val="6E5F7F3D"/>
    <w:rsid w:val="6F034BA0"/>
    <w:rsid w:val="6F0D5441"/>
    <w:rsid w:val="6FED6C05"/>
    <w:rsid w:val="72D4230E"/>
    <w:rsid w:val="72FD79B8"/>
    <w:rsid w:val="75113A9C"/>
    <w:rsid w:val="754607E1"/>
    <w:rsid w:val="75D160D9"/>
    <w:rsid w:val="782765AD"/>
    <w:rsid w:val="7A555F1E"/>
    <w:rsid w:val="7AB855E2"/>
    <w:rsid w:val="7D2F3A6C"/>
    <w:rsid w:val="7D543CAC"/>
    <w:rsid w:val="7E097F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outlineLvl w:val="1"/>
    </w:pPr>
    <w:rPr>
      <w:rFonts w:hAnsi="Arial"/>
      <w:b/>
      <w:bCs/>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5">
    <w:name w:val="Plain Text"/>
    <w:basedOn w:val="1"/>
    <w:qFormat/>
    <w:uiPriority w:val="0"/>
    <w:pPr>
      <w:ind w:firstLine="0" w:firstLineChars="0"/>
    </w:pPr>
    <w:rPr>
      <w:rFonts w:ascii="宋体" w:hAnsi="Courier New" w:cs="Courier New"/>
      <w:szCs w:val="21"/>
    </w:rPr>
  </w:style>
  <w:style w:type="paragraph" w:styleId="6">
    <w:name w:val="footer"/>
    <w:basedOn w:val="1"/>
    <w:qFormat/>
    <w:uiPriority w:val="0"/>
    <w:pPr>
      <w:tabs>
        <w:tab w:val="center" w:pos="4153"/>
        <w:tab w:val="right" w:pos="8306"/>
      </w:tabs>
      <w:snapToGrid w:val="0"/>
      <w:ind w:firstLine="0" w:firstLineChars="0"/>
      <w:jc w:val="left"/>
    </w:pPr>
    <w:rPr>
      <w:kern w:val="0"/>
      <w:sz w:val="18"/>
      <w:szCs w:val="18"/>
    </w:rPr>
  </w:style>
  <w:style w:type="paragraph" w:styleId="7">
    <w:name w:val="header"/>
    <w:basedOn w:val="1"/>
    <w:qFormat/>
    <w:uiPriority w:val="0"/>
    <w:pPr>
      <w:tabs>
        <w:tab w:val="center" w:pos="4153"/>
        <w:tab w:val="right" w:pos="8306"/>
      </w:tabs>
      <w:snapToGrid w:val="0"/>
      <w:ind w:firstLine="0" w:firstLineChars="0"/>
      <w:jc w:val="center"/>
    </w:pPr>
    <w:rPr>
      <w:kern w:val="0"/>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WPSOffice手动目录 1"/>
    <w:qFormat/>
    <w:uiPriority w:val="0"/>
    <w:rPr>
      <w:rFonts w:ascii="Calibri" w:hAnsi="Calibri" w:eastAsia="宋体" w:cs="Times New Roman"/>
      <w:lang w:val="en-US" w:eastAsia="zh-CN" w:bidi="ar-SA"/>
    </w:rPr>
  </w:style>
  <w:style w:type="paragraph" w:customStyle="1" w:styleId="13">
    <w:name w:val="样式2"/>
    <w:basedOn w:val="1"/>
    <w:qFormat/>
    <w:uiPriority w:val="0"/>
    <w:pPr>
      <w:spacing w:line="360" w:lineRule="auto"/>
    </w:pPr>
    <w:rPr>
      <w:rFonts w:ascii="宋体"/>
      <w:sz w:val="24"/>
      <w:szCs w:val="24"/>
    </w:rPr>
  </w:style>
  <w:style w:type="paragraph" w:customStyle="1" w:styleId="14">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522</Words>
  <Characters>2982</Characters>
  <Lines>24</Lines>
  <Paragraphs>6</Paragraphs>
  <TotalTime>1</TotalTime>
  <ScaleCrop>false</ScaleCrop>
  <LinksUpToDate>false</LinksUpToDate>
  <CharactersWithSpaces>3498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2020-07-21T07:26:00Z</dcterms:created>
  <dc:creator>郭斌</dc:creator>
  <cp:lastModifiedBy>刘国盛</cp:lastModifiedBy>
  <dcterms:modified xsi:type="dcterms:W3CDTF">2024-05-13T00:55:32Z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1F3109C424E044C2B55CB0C2715AA3A7</vt:lpwstr>
  </property>
</Properties>
</file>