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wordWrap/>
        <w:overflowPunct/>
        <w:topLinePunct w:val="0"/>
        <w:bidi w:val="0"/>
        <w:snapToGrid/>
        <w:spacing w:line="560" w:lineRule="exact"/>
        <w:jc w:val="center"/>
        <w:textAlignment w:val="auto"/>
        <w:rPr>
          <w:rFonts w:hint="eastAsia" w:ascii="方正小标宋_GBK" w:hAnsi="方正小标宋_GBK" w:eastAsia="方正小标宋_GBK" w:cs="方正小标宋_GBK"/>
          <w:b/>
          <w:bCs/>
          <w:sz w:val="44"/>
          <w:szCs w:val="44"/>
          <w:lang w:val="en-US" w:eastAsia="zh-CN"/>
        </w:rPr>
      </w:pPr>
      <w:bookmarkStart w:id="0" w:name="_GoBack"/>
      <w:r>
        <w:rPr>
          <w:rFonts w:hint="eastAsia" w:ascii="方正小标宋_GBK" w:hAnsi="方正小标宋_GBK" w:eastAsia="方正小标宋_GBK" w:cs="方正小标宋_GBK"/>
          <w:b/>
          <w:bCs/>
          <w:sz w:val="44"/>
          <w:szCs w:val="44"/>
        </w:rPr>
        <w:t>广州电力交易中心市场服务品牌宣传组画</w:t>
      </w:r>
      <w:bookmarkEnd w:id="0"/>
      <w:r>
        <w:rPr>
          <w:rFonts w:hint="eastAsia" w:ascii="方正小标宋_GBK" w:hAnsi="方正小标宋_GBK" w:eastAsia="方正小标宋_GBK" w:cs="方正小标宋_GBK"/>
          <w:b/>
          <w:bCs/>
          <w:sz w:val="44"/>
          <w:szCs w:val="44"/>
        </w:rPr>
        <w:t>和视频制作优化服务</w:t>
      </w:r>
      <w:r>
        <w:rPr>
          <w:rFonts w:hint="eastAsia" w:ascii="方正小标宋_GBK" w:hAnsi="方正小标宋_GBK" w:eastAsia="方正小标宋_GBK" w:cs="方正小标宋_GBK"/>
          <w:b/>
          <w:bCs/>
          <w:sz w:val="44"/>
          <w:szCs w:val="44"/>
          <w:lang w:val="en-US" w:eastAsia="zh-CN"/>
        </w:rPr>
        <w:t>技术规范书</w:t>
      </w:r>
    </w:p>
    <w:p>
      <w:pPr>
        <w:keepNext w:val="0"/>
        <w:keepLines w:val="0"/>
        <w:pageBreakBefore w:val="0"/>
        <w:widowControl w:val="0"/>
        <w:wordWrap/>
        <w:overflowPunct/>
        <w:topLinePunct w:val="0"/>
        <w:bidi w:val="0"/>
        <w:snapToGrid/>
        <w:spacing w:line="560" w:lineRule="exact"/>
        <w:textAlignment w:val="auto"/>
        <w:rPr>
          <w:rFonts w:hint="eastAsia"/>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lang w:val="en-US" w:eastAsia="zh-CN"/>
        </w:rPr>
        <w:t>一、</w:t>
      </w:r>
      <w:r>
        <w:rPr>
          <w:rFonts w:hint="eastAsia" w:ascii="黑体" w:hAnsi="黑体" w:eastAsia="黑体" w:cs="黑体"/>
          <w:sz w:val="32"/>
          <w:szCs w:val="32"/>
        </w:rPr>
        <w:t>质量要求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1.服务</w:t>
      </w:r>
      <w:r>
        <w:rPr>
          <w:rFonts w:hint="eastAsia" w:ascii="仿宋_GB2312" w:hAnsi="仿宋_GB2312" w:eastAsia="仿宋_GB2312" w:cs="仿宋_GB2312"/>
          <w:sz w:val="32"/>
          <w:szCs w:val="32"/>
        </w:rPr>
        <w:t>单位负责组织工作人员执行广州电力交易中心市场服务品牌宣传组画和视频制作优化服务项目要求，按照</w:t>
      </w:r>
      <w:r>
        <w:rPr>
          <w:rFonts w:hint="eastAsia" w:ascii="仿宋_GB2312" w:hAnsi="仿宋_GB2312" w:eastAsia="仿宋_GB2312" w:cs="仿宋_GB2312"/>
          <w:sz w:val="32"/>
          <w:szCs w:val="32"/>
          <w:lang w:eastAsia="zh-CN"/>
        </w:rPr>
        <w:t>采购单位</w:t>
      </w:r>
      <w:r>
        <w:rPr>
          <w:rFonts w:hint="eastAsia" w:ascii="仿宋_GB2312" w:hAnsi="仿宋_GB2312" w:eastAsia="仿宋_GB2312" w:cs="仿宋_GB2312"/>
          <w:sz w:val="32"/>
          <w:szCs w:val="32"/>
        </w:rPr>
        <w:t>项目需求开展素材采集、文字采编及相关之制作，项目开展过程中双方应结合实际情况随时进行沟通、协商解决问题，确保宣传服务项目高质量完成。</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每次拍摄素材数量、质量及制作出品的相关视频。需参考各类媒体上稿标准，达到</w:t>
      </w:r>
      <w:r>
        <w:rPr>
          <w:rFonts w:hint="eastAsia" w:ascii="仿宋_GB2312" w:hAnsi="仿宋_GB2312" w:eastAsia="仿宋_GB2312" w:cs="仿宋_GB2312"/>
          <w:sz w:val="32"/>
          <w:szCs w:val="32"/>
          <w:lang w:eastAsia="zh-CN"/>
        </w:rPr>
        <w:t>采购单位</w:t>
      </w:r>
      <w:r>
        <w:rPr>
          <w:rFonts w:hint="eastAsia" w:ascii="仿宋_GB2312" w:hAnsi="仿宋_GB2312" w:eastAsia="仿宋_GB2312" w:cs="仿宋_GB2312"/>
          <w:sz w:val="32"/>
          <w:szCs w:val="32"/>
        </w:rPr>
        <w:t>认可，并验收确认。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lang w:eastAsia="zh-CN"/>
        </w:rPr>
        <w:t>服务单位</w:t>
      </w:r>
      <w:r>
        <w:rPr>
          <w:rFonts w:hint="eastAsia" w:ascii="仿宋_GB2312" w:hAnsi="仿宋_GB2312" w:eastAsia="仿宋_GB2312" w:cs="仿宋_GB2312"/>
          <w:sz w:val="32"/>
          <w:szCs w:val="32"/>
        </w:rPr>
        <w:t>在完成本合同约某项服务项目后，</w:t>
      </w:r>
      <w:r>
        <w:rPr>
          <w:rFonts w:hint="eastAsia" w:ascii="仿宋_GB2312" w:hAnsi="仿宋_GB2312" w:eastAsia="仿宋_GB2312" w:cs="仿宋_GB2312"/>
          <w:sz w:val="32"/>
          <w:szCs w:val="32"/>
          <w:lang w:eastAsia="zh-CN"/>
        </w:rPr>
        <w:t>采购单位</w:t>
      </w:r>
      <w:r>
        <w:rPr>
          <w:rFonts w:hint="eastAsia" w:ascii="仿宋_GB2312" w:hAnsi="仿宋_GB2312" w:eastAsia="仿宋_GB2312" w:cs="仿宋_GB2312"/>
          <w:sz w:val="32"/>
          <w:szCs w:val="32"/>
        </w:rPr>
        <w:t>应及时组织相关验收工作。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lang w:val="en-US" w:eastAsia="zh-CN"/>
        </w:rPr>
        <w:t>二、</w:t>
      </w:r>
      <w:r>
        <w:rPr>
          <w:rFonts w:hint="eastAsia" w:ascii="黑体" w:hAnsi="黑体" w:eastAsia="黑体" w:cs="黑体"/>
          <w:sz w:val="32"/>
          <w:szCs w:val="32"/>
        </w:rPr>
        <w:t>主要技术要求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广州电力交易中心市场服务品牌宣传组画和视频制作优化服务技术服务项目基本要求：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提供图片/影视拍摄制作服务，要求呈现的文字、内容、画面、声音等各个方面均需达到国内较高影视制作水平；</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版权要求：</w:t>
      </w:r>
      <w:r>
        <w:rPr>
          <w:rFonts w:hint="eastAsia" w:ascii="仿宋_GB2312" w:hAnsi="仿宋_GB2312" w:eastAsia="仿宋_GB2312" w:cs="仿宋_GB2312"/>
          <w:sz w:val="32"/>
          <w:szCs w:val="32"/>
          <w:lang w:val="en-US" w:eastAsia="zh-CN"/>
        </w:rPr>
        <w:t>服务单位</w:t>
      </w:r>
      <w:r>
        <w:rPr>
          <w:rFonts w:hint="eastAsia" w:ascii="仿宋_GB2312" w:hAnsi="仿宋_GB2312" w:eastAsia="仿宋_GB2312" w:cs="仿宋_GB2312"/>
          <w:sz w:val="32"/>
          <w:szCs w:val="32"/>
        </w:rPr>
        <w:t>对于其构思的创作概念（意念、文本及影音），尤其是设计作品必须保证没有侵犯他人的合法权益并符合国家法律规定。否则，如因此而产生赔偿责任或给</w:t>
      </w:r>
      <w:r>
        <w:rPr>
          <w:rFonts w:hint="eastAsia" w:ascii="仿宋_GB2312" w:hAnsi="仿宋_GB2312" w:eastAsia="仿宋_GB2312" w:cs="仿宋_GB2312"/>
          <w:sz w:val="32"/>
          <w:szCs w:val="32"/>
          <w:lang w:eastAsia="zh-CN"/>
        </w:rPr>
        <w:t>采购单位</w:t>
      </w:r>
      <w:r>
        <w:rPr>
          <w:rFonts w:hint="eastAsia" w:ascii="仿宋_GB2312" w:hAnsi="仿宋_GB2312" w:eastAsia="仿宋_GB2312" w:cs="仿宋_GB2312"/>
          <w:sz w:val="32"/>
          <w:szCs w:val="32"/>
        </w:rPr>
        <w:t>造成任何损失的，均由</w:t>
      </w:r>
      <w:r>
        <w:rPr>
          <w:rFonts w:hint="eastAsia" w:ascii="仿宋_GB2312" w:hAnsi="仿宋_GB2312" w:eastAsia="仿宋_GB2312" w:cs="仿宋_GB2312"/>
          <w:sz w:val="32"/>
          <w:szCs w:val="32"/>
          <w:lang w:eastAsia="zh-CN"/>
        </w:rPr>
        <w:t>服务单位</w:t>
      </w:r>
      <w:r>
        <w:rPr>
          <w:rFonts w:hint="eastAsia" w:ascii="仿宋_GB2312" w:hAnsi="仿宋_GB2312" w:eastAsia="仿宋_GB2312" w:cs="仿宋_GB2312"/>
          <w:sz w:val="32"/>
          <w:szCs w:val="32"/>
        </w:rPr>
        <w:t>承担或赔偿；</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要求根据</w:t>
      </w:r>
      <w:r>
        <w:rPr>
          <w:rFonts w:hint="eastAsia" w:ascii="仿宋_GB2312" w:hAnsi="仿宋_GB2312" w:eastAsia="仿宋_GB2312" w:cs="仿宋_GB2312"/>
          <w:sz w:val="32"/>
          <w:szCs w:val="32"/>
          <w:lang w:val="en-US" w:eastAsia="zh-CN"/>
        </w:rPr>
        <w:t>服务单位</w:t>
      </w:r>
      <w:r>
        <w:rPr>
          <w:rFonts w:hint="eastAsia" w:ascii="仿宋_GB2312" w:hAnsi="仿宋_GB2312" w:eastAsia="仿宋_GB2312" w:cs="仿宋_GB2312"/>
          <w:sz w:val="32"/>
          <w:szCs w:val="32"/>
        </w:rPr>
        <w:t>要求的版权字体进行制作；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4.服务单位</w:t>
      </w:r>
      <w:r>
        <w:rPr>
          <w:rFonts w:hint="eastAsia" w:ascii="仿宋_GB2312" w:hAnsi="仿宋_GB2312" w:eastAsia="仿宋_GB2312" w:cs="仿宋_GB2312"/>
          <w:sz w:val="32"/>
          <w:szCs w:val="32"/>
        </w:rPr>
        <w:t>根据项目进度需求或</w:t>
      </w:r>
      <w:r>
        <w:rPr>
          <w:rFonts w:hint="eastAsia" w:ascii="仿宋_GB2312" w:hAnsi="仿宋_GB2312" w:eastAsia="仿宋_GB2312" w:cs="仿宋_GB2312"/>
          <w:sz w:val="32"/>
          <w:szCs w:val="32"/>
          <w:lang w:val="en-US" w:eastAsia="zh-CN"/>
        </w:rPr>
        <w:t>服务单位</w:t>
      </w:r>
      <w:r>
        <w:rPr>
          <w:rFonts w:hint="eastAsia" w:ascii="仿宋_GB2312" w:hAnsi="仿宋_GB2312" w:eastAsia="仿宋_GB2312" w:cs="仿宋_GB2312"/>
          <w:sz w:val="32"/>
          <w:szCs w:val="32"/>
        </w:rPr>
        <w:t>方请求进行服务成果验收，服务成果包括项目的最终成片（有字幕版及无字幕版）和工程文件、以及全部视频、图片素材；</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5.采购单位</w:t>
      </w:r>
      <w:r>
        <w:rPr>
          <w:rFonts w:hint="eastAsia" w:ascii="仿宋_GB2312" w:hAnsi="仿宋_GB2312" w:eastAsia="仿宋_GB2312" w:cs="仿宋_GB2312"/>
          <w:sz w:val="32"/>
          <w:szCs w:val="32"/>
        </w:rPr>
        <w:t>服务成果的交付时间由</w:t>
      </w:r>
      <w:r>
        <w:rPr>
          <w:rFonts w:hint="eastAsia" w:ascii="仿宋_GB2312" w:hAnsi="仿宋_GB2312" w:eastAsia="仿宋_GB2312" w:cs="仿宋_GB2312"/>
          <w:sz w:val="32"/>
          <w:szCs w:val="32"/>
          <w:lang w:val="en-US" w:eastAsia="zh-CN"/>
        </w:rPr>
        <w:t>采购单位</w:t>
      </w:r>
      <w:r>
        <w:rPr>
          <w:rFonts w:hint="eastAsia" w:ascii="仿宋_GB2312" w:hAnsi="仿宋_GB2312" w:eastAsia="仿宋_GB2312" w:cs="仿宋_GB2312"/>
          <w:sz w:val="32"/>
          <w:szCs w:val="32"/>
        </w:rPr>
        <w:t>在采购需求中指定，交付地点为</w:t>
      </w:r>
      <w:r>
        <w:rPr>
          <w:rFonts w:hint="eastAsia" w:ascii="仿宋_GB2312" w:hAnsi="仿宋_GB2312" w:eastAsia="仿宋_GB2312" w:cs="仿宋_GB2312"/>
          <w:sz w:val="32"/>
          <w:szCs w:val="32"/>
          <w:lang w:val="en-US" w:eastAsia="zh-CN"/>
        </w:rPr>
        <w:t>采购单位</w:t>
      </w:r>
      <w:r>
        <w:rPr>
          <w:rFonts w:hint="eastAsia" w:ascii="仿宋_GB2312" w:hAnsi="仿宋_GB2312" w:eastAsia="仿宋_GB2312" w:cs="仿宋_GB2312"/>
          <w:sz w:val="32"/>
          <w:szCs w:val="32"/>
        </w:rPr>
        <w:t>办公场所或</w:t>
      </w:r>
      <w:r>
        <w:rPr>
          <w:rFonts w:hint="eastAsia" w:ascii="仿宋_GB2312" w:hAnsi="仿宋_GB2312" w:eastAsia="仿宋_GB2312" w:cs="仿宋_GB2312"/>
          <w:sz w:val="32"/>
          <w:szCs w:val="32"/>
          <w:lang w:val="en-US" w:eastAsia="zh-CN"/>
        </w:rPr>
        <w:t>采购单位</w:t>
      </w:r>
      <w:r>
        <w:rPr>
          <w:rFonts w:hint="eastAsia" w:ascii="仿宋_GB2312" w:hAnsi="仿宋_GB2312" w:eastAsia="仿宋_GB2312" w:cs="仿宋_GB2312"/>
          <w:sz w:val="32"/>
          <w:szCs w:val="32"/>
        </w:rPr>
        <w:t>指定的场所；</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6.采购单位</w:t>
      </w:r>
      <w:r>
        <w:rPr>
          <w:rFonts w:hint="eastAsia" w:ascii="仿宋_GB2312" w:hAnsi="仿宋_GB2312" w:eastAsia="仿宋_GB2312" w:cs="仿宋_GB2312"/>
          <w:sz w:val="32"/>
          <w:szCs w:val="32"/>
        </w:rPr>
        <w:t>通过验收、且</w:t>
      </w:r>
      <w:r>
        <w:rPr>
          <w:rFonts w:hint="eastAsia" w:ascii="仿宋_GB2312" w:hAnsi="仿宋_GB2312" w:eastAsia="仿宋_GB2312" w:cs="仿宋_GB2312"/>
          <w:sz w:val="32"/>
          <w:szCs w:val="32"/>
          <w:lang w:val="en-US" w:eastAsia="zh-CN"/>
        </w:rPr>
        <w:t>服务单位</w:t>
      </w:r>
      <w:r>
        <w:rPr>
          <w:rFonts w:hint="eastAsia" w:ascii="仿宋_GB2312" w:hAnsi="仿宋_GB2312" w:eastAsia="仿宋_GB2312" w:cs="仿宋_GB2312"/>
          <w:sz w:val="32"/>
          <w:szCs w:val="32"/>
        </w:rPr>
        <w:t>交付完成服务成果的，</w:t>
      </w:r>
      <w:r>
        <w:rPr>
          <w:rFonts w:hint="eastAsia" w:ascii="仿宋_GB2312" w:hAnsi="仿宋_GB2312" w:eastAsia="仿宋_GB2312" w:cs="仿宋_GB2312"/>
          <w:sz w:val="32"/>
          <w:szCs w:val="32"/>
          <w:lang w:val="en-US" w:eastAsia="zh-CN"/>
        </w:rPr>
        <w:t>采购单位</w:t>
      </w:r>
      <w:r>
        <w:rPr>
          <w:rFonts w:hint="eastAsia" w:ascii="仿宋_GB2312" w:hAnsi="仿宋_GB2312" w:eastAsia="仿宋_GB2312" w:cs="仿宋_GB2312"/>
          <w:sz w:val="32"/>
          <w:szCs w:val="32"/>
        </w:rPr>
        <w:t>和</w:t>
      </w:r>
      <w:r>
        <w:rPr>
          <w:rFonts w:hint="eastAsia" w:ascii="仿宋_GB2312" w:hAnsi="仿宋_GB2312" w:eastAsia="仿宋_GB2312" w:cs="仿宋_GB2312"/>
          <w:sz w:val="32"/>
          <w:szCs w:val="32"/>
          <w:lang w:val="en-US" w:eastAsia="zh-CN"/>
        </w:rPr>
        <w:t>服务单位</w:t>
      </w:r>
      <w:r>
        <w:rPr>
          <w:rFonts w:hint="eastAsia" w:ascii="仿宋_GB2312" w:hAnsi="仿宋_GB2312" w:eastAsia="仿宋_GB2312" w:cs="仿宋_GB2312"/>
          <w:sz w:val="32"/>
          <w:szCs w:val="32"/>
        </w:rPr>
        <w:t>双方代表共同在项目验收单上签字认可，作为双方结算的凭证之一。</w:t>
      </w:r>
      <w:r>
        <w:rPr>
          <w:rFonts w:hint="eastAsia" w:ascii="仿宋_GB2312" w:hAnsi="仿宋_GB2312" w:eastAsia="仿宋_GB2312" w:cs="仿宋_GB2312"/>
          <w:sz w:val="32"/>
          <w:szCs w:val="32"/>
          <w:lang w:val="en-US" w:eastAsia="zh-CN"/>
        </w:rPr>
        <w:t>服务单位</w:t>
      </w:r>
      <w:r>
        <w:rPr>
          <w:rFonts w:hint="eastAsia" w:ascii="仿宋_GB2312" w:hAnsi="仿宋_GB2312" w:eastAsia="仿宋_GB2312" w:cs="仿宋_GB2312"/>
          <w:sz w:val="32"/>
          <w:szCs w:val="32"/>
        </w:rPr>
        <w:t>无代表签字的，视为</w:t>
      </w:r>
      <w:r>
        <w:rPr>
          <w:rFonts w:hint="eastAsia" w:ascii="仿宋_GB2312" w:hAnsi="仿宋_GB2312" w:eastAsia="仿宋_GB2312" w:cs="仿宋_GB2312"/>
          <w:sz w:val="32"/>
          <w:szCs w:val="32"/>
          <w:lang w:val="en-US" w:eastAsia="zh-CN"/>
        </w:rPr>
        <w:t>服务单位</w:t>
      </w:r>
      <w:r>
        <w:rPr>
          <w:rFonts w:hint="eastAsia" w:ascii="仿宋_GB2312" w:hAnsi="仿宋_GB2312" w:eastAsia="仿宋_GB2312" w:cs="仿宋_GB2312"/>
          <w:sz w:val="32"/>
          <w:szCs w:val="32"/>
        </w:rPr>
        <w:t>未按约定交付，</w:t>
      </w:r>
      <w:r>
        <w:rPr>
          <w:rFonts w:hint="eastAsia" w:ascii="仿宋_GB2312" w:hAnsi="仿宋_GB2312" w:eastAsia="仿宋_GB2312" w:cs="仿宋_GB2312"/>
          <w:sz w:val="32"/>
          <w:szCs w:val="32"/>
          <w:lang w:val="en-US" w:eastAsia="zh-CN"/>
        </w:rPr>
        <w:t>采购单位</w:t>
      </w:r>
      <w:r>
        <w:rPr>
          <w:rFonts w:hint="eastAsia" w:ascii="仿宋_GB2312" w:hAnsi="仿宋_GB2312" w:eastAsia="仿宋_GB2312" w:cs="仿宋_GB2312"/>
          <w:sz w:val="32"/>
          <w:szCs w:val="32"/>
        </w:rPr>
        <w:t>有权拒绝支付服务款项；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必须开具增值税专用发票；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8.服务单位对于本项目</w:t>
      </w:r>
      <w:r>
        <w:rPr>
          <w:rFonts w:hint="eastAsia" w:ascii="仿宋_GB2312" w:hAnsi="仿宋_GB2312" w:eastAsia="仿宋_GB2312" w:cs="仿宋_GB2312"/>
          <w:sz w:val="32"/>
          <w:szCs w:val="32"/>
        </w:rPr>
        <w:t>所拍摄、制作、编写的全部影视、文字作品及素材著作权均属于</w:t>
      </w:r>
      <w:r>
        <w:rPr>
          <w:rFonts w:hint="eastAsia" w:ascii="仿宋_GB2312" w:hAnsi="仿宋_GB2312" w:eastAsia="仿宋_GB2312" w:cs="仿宋_GB2312"/>
          <w:sz w:val="32"/>
          <w:szCs w:val="32"/>
          <w:lang w:val="en-US" w:eastAsia="zh-CN"/>
        </w:rPr>
        <w:t>采购单位</w:t>
      </w:r>
      <w:r>
        <w:rPr>
          <w:rFonts w:hint="eastAsia" w:ascii="仿宋_GB2312" w:hAnsi="仿宋_GB2312" w:eastAsia="仿宋_GB2312" w:cs="仿宋_GB2312"/>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9.</w:t>
      </w:r>
      <w:r>
        <w:rPr>
          <w:rFonts w:hint="eastAsia" w:ascii="仿宋_GB2312" w:hAnsi="仿宋_GB2312" w:eastAsia="仿宋_GB2312" w:cs="仿宋_GB2312"/>
          <w:sz w:val="32"/>
          <w:szCs w:val="32"/>
        </w:rPr>
        <w:t>因拍摄</w:t>
      </w:r>
      <w:r>
        <w:rPr>
          <w:rFonts w:hint="eastAsia" w:ascii="仿宋_GB2312" w:hAnsi="仿宋_GB2312" w:eastAsia="仿宋_GB2312" w:cs="仿宋_GB2312"/>
          <w:sz w:val="32"/>
          <w:szCs w:val="32"/>
          <w:lang w:val="en-US" w:eastAsia="zh-CN"/>
        </w:rPr>
        <w:t>服务单位</w:t>
      </w:r>
      <w:r>
        <w:rPr>
          <w:rFonts w:hint="eastAsia" w:ascii="仿宋_GB2312" w:hAnsi="仿宋_GB2312" w:eastAsia="仿宋_GB2312" w:cs="仿宋_GB2312"/>
          <w:sz w:val="32"/>
          <w:szCs w:val="32"/>
        </w:rPr>
        <w:t>产生的交通、食宿等费用由</w:t>
      </w:r>
      <w:r>
        <w:rPr>
          <w:rFonts w:hint="eastAsia" w:ascii="仿宋_GB2312" w:hAnsi="仿宋_GB2312" w:eastAsia="仿宋_GB2312" w:cs="仿宋_GB2312"/>
          <w:sz w:val="32"/>
          <w:szCs w:val="32"/>
          <w:lang w:eastAsia="zh-CN"/>
        </w:rPr>
        <w:t>服务单位</w:t>
      </w:r>
      <w:r>
        <w:rPr>
          <w:rFonts w:hint="eastAsia" w:ascii="仿宋_GB2312" w:hAnsi="仿宋_GB2312" w:eastAsia="仿宋_GB2312" w:cs="仿宋_GB2312"/>
          <w:sz w:val="32"/>
          <w:szCs w:val="32"/>
        </w:rPr>
        <w:t>自身承担</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三、作品格式要求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（一）</w:t>
      </w:r>
      <w:r>
        <w:rPr>
          <w:rFonts w:hint="eastAsia" w:ascii="楷体_GB2312" w:hAnsi="楷体_GB2312" w:eastAsia="楷体_GB2312" w:cs="楷体_GB2312"/>
          <w:sz w:val="32"/>
          <w:szCs w:val="32"/>
          <w:lang w:val="en-US" w:eastAsia="zh-CN"/>
        </w:rPr>
        <w:t>作品</w:t>
      </w:r>
      <w:r>
        <w:rPr>
          <w:rFonts w:hint="eastAsia" w:ascii="楷体_GB2312" w:hAnsi="楷体_GB2312" w:eastAsia="楷体_GB2312" w:cs="楷体_GB2312"/>
          <w:sz w:val="32"/>
          <w:szCs w:val="32"/>
        </w:rPr>
        <w:t>类别及格式要求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.短视频</w:t>
      </w:r>
      <w:r>
        <w:rPr>
          <w:rFonts w:hint="eastAsia" w:ascii="仿宋_GB2312" w:hAnsi="仿宋_GB2312" w:eastAsia="仿宋_GB2312" w:cs="仿宋_GB2312"/>
          <w:sz w:val="32"/>
          <w:szCs w:val="32"/>
          <w:lang w:val="en-US" w:eastAsia="zh-CN"/>
        </w:rPr>
        <w:t>作品</w:t>
      </w:r>
      <w:r>
        <w:rPr>
          <w:rFonts w:hint="eastAsia" w:ascii="仿宋_GB2312" w:hAnsi="仿宋_GB2312" w:eastAsia="仿宋_GB2312" w:cs="仿宋_GB2312"/>
          <w:sz w:val="32"/>
          <w:szCs w:val="32"/>
        </w:rPr>
        <w:t>。作品时长</w:t>
      </w:r>
      <w:r>
        <w:rPr>
          <w:rFonts w:hint="eastAsia" w:ascii="仿宋_GB2312" w:hAnsi="仿宋_GB2312" w:eastAsia="仿宋_GB2312" w:cs="仿宋_GB2312"/>
          <w:sz w:val="32"/>
          <w:szCs w:val="32"/>
          <w:lang w:val="en-US" w:eastAsia="zh-CN"/>
        </w:rPr>
        <w:t>为60秒以内</w:t>
      </w:r>
      <w:r>
        <w:rPr>
          <w:rFonts w:hint="eastAsia" w:ascii="仿宋_GB2312" w:hAnsi="仿宋_GB2312" w:eastAsia="仿宋_GB2312" w:cs="仿宋_GB2312"/>
          <w:sz w:val="32"/>
          <w:szCs w:val="32"/>
        </w:rPr>
        <w:t>，作品格式为MP4，作品分辨率1280*720及以上</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.图画</w:t>
      </w:r>
      <w:r>
        <w:rPr>
          <w:rFonts w:hint="eastAsia" w:ascii="仿宋_GB2312" w:hAnsi="仿宋_GB2312" w:eastAsia="仿宋_GB2312" w:cs="仿宋_GB2312"/>
          <w:sz w:val="32"/>
          <w:szCs w:val="32"/>
          <w:lang w:val="en-US" w:eastAsia="zh-CN"/>
        </w:rPr>
        <w:t>作品</w:t>
      </w:r>
      <w:r>
        <w:rPr>
          <w:rFonts w:hint="eastAsia" w:ascii="仿宋_GB2312" w:hAnsi="仿宋_GB2312" w:eastAsia="仿宋_GB2312" w:cs="仿宋_GB2312"/>
          <w:sz w:val="32"/>
          <w:szCs w:val="32"/>
        </w:rPr>
        <w:t>。作品单幅（长图）或组照（每组不超过8幅，必须为连贯故事），作品格式为 JPEG，长边不低于1600像素。</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（二）作品</w:t>
      </w:r>
      <w:r>
        <w:rPr>
          <w:rFonts w:hint="eastAsia" w:ascii="楷体_GB2312" w:hAnsi="楷体_GB2312" w:eastAsia="楷体_GB2312" w:cs="楷体_GB2312"/>
          <w:sz w:val="32"/>
          <w:szCs w:val="32"/>
          <w:lang w:val="en-US" w:eastAsia="zh-CN"/>
        </w:rPr>
        <w:t>整体</w:t>
      </w:r>
      <w:r>
        <w:rPr>
          <w:rFonts w:hint="eastAsia" w:ascii="楷体_GB2312" w:hAnsi="楷体_GB2312" w:eastAsia="楷体_GB2312" w:cs="楷体_GB2312"/>
          <w:sz w:val="32"/>
          <w:szCs w:val="32"/>
        </w:rPr>
        <w:t>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1.故事要主题鲜明，传达清晰的、独特的品牌理念和品牌核心价值，叙事合理，有层层递进的情节，能够引发受众情感认同和价值认同。</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2.故事要结构合理、布局严谨、制作精良，整体连贯顺畅，具有良好感官体验。</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3.故事作品版权无争议，作品如系依据其他作品改编，</w:t>
      </w:r>
      <w:r>
        <w:rPr>
          <w:rFonts w:hint="eastAsia" w:ascii="仿宋_GB2312" w:hAnsi="仿宋_GB2312" w:eastAsia="仿宋_GB2312" w:cs="仿宋_GB2312"/>
          <w:sz w:val="32"/>
          <w:szCs w:val="32"/>
          <w:lang w:val="en-US" w:eastAsia="zh-CN"/>
        </w:rPr>
        <w:t>服务单位</w:t>
      </w:r>
      <w:r>
        <w:rPr>
          <w:rFonts w:hint="eastAsia" w:ascii="仿宋_GB2312" w:hAnsi="仿宋_GB2312" w:eastAsia="仿宋_GB2312" w:cs="仿宋_GB2312"/>
          <w:sz w:val="32"/>
          <w:szCs w:val="32"/>
        </w:rPr>
        <w:t>应保证已合法享有原作品的改编权并保证活动组织方合法拥有申报作品的使用权。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（三）作品详细要求</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1"/>
        <w:gridCol w:w="70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850" w:type="dxa"/>
            <w:gridSpan w:val="2"/>
            <w:shd w:val="clear" w:color="auto" w:fill="9CC2E5" w:themeFill="accent1" w:themeFillTint="99"/>
            <w:vAlign w:val="center"/>
          </w:tcPr>
          <w:p>
            <w:pPr>
              <w:keepNext w:val="0"/>
              <w:keepLines w:val="0"/>
              <w:pageBreakBefore w:val="0"/>
              <w:widowControl w:val="0"/>
              <w:tabs>
                <w:tab w:val="left" w:pos="1425"/>
              </w:tabs>
              <w:kinsoku w:val="0"/>
              <w:wordWrap/>
              <w:overflowPunct/>
              <w:topLinePunct w:val="0"/>
              <w:autoSpaceDE w:val="0"/>
              <w:autoSpaceDN w:val="0"/>
              <w:bidi w:val="0"/>
              <w:snapToGrid/>
              <w:spacing w:line="560" w:lineRule="exact"/>
              <w:jc w:val="center"/>
              <w:textAlignment w:val="auto"/>
              <w:rPr>
                <w:rFonts w:ascii="仿宋_GB2312" w:eastAsia="仿宋_GB2312" w:hAnsiTheme="minorEastAsia"/>
                <w:kern w:val="44"/>
              </w:rPr>
            </w:pPr>
            <w:r>
              <w:rPr>
                <w:rFonts w:hint="eastAsia" w:ascii="仿宋_GB2312" w:eastAsia="仿宋_GB2312" w:hAnsiTheme="minorEastAsia"/>
                <w:kern w:val="44"/>
              </w:rPr>
              <w:t>共性指标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507" w:type="dxa"/>
            <w:vMerge w:val="restart"/>
            <w:vAlign w:val="center"/>
          </w:tcPr>
          <w:p>
            <w:pPr>
              <w:keepNext w:val="0"/>
              <w:keepLines w:val="0"/>
              <w:pageBreakBefore w:val="0"/>
              <w:widowControl w:val="0"/>
              <w:tabs>
                <w:tab w:val="left" w:pos="1425"/>
              </w:tabs>
              <w:wordWrap/>
              <w:overflowPunct/>
              <w:topLinePunct w:val="0"/>
              <w:bidi w:val="0"/>
              <w:snapToGrid/>
              <w:spacing w:line="560" w:lineRule="exact"/>
              <w:jc w:val="center"/>
              <w:textAlignment w:val="auto"/>
              <w:rPr>
                <w:rFonts w:ascii="仿宋_GB2312" w:hAnsi="黑体" w:eastAsia="仿宋_GB2312"/>
                <w:kern w:val="44"/>
              </w:rPr>
            </w:pPr>
            <w:r>
              <w:rPr>
                <w:rFonts w:hint="eastAsia" w:ascii="仿宋_GB2312" w:hAnsi="黑体" w:eastAsia="仿宋_GB2312"/>
                <w:kern w:val="44"/>
              </w:rPr>
              <w:t>价值力</w:t>
            </w:r>
          </w:p>
        </w:tc>
        <w:tc>
          <w:tcPr>
            <w:tcW w:w="7343" w:type="dxa"/>
            <w:vAlign w:val="center"/>
          </w:tcPr>
          <w:p>
            <w:pPr>
              <w:keepNext w:val="0"/>
              <w:keepLines w:val="0"/>
              <w:pageBreakBefore w:val="0"/>
              <w:widowControl w:val="0"/>
              <w:tabs>
                <w:tab w:val="left" w:pos="1425"/>
              </w:tabs>
              <w:kinsoku w:val="0"/>
              <w:wordWrap/>
              <w:overflowPunct/>
              <w:topLinePunct w:val="0"/>
              <w:autoSpaceDE w:val="0"/>
              <w:autoSpaceDN w:val="0"/>
              <w:bidi w:val="0"/>
              <w:snapToGrid/>
              <w:spacing w:line="560" w:lineRule="exact"/>
              <w:textAlignment w:val="auto"/>
              <w:rPr>
                <w:rFonts w:ascii="仿宋_GB2312" w:eastAsia="仿宋_GB2312" w:hAnsiTheme="minorEastAsia"/>
                <w:kern w:val="44"/>
              </w:rPr>
            </w:pPr>
            <w:r>
              <w:rPr>
                <w:rFonts w:ascii="仿宋_GB2312" w:hAnsi="黑体" w:eastAsia="仿宋_GB2312"/>
                <w:kern w:val="44"/>
              </w:rPr>
              <w:t>1.品牌知名度、</w:t>
            </w:r>
            <w:r>
              <w:rPr>
                <w:rFonts w:hint="eastAsia" w:ascii="仿宋_GB2312" w:hAnsi="黑体" w:eastAsia="仿宋_GB2312"/>
                <w:kern w:val="44"/>
              </w:rPr>
              <w:t>客户满意度、美誉度</w:t>
            </w:r>
            <w:r>
              <w:rPr>
                <w:rFonts w:ascii="仿宋_GB2312" w:hAnsi="黑体" w:eastAsia="仿宋_GB2312"/>
                <w:kern w:val="44"/>
              </w:rPr>
              <w:t>在行业内领先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507" w:type="dxa"/>
            <w:vMerge w:val="continue"/>
            <w:vAlign w:val="center"/>
          </w:tcPr>
          <w:p>
            <w:pPr>
              <w:keepNext w:val="0"/>
              <w:keepLines w:val="0"/>
              <w:pageBreakBefore w:val="0"/>
              <w:widowControl w:val="0"/>
              <w:tabs>
                <w:tab w:val="left" w:pos="1425"/>
              </w:tabs>
              <w:wordWrap/>
              <w:overflowPunct/>
              <w:topLinePunct w:val="0"/>
              <w:bidi w:val="0"/>
              <w:snapToGrid/>
              <w:spacing w:line="560" w:lineRule="exact"/>
              <w:jc w:val="center"/>
              <w:textAlignment w:val="auto"/>
              <w:rPr>
                <w:rFonts w:ascii="仿宋_GB2312" w:hAnsi="黑体" w:eastAsia="仿宋_GB2312"/>
                <w:kern w:val="44"/>
              </w:rPr>
            </w:pPr>
          </w:p>
        </w:tc>
        <w:tc>
          <w:tcPr>
            <w:tcW w:w="7343" w:type="dxa"/>
            <w:vAlign w:val="center"/>
          </w:tcPr>
          <w:p>
            <w:pPr>
              <w:keepNext w:val="0"/>
              <w:keepLines w:val="0"/>
              <w:pageBreakBefore w:val="0"/>
              <w:widowControl w:val="0"/>
              <w:tabs>
                <w:tab w:val="left" w:pos="1425"/>
              </w:tabs>
              <w:kinsoku w:val="0"/>
              <w:wordWrap/>
              <w:overflowPunct/>
              <w:topLinePunct w:val="0"/>
              <w:autoSpaceDE w:val="0"/>
              <w:autoSpaceDN w:val="0"/>
              <w:bidi w:val="0"/>
              <w:snapToGrid/>
              <w:spacing w:line="560" w:lineRule="exact"/>
              <w:textAlignment w:val="auto"/>
              <w:rPr>
                <w:rFonts w:ascii="仿宋_GB2312" w:eastAsia="仿宋_GB2312" w:hAnsiTheme="minorEastAsia"/>
                <w:kern w:val="44"/>
              </w:rPr>
            </w:pPr>
            <w:r>
              <w:rPr>
                <w:rFonts w:ascii="仿宋_GB2312" w:hAnsi="黑体" w:eastAsia="仿宋_GB2312"/>
                <w:kern w:val="44"/>
              </w:rPr>
              <w:t>2.充分体现品牌价值，巧妙传播品牌理念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507" w:type="dxa"/>
            <w:vMerge w:val="continue"/>
            <w:vAlign w:val="center"/>
          </w:tcPr>
          <w:p>
            <w:pPr>
              <w:keepNext w:val="0"/>
              <w:keepLines w:val="0"/>
              <w:pageBreakBefore w:val="0"/>
              <w:widowControl w:val="0"/>
              <w:tabs>
                <w:tab w:val="left" w:pos="1425"/>
              </w:tabs>
              <w:wordWrap/>
              <w:overflowPunct/>
              <w:topLinePunct w:val="0"/>
              <w:bidi w:val="0"/>
              <w:snapToGrid/>
              <w:spacing w:line="560" w:lineRule="exact"/>
              <w:jc w:val="center"/>
              <w:textAlignment w:val="auto"/>
              <w:rPr>
                <w:rFonts w:ascii="仿宋_GB2312" w:hAnsi="黑体" w:eastAsia="仿宋_GB2312"/>
                <w:kern w:val="44"/>
              </w:rPr>
            </w:pPr>
          </w:p>
        </w:tc>
        <w:tc>
          <w:tcPr>
            <w:tcW w:w="7343" w:type="dxa"/>
            <w:vAlign w:val="center"/>
          </w:tcPr>
          <w:p>
            <w:pPr>
              <w:keepNext w:val="0"/>
              <w:keepLines w:val="0"/>
              <w:pageBreakBefore w:val="0"/>
              <w:widowControl w:val="0"/>
              <w:tabs>
                <w:tab w:val="left" w:pos="1425"/>
              </w:tabs>
              <w:kinsoku w:val="0"/>
              <w:wordWrap/>
              <w:overflowPunct/>
              <w:topLinePunct w:val="0"/>
              <w:autoSpaceDE w:val="0"/>
              <w:autoSpaceDN w:val="0"/>
              <w:bidi w:val="0"/>
              <w:snapToGrid/>
              <w:spacing w:line="560" w:lineRule="exact"/>
              <w:textAlignment w:val="auto"/>
              <w:rPr>
                <w:rFonts w:ascii="仿宋_GB2312" w:eastAsia="仿宋_GB2312" w:hAnsiTheme="minorEastAsia"/>
                <w:kern w:val="44"/>
              </w:rPr>
            </w:pPr>
            <w:r>
              <w:rPr>
                <w:rFonts w:ascii="仿宋_GB2312" w:hAnsi="黑体" w:eastAsia="仿宋_GB2312"/>
                <w:kern w:val="44"/>
              </w:rPr>
              <w:t>3.紧密融合时代特征，有效传递正能量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507" w:type="dxa"/>
            <w:vMerge w:val="restart"/>
            <w:vAlign w:val="center"/>
          </w:tcPr>
          <w:p>
            <w:pPr>
              <w:keepNext w:val="0"/>
              <w:keepLines w:val="0"/>
              <w:pageBreakBefore w:val="0"/>
              <w:widowControl w:val="0"/>
              <w:tabs>
                <w:tab w:val="left" w:pos="1425"/>
              </w:tabs>
              <w:wordWrap/>
              <w:overflowPunct/>
              <w:topLinePunct w:val="0"/>
              <w:bidi w:val="0"/>
              <w:snapToGrid/>
              <w:spacing w:line="560" w:lineRule="exact"/>
              <w:jc w:val="center"/>
              <w:textAlignment w:val="auto"/>
              <w:rPr>
                <w:rFonts w:ascii="仿宋_GB2312" w:hAnsi="黑体" w:eastAsia="仿宋_GB2312"/>
                <w:kern w:val="44"/>
              </w:rPr>
            </w:pPr>
            <w:r>
              <w:rPr>
                <w:rFonts w:hint="eastAsia" w:ascii="仿宋_GB2312" w:hAnsi="黑体" w:eastAsia="仿宋_GB2312"/>
                <w:kern w:val="44"/>
              </w:rPr>
              <w:t>内容性</w:t>
            </w:r>
          </w:p>
        </w:tc>
        <w:tc>
          <w:tcPr>
            <w:tcW w:w="7343" w:type="dxa"/>
            <w:vAlign w:val="center"/>
          </w:tcPr>
          <w:p>
            <w:pPr>
              <w:keepNext w:val="0"/>
              <w:keepLines w:val="0"/>
              <w:pageBreakBefore w:val="0"/>
              <w:widowControl w:val="0"/>
              <w:tabs>
                <w:tab w:val="left" w:pos="1425"/>
              </w:tabs>
              <w:kinsoku w:val="0"/>
              <w:wordWrap/>
              <w:overflowPunct/>
              <w:topLinePunct w:val="0"/>
              <w:autoSpaceDE w:val="0"/>
              <w:autoSpaceDN w:val="0"/>
              <w:bidi w:val="0"/>
              <w:snapToGrid/>
              <w:spacing w:line="560" w:lineRule="exact"/>
              <w:textAlignment w:val="auto"/>
              <w:rPr>
                <w:rFonts w:ascii="仿宋_GB2312" w:eastAsia="仿宋_GB2312" w:hAnsiTheme="minorEastAsia"/>
                <w:kern w:val="44"/>
              </w:rPr>
            </w:pPr>
            <w:r>
              <w:rPr>
                <w:rFonts w:ascii="仿宋_GB2312" w:hAnsi="黑体" w:eastAsia="仿宋_GB2312"/>
                <w:kern w:val="44"/>
              </w:rPr>
              <w:t>1.有鲜明的主题和清晰完整的情节脉络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507" w:type="dxa"/>
            <w:vMerge w:val="continue"/>
            <w:vAlign w:val="center"/>
          </w:tcPr>
          <w:p>
            <w:pPr>
              <w:keepNext w:val="0"/>
              <w:keepLines w:val="0"/>
              <w:pageBreakBefore w:val="0"/>
              <w:widowControl w:val="0"/>
              <w:tabs>
                <w:tab w:val="left" w:pos="1425"/>
              </w:tabs>
              <w:wordWrap/>
              <w:overflowPunct/>
              <w:topLinePunct w:val="0"/>
              <w:bidi w:val="0"/>
              <w:snapToGrid/>
              <w:spacing w:line="560" w:lineRule="exact"/>
              <w:jc w:val="center"/>
              <w:textAlignment w:val="auto"/>
              <w:rPr>
                <w:rFonts w:ascii="仿宋_GB2312" w:hAnsi="黑体" w:eastAsia="仿宋_GB2312"/>
                <w:kern w:val="44"/>
              </w:rPr>
            </w:pPr>
          </w:p>
        </w:tc>
        <w:tc>
          <w:tcPr>
            <w:tcW w:w="7343" w:type="dxa"/>
            <w:vAlign w:val="center"/>
          </w:tcPr>
          <w:p>
            <w:pPr>
              <w:keepNext w:val="0"/>
              <w:keepLines w:val="0"/>
              <w:pageBreakBefore w:val="0"/>
              <w:widowControl w:val="0"/>
              <w:tabs>
                <w:tab w:val="left" w:pos="1425"/>
              </w:tabs>
              <w:kinsoku w:val="0"/>
              <w:wordWrap/>
              <w:overflowPunct/>
              <w:topLinePunct w:val="0"/>
              <w:autoSpaceDE w:val="0"/>
              <w:autoSpaceDN w:val="0"/>
              <w:bidi w:val="0"/>
              <w:snapToGrid/>
              <w:spacing w:line="560" w:lineRule="exact"/>
              <w:textAlignment w:val="auto"/>
              <w:rPr>
                <w:rFonts w:ascii="仿宋_GB2312" w:eastAsia="仿宋_GB2312" w:hAnsiTheme="minorEastAsia"/>
                <w:kern w:val="44"/>
              </w:rPr>
            </w:pPr>
            <w:r>
              <w:rPr>
                <w:rFonts w:ascii="仿宋_GB2312" w:hAnsi="黑体" w:eastAsia="仿宋_GB2312"/>
                <w:kern w:val="44"/>
              </w:rPr>
              <w:t>2.内容逻辑严密，有效输出信息且紧扣主题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507" w:type="dxa"/>
            <w:vMerge w:val="continue"/>
            <w:vAlign w:val="center"/>
          </w:tcPr>
          <w:p>
            <w:pPr>
              <w:keepNext w:val="0"/>
              <w:keepLines w:val="0"/>
              <w:pageBreakBefore w:val="0"/>
              <w:widowControl w:val="0"/>
              <w:tabs>
                <w:tab w:val="left" w:pos="1425"/>
              </w:tabs>
              <w:wordWrap/>
              <w:overflowPunct/>
              <w:topLinePunct w:val="0"/>
              <w:bidi w:val="0"/>
              <w:snapToGrid/>
              <w:spacing w:line="560" w:lineRule="exact"/>
              <w:jc w:val="center"/>
              <w:textAlignment w:val="auto"/>
              <w:rPr>
                <w:rFonts w:ascii="仿宋_GB2312" w:hAnsi="黑体" w:eastAsia="仿宋_GB2312"/>
                <w:kern w:val="44"/>
              </w:rPr>
            </w:pPr>
          </w:p>
        </w:tc>
        <w:tc>
          <w:tcPr>
            <w:tcW w:w="7343" w:type="dxa"/>
            <w:vAlign w:val="center"/>
          </w:tcPr>
          <w:p>
            <w:pPr>
              <w:keepNext w:val="0"/>
              <w:keepLines w:val="0"/>
              <w:pageBreakBefore w:val="0"/>
              <w:widowControl w:val="0"/>
              <w:tabs>
                <w:tab w:val="left" w:pos="1425"/>
              </w:tabs>
              <w:kinsoku w:val="0"/>
              <w:wordWrap/>
              <w:overflowPunct/>
              <w:topLinePunct w:val="0"/>
              <w:autoSpaceDE w:val="0"/>
              <w:autoSpaceDN w:val="0"/>
              <w:bidi w:val="0"/>
              <w:snapToGrid/>
              <w:spacing w:line="560" w:lineRule="exact"/>
              <w:textAlignment w:val="auto"/>
              <w:rPr>
                <w:rFonts w:ascii="仿宋_GB2312" w:eastAsia="仿宋_GB2312" w:hAnsiTheme="minorEastAsia"/>
                <w:kern w:val="44"/>
              </w:rPr>
            </w:pPr>
            <w:r>
              <w:rPr>
                <w:rFonts w:ascii="仿宋_GB2312" w:hAnsi="黑体" w:eastAsia="仿宋_GB2312"/>
                <w:kern w:val="44"/>
              </w:rPr>
              <w:t>3.不同场景间连贯，节奏恰到好处，过渡设计巧妙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507" w:type="dxa"/>
            <w:vMerge w:val="continue"/>
            <w:vAlign w:val="center"/>
          </w:tcPr>
          <w:p>
            <w:pPr>
              <w:keepNext w:val="0"/>
              <w:keepLines w:val="0"/>
              <w:pageBreakBefore w:val="0"/>
              <w:widowControl w:val="0"/>
              <w:tabs>
                <w:tab w:val="left" w:pos="1425"/>
              </w:tabs>
              <w:wordWrap/>
              <w:overflowPunct/>
              <w:topLinePunct w:val="0"/>
              <w:bidi w:val="0"/>
              <w:snapToGrid/>
              <w:spacing w:line="560" w:lineRule="exact"/>
              <w:jc w:val="center"/>
              <w:textAlignment w:val="auto"/>
              <w:rPr>
                <w:rFonts w:ascii="仿宋_GB2312" w:hAnsi="黑体" w:eastAsia="仿宋_GB2312"/>
                <w:kern w:val="44"/>
              </w:rPr>
            </w:pPr>
          </w:p>
        </w:tc>
        <w:tc>
          <w:tcPr>
            <w:tcW w:w="7343" w:type="dxa"/>
            <w:vAlign w:val="center"/>
          </w:tcPr>
          <w:p>
            <w:pPr>
              <w:keepNext w:val="0"/>
              <w:keepLines w:val="0"/>
              <w:pageBreakBefore w:val="0"/>
              <w:widowControl w:val="0"/>
              <w:tabs>
                <w:tab w:val="left" w:pos="1425"/>
              </w:tabs>
              <w:kinsoku w:val="0"/>
              <w:wordWrap/>
              <w:overflowPunct/>
              <w:topLinePunct w:val="0"/>
              <w:autoSpaceDE w:val="0"/>
              <w:autoSpaceDN w:val="0"/>
              <w:bidi w:val="0"/>
              <w:snapToGrid/>
              <w:spacing w:line="560" w:lineRule="exact"/>
              <w:textAlignment w:val="auto"/>
              <w:rPr>
                <w:rFonts w:ascii="仿宋_GB2312" w:eastAsia="仿宋_GB2312" w:hAnsiTheme="minorEastAsia"/>
                <w:kern w:val="44"/>
              </w:rPr>
            </w:pPr>
            <w:r>
              <w:rPr>
                <w:rFonts w:ascii="仿宋_GB2312" w:hAnsi="黑体" w:eastAsia="仿宋_GB2312"/>
                <w:kern w:val="44"/>
              </w:rPr>
              <w:t>4.品牌在故事中发挥关键作用，品牌扮演的角色推动故事发展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507" w:type="dxa"/>
            <w:vMerge w:val="restart"/>
            <w:vAlign w:val="center"/>
          </w:tcPr>
          <w:p>
            <w:pPr>
              <w:keepNext w:val="0"/>
              <w:keepLines w:val="0"/>
              <w:pageBreakBefore w:val="0"/>
              <w:widowControl w:val="0"/>
              <w:tabs>
                <w:tab w:val="left" w:pos="1425"/>
              </w:tabs>
              <w:wordWrap/>
              <w:overflowPunct/>
              <w:topLinePunct w:val="0"/>
              <w:bidi w:val="0"/>
              <w:snapToGrid/>
              <w:spacing w:line="560" w:lineRule="exact"/>
              <w:jc w:val="center"/>
              <w:textAlignment w:val="auto"/>
              <w:rPr>
                <w:rFonts w:ascii="仿宋_GB2312" w:hAnsi="黑体" w:eastAsia="仿宋_GB2312"/>
                <w:kern w:val="44"/>
              </w:rPr>
            </w:pPr>
            <w:r>
              <w:rPr>
                <w:rFonts w:hint="eastAsia" w:ascii="仿宋_GB2312" w:hAnsi="黑体" w:eastAsia="仿宋_GB2312"/>
                <w:kern w:val="44"/>
              </w:rPr>
              <w:t>感染力</w:t>
            </w:r>
          </w:p>
        </w:tc>
        <w:tc>
          <w:tcPr>
            <w:tcW w:w="7343" w:type="dxa"/>
            <w:vAlign w:val="center"/>
          </w:tcPr>
          <w:p>
            <w:pPr>
              <w:keepNext w:val="0"/>
              <w:keepLines w:val="0"/>
              <w:pageBreakBefore w:val="0"/>
              <w:widowControl w:val="0"/>
              <w:tabs>
                <w:tab w:val="left" w:pos="1425"/>
              </w:tabs>
              <w:kinsoku w:val="0"/>
              <w:wordWrap/>
              <w:overflowPunct/>
              <w:topLinePunct w:val="0"/>
              <w:autoSpaceDE w:val="0"/>
              <w:autoSpaceDN w:val="0"/>
              <w:bidi w:val="0"/>
              <w:snapToGrid/>
              <w:spacing w:line="560" w:lineRule="exact"/>
              <w:textAlignment w:val="auto"/>
              <w:rPr>
                <w:rFonts w:ascii="仿宋_GB2312" w:eastAsia="仿宋_GB2312" w:hAnsiTheme="minorEastAsia"/>
                <w:kern w:val="44"/>
              </w:rPr>
            </w:pPr>
            <w:r>
              <w:rPr>
                <w:rFonts w:ascii="仿宋_GB2312" w:hAnsi="黑体" w:eastAsia="仿宋_GB2312"/>
                <w:kern w:val="44"/>
              </w:rPr>
              <w:t>1.故事主题或场景设计引人入胜，作品语言生动，有力吸引观众注意力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507" w:type="dxa"/>
            <w:vMerge w:val="continue"/>
            <w:vAlign w:val="center"/>
          </w:tcPr>
          <w:p>
            <w:pPr>
              <w:keepNext w:val="0"/>
              <w:keepLines w:val="0"/>
              <w:pageBreakBefore w:val="0"/>
              <w:widowControl w:val="0"/>
              <w:tabs>
                <w:tab w:val="left" w:pos="1425"/>
              </w:tabs>
              <w:wordWrap/>
              <w:overflowPunct/>
              <w:topLinePunct w:val="0"/>
              <w:bidi w:val="0"/>
              <w:snapToGrid/>
              <w:spacing w:line="560" w:lineRule="exact"/>
              <w:jc w:val="center"/>
              <w:textAlignment w:val="auto"/>
              <w:rPr>
                <w:rFonts w:ascii="仿宋_GB2312" w:hAnsi="黑体" w:eastAsia="仿宋_GB2312"/>
                <w:kern w:val="44"/>
              </w:rPr>
            </w:pPr>
          </w:p>
        </w:tc>
        <w:tc>
          <w:tcPr>
            <w:tcW w:w="7343" w:type="dxa"/>
            <w:vAlign w:val="center"/>
          </w:tcPr>
          <w:p>
            <w:pPr>
              <w:keepNext w:val="0"/>
              <w:keepLines w:val="0"/>
              <w:pageBreakBefore w:val="0"/>
              <w:widowControl w:val="0"/>
              <w:tabs>
                <w:tab w:val="left" w:pos="1425"/>
              </w:tabs>
              <w:kinsoku w:val="0"/>
              <w:wordWrap/>
              <w:overflowPunct/>
              <w:topLinePunct w:val="0"/>
              <w:autoSpaceDE w:val="0"/>
              <w:autoSpaceDN w:val="0"/>
              <w:bidi w:val="0"/>
              <w:snapToGrid/>
              <w:spacing w:line="560" w:lineRule="exact"/>
              <w:textAlignment w:val="auto"/>
              <w:rPr>
                <w:rFonts w:ascii="仿宋_GB2312" w:eastAsia="仿宋_GB2312" w:hAnsiTheme="minorEastAsia"/>
                <w:kern w:val="44"/>
              </w:rPr>
            </w:pPr>
            <w:r>
              <w:rPr>
                <w:rFonts w:ascii="仿宋_GB2312" w:hAnsi="黑体" w:eastAsia="仿宋_GB2312"/>
                <w:kern w:val="44"/>
              </w:rPr>
              <w:t>2.故事的情感真实细腻，能够被充分理解并产生强烈共鸣，并引发观众深度思考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850" w:type="dxa"/>
            <w:gridSpan w:val="2"/>
            <w:shd w:val="clear" w:color="auto" w:fill="9CC2E5" w:themeFill="accent1" w:themeFillTint="99"/>
            <w:vAlign w:val="center"/>
          </w:tcPr>
          <w:p>
            <w:pPr>
              <w:keepNext w:val="0"/>
              <w:keepLines w:val="0"/>
              <w:pageBreakBefore w:val="0"/>
              <w:widowControl w:val="0"/>
              <w:tabs>
                <w:tab w:val="left" w:pos="1425"/>
              </w:tabs>
              <w:kinsoku w:val="0"/>
              <w:wordWrap/>
              <w:overflowPunct/>
              <w:topLinePunct w:val="0"/>
              <w:autoSpaceDE w:val="0"/>
              <w:autoSpaceDN w:val="0"/>
              <w:bidi w:val="0"/>
              <w:snapToGrid/>
              <w:spacing w:line="560" w:lineRule="exact"/>
              <w:jc w:val="center"/>
              <w:textAlignment w:val="auto"/>
              <w:rPr>
                <w:rFonts w:ascii="仿宋_GB2312" w:eastAsia="仿宋_GB2312" w:hAnsiTheme="minorEastAsia"/>
                <w:kern w:val="44"/>
              </w:rPr>
            </w:pPr>
            <w:r>
              <w:rPr>
                <w:rFonts w:hint="eastAsia" w:ascii="仿宋_GB2312" w:eastAsia="仿宋_GB2312" w:hAnsiTheme="minorEastAsia"/>
                <w:kern w:val="44"/>
              </w:rPr>
              <w:t>个性指标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507" w:type="dxa"/>
            <w:vMerge w:val="restart"/>
            <w:vAlign w:val="center"/>
          </w:tcPr>
          <w:p>
            <w:pPr>
              <w:keepNext w:val="0"/>
              <w:keepLines w:val="0"/>
              <w:pageBreakBefore w:val="0"/>
              <w:widowControl w:val="0"/>
              <w:tabs>
                <w:tab w:val="left" w:pos="1425"/>
              </w:tabs>
              <w:wordWrap/>
              <w:overflowPunct/>
              <w:topLinePunct w:val="0"/>
              <w:bidi w:val="0"/>
              <w:snapToGrid/>
              <w:spacing w:line="560" w:lineRule="exact"/>
              <w:jc w:val="center"/>
              <w:textAlignment w:val="auto"/>
              <w:rPr>
                <w:rFonts w:ascii="仿宋_GB2312" w:hAnsi="黑体" w:eastAsia="仿宋_GB2312"/>
                <w:kern w:val="44"/>
              </w:rPr>
            </w:pPr>
            <w:r>
              <w:rPr>
                <w:rFonts w:hint="eastAsia" w:ascii="仿宋_GB2312" w:hAnsi="黑体" w:eastAsia="仿宋_GB2312"/>
                <w:kern w:val="44"/>
              </w:rPr>
              <w:t>创新力</w:t>
            </w:r>
          </w:p>
        </w:tc>
        <w:tc>
          <w:tcPr>
            <w:tcW w:w="7343" w:type="dxa"/>
            <w:vAlign w:val="center"/>
          </w:tcPr>
          <w:p>
            <w:pPr>
              <w:pStyle w:val="7"/>
              <w:keepNext w:val="0"/>
              <w:keepLines w:val="0"/>
              <w:pageBreakBefore w:val="0"/>
              <w:widowControl w:val="0"/>
              <w:numPr>
                <w:ilvl w:val="0"/>
                <w:numId w:val="1"/>
              </w:numPr>
              <w:tabs>
                <w:tab w:val="left" w:pos="1425"/>
              </w:tabs>
              <w:wordWrap/>
              <w:overflowPunct/>
              <w:topLinePunct w:val="0"/>
              <w:bidi w:val="0"/>
              <w:snapToGrid/>
              <w:spacing w:line="560" w:lineRule="exact"/>
              <w:ind w:firstLineChars="0"/>
              <w:textAlignment w:val="auto"/>
              <w:rPr>
                <w:rFonts w:ascii="仿宋_GB2312" w:hAnsi="宋体" w:eastAsia="仿宋_GB2312"/>
                <w:kern w:val="44"/>
                <w:sz w:val="21"/>
                <w:szCs w:val="21"/>
              </w:rPr>
            </w:pPr>
            <w:r>
              <w:rPr>
                <w:rFonts w:hint="eastAsia" w:ascii="仿宋_GB2312" w:hAnsi="宋体" w:eastAsia="仿宋_GB2312"/>
                <w:kern w:val="44"/>
                <w:sz w:val="21"/>
                <w:szCs w:val="21"/>
              </w:rPr>
              <w:t>背景音乐能够渲染表现短视频主题，升华内容，且画面具有美感，构图技巧性强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507" w:type="dxa"/>
            <w:vMerge w:val="continue"/>
            <w:vAlign w:val="center"/>
          </w:tcPr>
          <w:p>
            <w:pPr>
              <w:keepNext w:val="0"/>
              <w:keepLines w:val="0"/>
              <w:pageBreakBefore w:val="0"/>
              <w:widowControl w:val="0"/>
              <w:tabs>
                <w:tab w:val="left" w:pos="1425"/>
              </w:tabs>
              <w:wordWrap/>
              <w:overflowPunct/>
              <w:topLinePunct w:val="0"/>
              <w:bidi w:val="0"/>
              <w:snapToGrid/>
              <w:spacing w:line="560" w:lineRule="exact"/>
              <w:jc w:val="center"/>
              <w:textAlignment w:val="auto"/>
              <w:rPr>
                <w:rFonts w:ascii="仿宋_GB2312" w:hAnsi="黑体" w:eastAsia="仿宋_GB2312"/>
                <w:kern w:val="44"/>
              </w:rPr>
            </w:pPr>
          </w:p>
        </w:tc>
        <w:tc>
          <w:tcPr>
            <w:tcW w:w="7343" w:type="dxa"/>
            <w:vAlign w:val="center"/>
          </w:tcPr>
          <w:p>
            <w:pPr>
              <w:pStyle w:val="7"/>
              <w:keepNext w:val="0"/>
              <w:keepLines w:val="0"/>
              <w:pageBreakBefore w:val="0"/>
              <w:widowControl w:val="0"/>
              <w:numPr>
                <w:ilvl w:val="0"/>
                <w:numId w:val="2"/>
              </w:numPr>
              <w:tabs>
                <w:tab w:val="left" w:pos="1425"/>
              </w:tabs>
              <w:wordWrap/>
              <w:overflowPunct/>
              <w:topLinePunct w:val="0"/>
              <w:bidi w:val="0"/>
              <w:snapToGrid/>
              <w:spacing w:line="560" w:lineRule="exact"/>
              <w:ind w:firstLineChars="0"/>
              <w:textAlignment w:val="auto"/>
              <w:rPr>
                <w:rFonts w:ascii="仿宋_GB2312" w:eastAsia="仿宋_GB2312" w:hAnsiTheme="minorEastAsia"/>
                <w:kern w:val="44"/>
              </w:rPr>
            </w:pPr>
            <w:r>
              <w:rPr>
                <w:rFonts w:hint="eastAsia" w:ascii="仿宋_GB2312" w:hAnsi="宋体" w:eastAsia="仿宋_GB2312"/>
                <w:kern w:val="44"/>
                <w:sz w:val="21"/>
                <w:szCs w:val="21"/>
              </w:rPr>
              <w:t>视频剪辑具有较高的技术性及艺术性</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C0F1916"/>
    <w:multiLevelType w:val="multilevel"/>
    <w:tmpl w:val="4C0F1916"/>
    <w:lvl w:ilvl="0" w:tentative="0">
      <w:start w:val="2"/>
      <w:numFmt w:val="decimal"/>
      <w:suff w:val="nothing"/>
      <w:lvlText w:val="%1."/>
      <w:lvlJc w:val="left"/>
      <w:pPr>
        <w:ind w:left="0" w:firstLine="0"/>
      </w:pPr>
      <w:rPr>
        <w:rFonts w:hint="default" w:eastAsia="宋体" w:asciiTheme="minorEastAsia" w:hAnsiTheme="minorEastAsia"/>
        <w:sz w:val="24"/>
        <w:szCs w:val="24"/>
      </w:rPr>
    </w:lvl>
    <w:lvl w:ilvl="1" w:tentative="0">
      <w:start w:val="1"/>
      <w:numFmt w:val="lowerLetter"/>
      <w:lvlText w:val="%2)"/>
      <w:lvlJc w:val="left"/>
      <w:pPr>
        <w:ind w:left="114" w:hanging="57"/>
      </w:pPr>
      <w:rPr>
        <w:rFonts w:hint="eastAsia"/>
      </w:rPr>
    </w:lvl>
    <w:lvl w:ilvl="2" w:tentative="0">
      <w:start w:val="1"/>
      <w:numFmt w:val="lowerRoman"/>
      <w:lvlText w:val="%3."/>
      <w:lvlJc w:val="right"/>
      <w:pPr>
        <w:ind w:left="171" w:hanging="57"/>
      </w:pPr>
      <w:rPr>
        <w:rFonts w:hint="eastAsia"/>
      </w:rPr>
    </w:lvl>
    <w:lvl w:ilvl="3" w:tentative="0">
      <w:start w:val="1"/>
      <w:numFmt w:val="decimal"/>
      <w:lvlText w:val="%4."/>
      <w:lvlJc w:val="left"/>
      <w:pPr>
        <w:ind w:left="228" w:hanging="57"/>
      </w:pPr>
      <w:rPr>
        <w:rFonts w:hint="eastAsia"/>
      </w:rPr>
    </w:lvl>
    <w:lvl w:ilvl="4" w:tentative="0">
      <w:start w:val="1"/>
      <w:numFmt w:val="lowerLetter"/>
      <w:lvlText w:val="%5)"/>
      <w:lvlJc w:val="left"/>
      <w:pPr>
        <w:ind w:left="285" w:hanging="57"/>
      </w:pPr>
      <w:rPr>
        <w:rFonts w:hint="eastAsia"/>
      </w:rPr>
    </w:lvl>
    <w:lvl w:ilvl="5" w:tentative="0">
      <w:start w:val="1"/>
      <w:numFmt w:val="lowerRoman"/>
      <w:lvlText w:val="%6."/>
      <w:lvlJc w:val="right"/>
      <w:pPr>
        <w:ind w:left="342" w:hanging="57"/>
      </w:pPr>
      <w:rPr>
        <w:rFonts w:hint="eastAsia"/>
      </w:rPr>
    </w:lvl>
    <w:lvl w:ilvl="6" w:tentative="0">
      <w:start w:val="1"/>
      <w:numFmt w:val="decimal"/>
      <w:lvlText w:val="%7."/>
      <w:lvlJc w:val="left"/>
      <w:pPr>
        <w:ind w:left="399" w:hanging="57"/>
      </w:pPr>
      <w:rPr>
        <w:rFonts w:hint="eastAsia"/>
      </w:rPr>
    </w:lvl>
    <w:lvl w:ilvl="7" w:tentative="0">
      <w:start w:val="1"/>
      <w:numFmt w:val="lowerLetter"/>
      <w:lvlText w:val="%8)"/>
      <w:lvlJc w:val="left"/>
      <w:pPr>
        <w:ind w:left="456" w:hanging="57"/>
      </w:pPr>
      <w:rPr>
        <w:rFonts w:hint="eastAsia"/>
      </w:rPr>
    </w:lvl>
    <w:lvl w:ilvl="8" w:tentative="0">
      <w:start w:val="1"/>
      <w:numFmt w:val="lowerRoman"/>
      <w:lvlText w:val="%9."/>
      <w:lvlJc w:val="right"/>
      <w:pPr>
        <w:ind w:left="513" w:hanging="57"/>
      </w:pPr>
      <w:rPr>
        <w:rFonts w:hint="eastAsia"/>
      </w:rPr>
    </w:lvl>
  </w:abstractNum>
  <w:abstractNum w:abstractNumId="1">
    <w:nsid w:val="641717E1"/>
    <w:multiLevelType w:val="multilevel"/>
    <w:tmpl w:val="641717E1"/>
    <w:lvl w:ilvl="0" w:tentative="0">
      <w:start w:val="1"/>
      <w:numFmt w:val="decimal"/>
      <w:suff w:val="nothing"/>
      <w:lvlText w:val="%1."/>
      <w:lvlJc w:val="left"/>
      <w:pPr>
        <w:ind w:left="0" w:firstLine="0"/>
      </w:pPr>
      <w:rPr>
        <w:rFonts w:hint="default" w:asciiTheme="minorEastAsia" w:hAnsiTheme="minorEastAsia" w:eastAsiaTheme="minorEastAsia"/>
        <w:sz w:val="24"/>
        <w:szCs w:val="24"/>
      </w:rPr>
    </w:lvl>
    <w:lvl w:ilvl="1" w:tentative="0">
      <w:start w:val="1"/>
      <w:numFmt w:val="lowerLetter"/>
      <w:lvlText w:val="%2)"/>
      <w:lvlJc w:val="left"/>
      <w:pPr>
        <w:ind w:left="114" w:hanging="57"/>
      </w:pPr>
      <w:rPr>
        <w:rFonts w:hint="eastAsia"/>
      </w:rPr>
    </w:lvl>
    <w:lvl w:ilvl="2" w:tentative="0">
      <w:start w:val="1"/>
      <w:numFmt w:val="lowerRoman"/>
      <w:lvlText w:val="%3."/>
      <w:lvlJc w:val="right"/>
      <w:pPr>
        <w:ind w:left="171" w:hanging="57"/>
      </w:pPr>
      <w:rPr>
        <w:rFonts w:hint="eastAsia"/>
      </w:rPr>
    </w:lvl>
    <w:lvl w:ilvl="3" w:tentative="0">
      <w:start w:val="1"/>
      <w:numFmt w:val="decimal"/>
      <w:lvlText w:val="%4."/>
      <w:lvlJc w:val="left"/>
      <w:pPr>
        <w:ind w:left="228" w:hanging="57"/>
      </w:pPr>
      <w:rPr>
        <w:rFonts w:hint="eastAsia"/>
      </w:rPr>
    </w:lvl>
    <w:lvl w:ilvl="4" w:tentative="0">
      <w:start w:val="1"/>
      <w:numFmt w:val="lowerLetter"/>
      <w:lvlText w:val="%5)"/>
      <w:lvlJc w:val="left"/>
      <w:pPr>
        <w:ind w:left="285" w:hanging="57"/>
      </w:pPr>
      <w:rPr>
        <w:rFonts w:hint="eastAsia"/>
      </w:rPr>
    </w:lvl>
    <w:lvl w:ilvl="5" w:tentative="0">
      <w:start w:val="1"/>
      <w:numFmt w:val="lowerRoman"/>
      <w:lvlText w:val="%6."/>
      <w:lvlJc w:val="right"/>
      <w:pPr>
        <w:ind w:left="342" w:hanging="57"/>
      </w:pPr>
      <w:rPr>
        <w:rFonts w:hint="eastAsia"/>
      </w:rPr>
    </w:lvl>
    <w:lvl w:ilvl="6" w:tentative="0">
      <w:start w:val="1"/>
      <w:numFmt w:val="decimal"/>
      <w:lvlText w:val="%7."/>
      <w:lvlJc w:val="left"/>
      <w:pPr>
        <w:ind w:left="399" w:hanging="57"/>
      </w:pPr>
      <w:rPr>
        <w:rFonts w:hint="eastAsia"/>
      </w:rPr>
    </w:lvl>
    <w:lvl w:ilvl="7" w:tentative="0">
      <w:start w:val="1"/>
      <w:numFmt w:val="lowerLetter"/>
      <w:lvlText w:val="%8)"/>
      <w:lvlJc w:val="left"/>
      <w:pPr>
        <w:ind w:left="456" w:hanging="57"/>
      </w:pPr>
      <w:rPr>
        <w:rFonts w:hint="eastAsia"/>
      </w:rPr>
    </w:lvl>
    <w:lvl w:ilvl="8" w:tentative="0">
      <w:start w:val="1"/>
      <w:numFmt w:val="lowerRoman"/>
      <w:lvlText w:val="%9."/>
      <w:lvlJc w:val="right"/>
      <w:pPr>
        <w:ind w:left="513" w:hanging="57"/>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814589"/>
    <w:rsid w:val="0C814589"/>
    <w:rsid w:val="3E741F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spacing w:after="120"/>
      <w:ind w:left="420" w:leftChars="200"/>
    </w:pPr>
  </w:style>
  <w:style w:type="paragraph" w:styleId="3">
    <w:name w:val="Body Text First Indent 2"/>
    <w:basedOn w:val="2"/>
    <w:qFormat/>
    <w:uiPriority w:val="0"/>
    <w:pPr>
      <w:ind w:firstLine="420" w:firstLineChars="200"/>
    </w:pPr>
    <w:rPr>
      <w:rFonts w:ascii="仿宋_GB2312" w:hAnsi="仿宋_GB2312"/>
    </w:rPr>
  </w:style>
  <w:style w:type="table" w:styleId="5">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7">
    <w:name w:val="List Paragraph"/>
    <w:basedOn w:val="1"/>
    <w:qFormat/>
    <w:uiPriority w:val="99"/>
    <w:pPr>
      <w:autoSpaceDE w:val="0"/>
      <w:autoSpaceDN w:val="0"/>
      <w:adjustRightInd w:val="0"/>
      <w:ind w:firstLine="420" w:firstLineChars="200"/>
      <w:jc w:val="left"/>
    </w:pPr>
    <w:rPr>
      <w:rFonts w:ascii="Calibri" w:hAnsi="Calibri"/>
      <w:kern w:val="0"/>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2024-05-15T01:24:00Z</dcterms:created>
  <dc:creator>24DDA3759D6A4949A7E55D1AD55350A2</dc:creator>
  <cp:lastModifiedBy>24DDA3759D6A4949A7E55D1AD55350A2</cp:lastModifiedBy>
  <dcterms:modified xsi:type="dcterms:W3CDTF">2024-05-15T01:27:30Z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6B39476A670C479EB4FB014ECB34D033</vt:lpwstr>
  </property>
</Properties>
</file>