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spacing w:line="360" w:lineRule="auto"/>
        <w:jc w:val="both"/>
        <w:rPr>
          <w:rFonts w:hint="default" w:ascii="宋体" w:hAnsi="宋体" w:eastAsia="宋体" w:cs="宋体"/>
          <w:b/>
          <w:bCs/>
          <w:color w:val="auto"/>
          <w:sz w:val="28"/>
          <w:szCs w:val="28"/>
          <w:highlight w:val="none"/>
          <w:lang w:val="en-US" w:eastAsia="zh-CN"/>
        </w:rPr>
      </w:pPr>
      <w:bookmarkStart w:id="0" w:name="_Toc536514940"/>
      <w:r>
        <w:rPr>
          <w:rFonts w:hint="eastAsia" w:ascii="宋体" w:hAnsi="宋体" w:eastAsia="宋体" w:cs="宋体"/>
          <w:b/>
          <w:bCs/>
          <w:color w:val="auto"/>
          <w:sz w:val="28"/>
          <w:szCs w:val="28"/>
          <w:highlight w:val="none"/>
          <w:lang w:val="en-US" w:eastAsia="zh-CN"/>
        </w:rPr>
        <w:t>对应合同编号：</w:t>
      </w:r>
    </w:p>
    <w:p>
      <w:pPr>
        <w:pStyle w:val="3"/>
        <w:numPr>
          <w:ilvl w:val="0"/>
          <w:numId w:val="0"/>
        </w:numPr>
        <w:spacing w:line="360" w:lineRule="auto"/>
        <w:rPr>
          <w:rFonts w:hint="eastAsia" w:ascii="宋体" w:hAnsi="宋体" w:eastAsia="宋体" w:cs="宋体"/>
          <w:b/>
          <w:bCs/>
          <w:color w:val="auto"/>
          <w:sz w:val="44"/>
          <w:szCs w:val="44"/>
          <w:highlight w:val="none"/>
          <w:lang w:eastAsia="zh-CN"/>
        </w:rPr>
      </w:pPr>
    </w:p>
    <w:p>
      <w:pPr>
        <w:pStyle w:val="3"/>
        <w:numPr>
          <w:ilvl w:val="0"/>
          <w:numId w:val="0"/>
        </w:numPr>
        <w:spacing w:line="360" w:lineRule="auto"/>
        <w:rPr>
          <w:rFonts w:hint="eastAsia" w:ascii="宋体" w:hAnsi="宋体" w:eastAsia="宋体" w:cs="宋体"/>
          <w:b/>
          <w:bCs/>
          <w:color w:val="auto"/>
          <w:sz w:val="44"/>
          <w:szCs w:val="44"/>
          <w:highlight w:val="none"/>
          <w:lang w:eastAsia="zh-CN"/>
        </w:rPr>
      </w:pPr>
    </w:p>
    <w:p>
      <w:pPr>
        <w:pStyle w:val="3"/>
        <w:numPr>
          <w:ilvl w:val="0"/>
          <w:numId w:val="0"/>
        </w:numPr>
        <w:spacing w:line="360" w:lineRule="auto"/>
        <w:rPr>
          <w:rFonts w:hint="eastAsia" w:ascii="宋体" w:hAnsi="宋体" w:eastAsia="宋体" w:cs="宋体"/>
          <w:b/>
          <w:bCs/>
          <w:color w:val="auto"/>
          <w:sz w:val="44"/>
          <w:szCs w:val="44"/>
          <w:highlight w:val="none"/>
          <w:lang w:eastAsia="zh-CN"/>
        </w:rPr>
      </w:pPr>
    </w:p>
    <w:bookmarkEnd w:id="0"/>
    <w:p>
      <w:pPr>
        <w:wordWrap/>
        <w:ind w:right="981"/>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云南储能2024年碧松就、鸡街、二河沟三级电站安全检测与评价</w:t>
      </w:r>
    </w:p>
    <w:p>
      <w:pPr>
        <w:wordWrap/>
        <w:ind w:right="981"/>
        <w:jc w:val="center"/>
        <w:rPr>
          <w:rFonts w:hint="eastAsia" w:ascii="宋体" w:hAnsi="宋体" w:eastAsia="宋体" w:cs="宋体"/>
          <w:b/>
          <w:bCs/>
          <w:color w:val="auto"/>
          <w:sz w:val="44"/>
          <w:szCs w:val="44"/>
          <w:highlight w:val="none"/>
        </w:rPr>
      </w:pPr>
    </w:p>
    <w:p>
      <w:pPr>
        <w:wordWrap/>
        <w:ind w:right="981"/>
        <w:jc w:val="center"/>
        <w:rPr>
          <w:rFonts w:hint="eastAsia" w:ascii="宋体" w:hAnsi="宋体" w:eastAsia="宋体" w:cs="宋体"/>
          <w:b/>
          <w:bCs/>
          <w:color w:val="auto"/>
          <w:sz w:val="44"/>
          <w:szCs w:val="44"/>
          <w:highlight w:val="none"/>
        </w:rPr>
      </w:pPr>
    </w:p>
    <w:p>
      <w:pPr>
        <w:wordWrap/>
        <w:ind w:right="981"/>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4"/>
          <w:szCs w:val="44"/>
          <w:highlight w:val="none"/>
        </w:rPr>
        <w:t>技术</w:t>
      </w:r>
      <w:r>
        <w:rPr>
          <w:rFonts w:hint="eastAsia" w:ascii="宋体" w:hAnsi="宋体" w:eastAsia="宋体" w:cs="宋体"/>
          <w:b/>
          <w:bCs/>
          <w:color w:val="auto"/>
          <w:sz w:val="44"/>
          <w:szCs w:val="44"/>
          <w:highlight w:val="none"/>
          <w:lang w:eastAsia="zh-CN"/>
        </w:rPr>
        <w:t>规范书</w:t>
      </w: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pStyle w:val="12"/>
        <w:autoSpaceDN w:val="0"/>
        <w:jc w:val="center"/>
        <w:textAlignment w:val="baseline"/>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 xml:space="preserve"> 云南储能有限公司</w:t>
      </w:r>
    </w:p>
    <w:p>
      <w:pPr>
        <w:numPr>
          <w:ilvl w:val="0"/>
          <w:numId w:val="0"/>
        </w:numPr>
        <w:spacing w:before="156" w:beforeLines="50" w:after="156" w:afterLines="50" w:line="360" w:lineRule="auto"/>
        <w:ind w:left="420" w:leftChars="0"/>
        <w:jc w:val="center"/>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2024年5月</w:t>
      </w:r>
    </w:p>
    <w:p>
      <w:pPr>
        <w:pStyle w:val="2"/>
        <w:rPr>
          <w:rFonts w:hint="eastAsia"/>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1.总则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hAnsi="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r>
        <w:rPr>
          <w:rFonts w:hint="eastAsia" w:hAnsi="宋体" w:cs="宋体"/>
          <w:color w:val="auto"/>
          <w:kern w:val="2"/>
          <w:sz w:val="28"/>
          <w:szCs w:val="28"/>
          <w:highlight w:val="none"/>
          <w:lang w:val="en-US" w:eastAsia="zh-CN" w:bidi="ar-SA"/>
        </w:rPr>
        <w:t xml:space="preserve">.1 </w:t>
      </w:r>
      <w:r>
        <w:rPr>
          <w:rFonts w:hint="eastAsia" w:ascii="宋体" w:hAnsi="宋体" w:eastAsia="宋体" w:cs="宋体"/>
          <w:color w:val="auto"/>
          <w:kern w:val="2"/>
          <w:sz w:val="28"/>
          <w:szCs w:val="28"/>
          <w:highlight w:val="none"/>
          <w:lang w:val="en-US" w:eastAsia="zh-CN" w:bidi="ar-SA"/>
        </w:rPr>
        <w:t>本技术规范书适用于</w:t>
      </w:r>
      <w:r>
        <w:rPr>
          <w:rFonts w:hint="eastAsia" w:hAnsi="宋体" w:cs="宋体"/>
          <w:color w:val="auto"/>
          <w:kern w:val="2"/>
          <w:sz w:val="28"/>
          <w:szCs w:val="28"/>
          <w:highlight w:val="none"/>
          <w:lang w:val="en-US" w:eastAsia="zh-CN" w:bidi="ar-SA"/>
        </w:rPr>
        <w:t>云南储能2024年碧松就、鸡街、二河沟三级电站安全检测与评价</w:t>
      </w:r>
      <w:r>
        <w:rPr>
          <w:rFonts w:hint="eastAsia" w:hAnsi="宋体" w:cs="宋体"/>
          <w:color w:val="auto"/>
          <w:kern w:val="2"/>
          <w:sz w:val="28"/>
          <w:szCs w:val="28"/>
          <w:highlight w:val="none"/>
          <w:lang w:val="zh-CN" w:eastAsia="zh-CN" w:bidi="ar-SA"/>
        </w:rPr>
        <w:t>采购</w:t>
      </w:r>
      <w:r>
        <w:rPr>
          <w:rFonts w:hint="eastAsia" w:hAnsi="宋体" w:cs="宋体"/>
          <w:color w:val="auto"/>
          <w:kern w:val="2"/>
          <w:sz w:val="28"/>
          <w:szCs w:val="28"/>
          <w:highlight w:val="none"/>
          <w:lang w:val="en-US" w:eastAsia="zh-CN" w:bidi="ar-SA"/>
        </w:rPr>
        <w:t>项目。</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2</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本技术规范书提出的是最低限度的技术要求。凡本招标技术规范书中未规定，但在相关的行业标准、国家标准条文，</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方应按相应标准的条文</w:t>
      </w:r>
      <w:r>
        <w:rPr>
          <w:rFonts w:hint="eastAsia" w:cs="宋体"/>
          <w:color w:val="auto"/>
          <w:sz w:val="28"/>
          <w:szCs w:val="28"/>
          <w:highlight w:val="none"/>
          <w:lang w:eastAsia="zh-CN"/>
        </w:rPr>
        <w:t>执行</w:t>
      </w:r>
      <w:r>
        <w:rPr>
          <w:rFonts w:hint="eastAsia" w:ascii="宋体" w:hAnsi="宋体" w:eastAsia="宋体" w:cs="宋体"/>
          <w:color w:val="auto"/>
          <w:sz w:val="28"/>
          <w:szCs w:val="28"/>
          <w:highlight w:val="none"/>
        </w:rPr>
        <w:t>。对国家有关安全、环保等强制性标准，必须满足其要求。</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3</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如果</w:t>
      </w:r>
      <w:r>
        <w:rPr>
          <w:rFonts w:hint="eastAsia" w:cs="宋体"/>
          <w:color w:val="auto"/>
          <w:sz w:val="28"/>
          <w:szCs w:val="28"/>
          <w:highlight w:val="none"/>
          <w:lang w:val="en-US" w:eastAsia="zh-CN"/>
        </w:rPr>
        <w:t>投标单位</w:t>
      </w:r>
      <w:r>
        <w:rPr>
          <w:rFonts w:hint="eastAsia" w:ascii="宋体" w:hAnsi="宋体" w:eastAsia="宋体" w:cs="宋体"/>
          <w:color w:val="auto"/>
          <w:sz w:val="28"/>
          <w:szCs w:val="28"/>
          <w:highlight w:val="none"/>
        </w:rPr>
        <w:t>没有以书面形式对本技术规范书的条文提出异议，则意味着</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完全符合本技术规范书的要求。如有异议，不管是多么微小，都应以“对技术规范书的意见和同技术规范书的差异”为标题的专门章节中加以详细描述。</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4</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本技术规范书所使用的标准如遇与</w:t>
      </w:r>
      <w:r>
        <w:rPr>
          <w:rFonts w:hint="eastAsia" w:cs="宋体"/>
          <w:color w:val="auto"/>
          <w:sz w:val="28"/>
          <w:szCs w:val="28"/>
          <w:highlight w:val="none"/>
          <w:lang w:eastAsia="zh-CN"/>
        </w:rPr>
        <w:t>试验</w:t>
      </w:r>
      <w:r>
        <w:rPr>
          <w:rFonts w:hint="eastAsia" w:ascii="宋体" w:hAnsi="宋体" w:eastAsia="宋体" w:cs="宋体"/>
          <w:color w:val="auto"/>
          <w:sz w:val="28"/>
          <w:szCs w:val="28"/>
          <w:highlight w:val="none"/>
        </w:rPr>
        <w:t>方所执行的标准不一致时，按较高标准执行。</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5</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本技术规范书经双方确认后作为</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合同的技术附件，与合同正文具有同等的法律效力。</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6</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本技术规范书未尽事宜，由双方协商确定。</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1" w:firstLineChars="200"/>
        <w:textAlignment w:val="auto"/>
        <w:outlineLvl w:val="9"/>
        <w:rPr>
          <w:rFonts w:hint="eastAsia" w:ascii="仿宋" w:hAnsi="仿宋" w:cs="仿宋"/>
          <w:b/>
          <w:bCs/>
          <w:color w:val="auto"/>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2.项目概况</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color w:val="auto"/>
          <w:szCs w:val="21"/>
          <w:highlight w:val="none"/>
          <w:lang w:val="en-US" w:eastAsia="zh-CN"/>
        </w:rPr>
        <w:t>碧松就、鸡街、二河沟三级电站因安全运行风险较高且经济效益低，公司拟停运处置，按《小型水电站安全检测与评价规范》（GB/T50876-2013）第1.0.4条规定（安全检测与评价工作应委托相应资质的机构进行），需聘请具备资质的机构对三座电站安全检测与评估，根据评估报告结论决策处置情况</w:t>
      </w:r>
      <w:r>
        <w:rPr>
          <w:rFonts w:hint="eastAsia" w:ascii="宋体" w:hAnsi="宋体" w:eastAsia="宋体" w:cs="宋体"/>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3.</w:t>
      </w:r>
      <w:bookmarkStart w:id="1" w:name="_Toc31529"/>
      <w:r>
        <w:rPr>
          <w:rFonts w:hint="eastAsia" w:ascii="仿宋" w:hAnsi="仿宋" w:cs="仿宋"/>
          <w:b/>
          <w:bCs/>
          <w:color w:val="auto"/>
          <w:sz w:val="32"/>
          <w:szCs w:val="32"/>
          <w:highlight w:val="none"/>
          <w:lang w:val="en-US" w:eastAsia="zh-CN"/>
        </w:rPr>
        <w:t>采购范围及标的物清单</w:t>
      </w:r>
      <w:bookmarkEnd w:id="1"/>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2040"/>
        <w:gridCol w:w="4125"/>
        <w:gridCol w:w="1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bookmarkStart w:id="2" w:name="_Toc110417674"/>
            <w:bookmarkStart w:id="3" w:name="_Toc110941059"/>
            <w:bookmarkStart w:id="4" w:name="_Toc104085269"/>
            <w:bookmarkStart w:id="5" w:name="_Toc106161810"/>
            <w:bookmarkStart w:id="6" w:name="_Toc61016570"/>
            <w:bookmarkStart w:id="7" w:name="_Toc120960166"/>
            <w:bookmarkStart w:id="8" w:name="_Toc104085451"/>
            <w:bookmarkStart w:id="9" w:name="_Toc110940941"/>
            <w:bookmarkStart w:id="10" w:name="_Toc60909340"/>
            <w:bookmarkStart w:id="11" w:name="_Toc60909658"/>
            <w:bookmarkStart w:id="12" w:name="_Toc60909230"/>
            <w:bookmarkStart w:id="13" w:name="_Toc104697792"/>
            <w:bookmarkStart w:id="14" w:name="_Toc105906460"/>
            <w:bookmarkStart w:id="15" w:name="_Toc61013117"/>
            <w:bookmarkStart w:id="16" w:name="_Toc110995726"/>
            <w:bookmarkStart w:id="17" w:name="_Toc60909451"/>
            <w:bookmarkStart w:id="18" w:name="_Toc119898454"/>
            <w:bookmarkStart w:id="19" w:name="_Toc110417790"/>
            <w:bookmarkStart w:id="20" w:name="_Toc105554511"/>
            <w:bookmarkStart w:id="21" w:name="_Toc119749504"/>
            <w:r>
              <w:rPr>
                <w:rFonts w:hint="eastAsia" w:asciiTheme="minorEastAsia" w:hAnsiTheme="minorEastAsia" w:eastAsiaTheme="minorEastAsia" w:cstheme="minorEastAsia"/>
                <w:b w:val="0"/>
                <w:bCs w:val="0"/>
                <w:color w:val="auto"/>
                <w:sz w:val="28"/>
                <w:szCs w:val="28"/>
                <w:highlight w:val="none"/>
                <w:vertAlign w:val="baseline"/>
                <w:lang w:val="en-US" w:eastAsia="zh-CN"/>
              </w:rPr>
              <w:t>序号</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服务名称</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服务主要内容</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1</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碧松就电站</w:t>
            </w:r>
            <w:r>
              <w:rPr>
                <w:rFonts w:hint="eastAsia"/>
                <w:color w:val="auto"/>
                <w:szCs w:val="21"/>
                <w:highlight w:val="none"/>
                <w:lang w:val="en-US" w:eastAsia="zh-CN"/>
              </w:rPr>
              <w:t>安全检测与评价</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查阅现场资料，以往机组试验、检修、技改资料，根据相关规定编制</w:t>
            </w:r>
            <w:r>
              <w:rPr>
                <w:rFonts w:hint="eastAsia"/>
                <w:color w:val="auto"/>
                <w:szCs w:val="21"/>
                <w:highlight w:val="none"/>
                <w:lang w:val="en-US" w:eastAsia="zh-CN"/>
              </w:rPr>
              <w:t>安全检测与评价</w:t>
            </w:r>
            <w:r>
              <w:rPr>
                <w:rFonts w:hint="eastAsia" w:asciiTheme="minorEastAsia" w:hAnsiTheme="minorEastAsia" w:eastAsiaTheme="minorEastAsia" w:cstheme="minorEastAsia"/>
                <w:b w:val="0"/>
                <w:bCs w:val="0"/>
                <w:color w:val="auto"/>
                <w:sz w:val="28"/>
                <w:szCs w:val="28"/>
                <w:highlight w:val="none"/>
                <w:vertAlign w:val="baseline"/>
                <w:lang w:val="en-US" w:eastAsia="zh-CN"/>
              </w:rPr>
              <w:t>报告，提交云南储能有限公司。</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碧松就电站位于丘北县城东锦屏镇，碧松就村，距丘北县城约12km</w:t>
            </w: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2</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bidi="ar-SA"/>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鸡街电站</w:t>
            </w:r>
            <w:r>
              <w:rPr>
                <w:rFonts w:hint="eastAsia"/>
                <w:color w:val="auto"/>
                <w:szCs w:val="21"/>
                <w:highlight w:val="none"/>
                <w:lang w:val="en-US" w:eastAsia="zh-CN"/>
              </w:rPr>
              <w:t>安全检测与评价</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bidi="ar-SA"/>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查阅现场资料，以往机组试验、检修、技改资料，根据相关规定编制</w:t>
            </w:r>
            <w:r>
              <w:rPr>
                <w:rFonts w:hint="eastAsia"/>
                <w:color w:val="auto"/>
                <w:szCs w:val="21"/>
                <w:highlight w:val="none"/>
                <w:lang w:val="en-US" w:eastAsia="zh-CN"/>
              </w:rPr>
              <w:t>安全检测与评价</w:t>
            </w:r>
            <w:r>
              <w:rPr>
                <w:rFonts w:hint="eastAsia" w:asciiTheme="minorEastAsia" w:hAnsiTheme="minorEastAsia" w:eastAsiaTheme="minorEastAsia" w:cstheme="minorEastAsia"/>
                <w:b w:val="0"/>
                <w:bCs w:val="0"/>
                <w:color w:val="auto"/>
                <w:sz w:val="28"/>
                <w:szCs w:val="28"/>
                <w:highlight w:val="none"/>
                <w:vertAlign w:val="baseline"/>
                <w:lang w:val="en-US" w:eastAsia="zh-CN"/>
              </w:rPr>
              <w:t>报告，提交云南储能有限公司。</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鸡街电站位于西畴县鸡街乡古鱼村，距文山城区99km</w:t>
            </w:r>
            <w:bookmarkStart w:id="49" w:name="_GoBack"/>
            <w:bookmarkEnd w:id="49"/>
            <w:r>
              <w:rPr>
                <w:rFonts w:hint="eastAsia" w:asciiTheme="minorEastAsia" w:hAnsiTheme="minorEastAsia" w:eastAsiaTheme="minorEastAsia" w:cstheme="minorEastAsia"/>
                <w:b w:val="0"/>
                <w:bCs w:val="0"/>
                <w:color w:val="auto"/>
                <w:sz w:val="28"/>
                <w:szCs w:val="28"/>
                <w:highlight w:val="none"/>
                <w:vertAlign w:val="baseline"/>
                <w:lang w:val="en-US" w:eastAsia="zh-CN"/>
              </w:rPr>
              <w:t>，离西畴县城25km。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3</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bidi="ar-SA"/>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二河沟三级电站</w:t>
            </w:r>
            <w:r>
              <w:rPr>
                <w:rFonts w:hint="eastAsia"/>
                <w:color w:val="auto"/>
                <w:szCs w:val="21"/>
                <w:highlight w:val="none"/>
                <w:lang w:val="en-US" w:eastAsia="zh-CN"/>
              </w:rPr>
              <w:t>安全检测与评价</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bidi="ar-SA"/>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查阅现场资料，以往机组试验、检修、技改资料，根据相关规定编制</w:t>
            </w:r>
            <w:r>
              <w:rPr>
                <w:rFonts w:hint="eastAsia"/>
                <w:color w:val="auto"/>
                <w:szCs w:val="21"/>
                <w:highlight w:val="none"/>
                <w:lang w:val="en-US" w:eastAsia="zh-CN"/>
              </w:rPr>
              <w:t>安全检测与评价</w:t>
            </w:r>
            <w:r>
              <w:rPr>
                <w:rFonts w:hint="eastAsia" w:asciiTheme="minorEastAsia" w:hAnsiTheme="minorEastAsia" w:eastAsiaTheme="minorEastAsia" w:cstheme="minorEastAsia"/>
                <w:b w:val="0"/>
                <w:bCs w:val="0"/>
                <w:color w:val="auto"/>
                <w:sz w:val="28"/>
                <w:szCs w:val="28"/>
                <w:highlight w:val="none"/>
                <w:vertAlign w:val="baseline"/>
                <w:lang w:val="en-US" w:eastAsia="zh-CN"/>
              </w:rPr>
              <w:t>报告，提交云南储能有限公司。</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二河沟三级电站位于文山市小街镇二河沟村，距文山县城区70km。</w:t>
            </w:r>
          </w:p>
        </w:tc>
      </w:tr>
    </w:tbl>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41" w:firstLineChars="200"/>
        <w:jc w:val="both"/>
        <w:textAlignment w:val="auto"/>
        <w:outlineLvl w:val="9"/>
        <w:rPr>
          <w:rFonts w:hint="eastAsia" w:ascii="仿宋" w:hAnsi="仿宋" w:cs="仿宋"/>
          <w:b/>
          <w:bCs/>
          <w:color w:val="auto"/>
          <w:sz w:val="32"/>
          <w:szCs w:val="32"/>
          <w:highlight w:val="none"/>
          <w:lang w:val="en-US" w:eastAsia="zh-CN"/>
        </w:rPr>
      </w:pPr>
    </w:p>
    <w:p>
      <w:pPr>
        <w:pStyle w:val="2"/>
        <w:ind w:left="0" w:leftChars="0" w:firstLine="0" w:firstLineChars="0"/>
        <w:rPr>
          <w:rFonts w:hint="default"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4.引用标准或执行依据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color w:val="auto"/>
          <w:sz w:val="28"/>
          <w:szCs w:val="28"/>
          <w:highlight w:val="none"/>
          <w:lang w:eastAsia="zh-CN"/>
        </w:rPr>
      </w:pPr>
      <w:bookmarkStart w:id="22" w:name="_Toc4720"/>
      <w:bookmarkStart w:id="23" w:name="_Toc288471347"/>
      <w:r>
        <w:rPr>
          <w:rFonts w:hint="eastAsia" w:ascii="宋体" w:hAnsi="宋体" w:eastAsia="宋体" w:cs="宋体"/>
          <w:bCs/>
          <w:color w:val="auto"/>
          <w:sz w:val="28"/>
          <w:szCs w:val="28"/>
          <w:highlight w:val="none"/>
        </w:rPr>
        <w:t>本</w:t>
      </w:r>
      <w:r>
        <w:rPr>
          <w:rFonts w:hint="eastAsia" w:ascii="宋体" w:hAnsi="宋体" w:eastAsia="宋体" w:cs="宋体"/>
          <w:bCs/>
          <w:color w:val="auto"/>
          <w:sz w:val="28"/>
          <w:szCs w:val="28"/>
          <w:highlight w:val="none"/>
          <w:lang w:eastAsia="zh-CN"/>
        </w:rPr>
        <w:t>项目</w:t>
      </w:r>
      <w:r>
        <w:rPr>
          <w:rFonts w:hint="eastAsia" w:ascii="宋体" w:hAnsi="宋体" w:eastAsia="宋体" w:cs="宋体"/>
          <w:bCs/>
          <w:color w:val="auto"/>
          <w:sz w:val="28"/>
          <w:szCs w:val="28"/>
          <w:highlight w:val="none"/>
        </w:rPr>
        <w:t>技术条款中引用的标准</w:t>
      </w:r>
      <w:r>
        <w:rPr>
          <w:rFonts w:hint="eastAsia" w:hAnsi="宋体" w:cs="宋体"/>
          <w:bCs/>
          <w:color w:val="auto"/>
          <w:sz w:val="28"/>
          <w:szCs w:val="28"/>
          <w:highlight w:val="none"/>
          <w:lang w:eastAsia="zh-CN"/>
        </w:rPr>
        <w:t>、</w:t>
      </w:r>
      <w:r>
        <w:rPr>
          <w:rFonts w:hint="eastAsia" w:ascii="宋体" w:hAnsi="宋体" w:eastAsia="宋体" w:cs="宋体"/>
          <w:bCs/>
          <w:color w:val="auto"/>
          <w:sz w:val="28"/>
          <w:szCs w:val="28"/>
          <w:highlight w:val="none"/>
        </w:rPr>
        <w:t>规程</w:t>
      </w:r>
      <w:r>
        <w:rPr>
          <w:rFonts w:hint="eastAsia" w:hAnsi="宋体" w:cs="宋体"/>
          <w:bCs/>
          <w:color w:val="auto"/>
          <w:sz w:val="28"/>
          <w:szCs w:val="28"/>
          <w:highlight w:val="none"/>
          <w:lang w:eastAsia="zh-CN"/>
        </w:rPr>
        <w:t>和</w:t>
      </w:r>
      <w:r>
        <w:rPr>
          <w:rFonts w:hint="eastAsia" w:ascii="宋体" w:hAnsi="宋体" w:eastAsia="宋体" w:cs="宋体"/>
          <w:bCs/>
          <w:color w:val="auto"/>
          <w:sz w:val="28"/>
          <w:szCs w:val="28"/>
          <w:highlight w:val="none"/>
        </w:rPr>
        <w:t>规范应在本合同执行过程中均为有效，若其中</w:t>
      </w:r>
      <w:r>
        <w:rPr>
          <w:rFonts w:hint="eastAsia" w:hAnsi="宋体" w:cs="宋体"/>
          <w:bCs/>
          <w:color w:val="auto"/>
          <w:sz w:val="28"/>
          <w:szCs w:val="28"/>
          <w:highlight w:val="none"/>
          <w:lang w:eastAsia="zh-CN"/>
        </w:rPr>
        <w:t>所列的</w:t>
      </w:r>
      <w:r>
        <w:rPr>
          <w:rFonts w:hint="eastAsia" w:ascii="宋体" w:hAnsi="宋体" w:eastAsia="宋体" w:cs="宋体"/>
          <w:bCs/>
          <w:color w:val="auto"/>
          <w:sz w:val="28"/>
          <w:szCs w:val="28"/>
          <w:highlight w:val="none"/>
        </w:rPr>
        <w:t>标准</w:t>
      </w:r>
      <w:r>
        <w:rPr>
          <w:rFonts w:hint="eastAsia" w:hAnsi="宋体" w:cs="宋体"/>
          <w:bCs/>
          <w:color w:val="auto"/>
          <w:sz w:val="28"/>
          <w:szCs w:val="28"/>
          <w:highlight w:val="none"/>
          <w:lang w:eastAsia="zh-CN"/>
        </w:rPr>
        <w:t>、</w:t>
      </w:r>
      <w:r>
        <w:rPr>
          <w:rFonts w:hint="eastAsia" w:ascii="宋体" w:hAnsi="宋体" w:eastAsia="宋体" w:cs="宋体"/>
          <w:bCs/>
          <w:color w:val="auto"/>
          <w:sz w:val="28"/>
          <w:szCs w:val="28"/>
          <w:highlight w:val="none"/>
        </w:rPr>
        <w:t>规程</w:t>
      </w:r>
      <w:r>
        <w:rPr>
          <w:rFonts w:hint="eastAsia" w:hAnsi="宋体" w:cs="宋体"/>
          <w:bCs/>
          <w:color w:val="auto"/>
          <w:sz w:val="28"/>
          <w:szCs w:val="28"/>
          <w:highlight w:val="none"/>
          <w:lang w:eastAsia="zh-CN"/>
        </w:rPr>
        <w:t>和</w:t>
      </w:r>
      <w:r>
        <w:rPr>
          <w:rFonts w:hint="eastAsia" w:ascii="宋体" w:hAnsi="宋体" w:eastAsia="宋体" w:cs="宋体"/>
          <w:bCs/>
          <w:color w:val="auto"/>
          <w:sz w:val="28"/>
          <w:szCs w:val="28"/>
          <w:highlight w:val="none"/>
        </w:rPr>
        <w:t>规范进行了修订，则应执行其最新版本</w:t>
      </w:r>
      <w:r>
        <w:rPr>
          <w:rFonts w:hint="eastAsia" w:ascii="宋体" w:hAnsi="宋体" w:eastAsia="宋体" w:cs="宋体"/>
          <w:bCs/>
          <w:color w:val="auto"/>
          <w:sz w:val="28"/>
          <w:szCs w:val="28"/>
          <w:highlight w:val="none"/>
          <w:lang w:eastAsia="zh-CN"/>
        </w:rPr>
        <w:t>，包括但不限于以下技术标准：</w:t>
      </w:r>
    </w:p>
    <w:bookmarkEnd w:id="22"/>
    <w:bookmarkEnd w:id="23"/>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rFonts w:hint="eastAsia"/>
          <w:color w:val="auto"/>
          <w:szCs w:val="21"/>
          <w:highlight w:val="none"/>
          <w:lang w:val="en-US" w:eastAsia="zh-CN"/>
          <w:woUserID w:val="1"/>
        </w:rPr>
        <w:t>《小型水电站安全检测与评价规范》（GB/T50876-2013）</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《生产过程危险和有害因素分类与代码》（GB/T</w:t>
      </w:r>
      <w:r>
        <w:rPr>
          <w:rFonts w:hint="eastAsia"/>
          <w:sz w:val="28"/>
          <w:szCs w:val="28"/>
        </w:rPr>
        <w:t xml:space="preserve"> </w:t>
      </w:r>
      <w:r>
        <w:rPr>
          <w:sz w:val="28"/>
          <w:szCs w:val="28"/>
        </w:rPr>
        <w:t>13861-2022）</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《企业职工伤亡事故分类》（GB 6441-1986）</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rStyle w:val="14"/>
          <w:rFonts w:hint="eastAsia"/>
        </w:rPr>
        <w:t>《小型水电站安全检测与评价规范》（GB</w:t>
      </w:r>
      <w:r>
        <w:rPr>
          <w:rStyle w:val="14"/>
        </w:rPr>
        <w:t>/</w:t>
      </w:r>
      <w:r>
        <w:rPr>
          <w:rStyle w:val="14"/>
          <w:rFonts w:hint="eastAsia"/>
        </w:rPr>
        <w:t>T 50876-2013）</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rFonts w:hint="eastAsia"/>
          <w:sz w:val="28"/>
          <w:szCs w:val="28"/>
        </w:rPr>
        <w:t>《生产经营单位生产安全事故应急预案编制导则》（GB/T 29639-2020）</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sz w:val="28"/>
          <w:szCs w:val="28"/>
        </w:rPr>
        <w:t>《小型水力发电站设计规范》（GB</w:t>
      </w:r>
      <w:r>
        <w:rPr>
          <w:rFonts w:hint="eastAsia"/>
          <w:sz w:val="28"/>
          <w:szCs w:val="28"/>
        </w:rPr>
        <w:t xml:space="preserve"> </w:t>
      </w:r>
      <w:r>
        <w:rPr>
          <w:sz w:val="28"/>
          <w:szCs w:val="28"/>
        </w:rPr>
        <w:t>50071-20</w:t>
      </w:r>
      <w:r>
        <w:rPr>
          <w:rFonts w:hint="eastAsia"/>
          <w:sz w:val="28"/>
          <w:szCs w:val="28"/>
        </w:rPr>
        <w:t>14</w:t>
      </w:r>
      <w:r>
        <w:rPr>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rFonts w:hint="eastAsia"/>
          <w:sz w:val="28"/>
          <w:szCs w:val="28"/>
        </w:rPr>
        <w:t>《水利水电工程劳动安全与工业卫生设计规范》（GB 50706-2011）</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《防洪标准》（GB 50201-</w:t>
      </w:r>
      <w:r>
        <w:rPr>
          <w:rFonts w:hint="eastAsia"/>
          <w:sz w:val="28"/>
          <w:szCs w:val="28"/>
        </w:rPr>
        <w:t>2014</w:t>
      </w:r>
      <w:r>
        <w:rPr>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pPr>
      <w:r>
        <w:rPr>
          <w:rFonts w:hint="eastAsia"/>
          <w:sz w:val="28"/>
          <w:szCs w:val="28"/>
        </w:rPr>
        <w:t>《电力生产人身事故伤害分类与代码》（</w:t>
      </w:r>
      <w:r>
        <w:rPr>
          <w:sz w:val="28"/>
          <w:szCs w:val="28"/>
        </w:rPr>
        <w:t>DL/T 518-2012</w:t>
      </w:r>
      <w:r>
        <w:rPr>
          <w:rFonts w:hint="eastAsia"/>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pPr>
      <w:r>
        <w:rPr>
          <w:rFonts w:hint="eastAsia"/>
          <w:sz w:val="28"/>
          <w:szCs w:val="28"/>
        </w:rPr>
        <w:t>《水利水电工程等级划分及洪水标准》（SL252-2017）</w:t>
      </w:r>
    </w:p>
    <w:p>
      <w:pPr>
        <w:pStyle w:val="2"/>
        <w:ind w:left="0" w:leftChars="0" w:firstLine="0" w:firstLineChars="0"/>
        <w:rPr>
          <w:rFonts w:hint="eastAsia" w:ascii="仿宋" w:hAnsi="仿宋" w:eastAsia="宋体" w:cs="仿宋"/>
          <w:b/>
          <w:bCs/>
          <w:color w:val="auto"/>
          <w:sz w:val="32"/>
          <w:szCs w:val="32"/>
          <w:highlight w:val="none"/>
          <w:lang w:val="en-US" w:eastAsia="zh-CN"/>
        </w:rPr>
      </w:pPr>
      <w:r>
        <w:rPr>
          <w:rFonts w:hint="eastAsia" w:ascii="仿宋" w:hAnsi="仿宋" w:eastAsia="宋体" w:cs="仿宋"/>
          <w:b/>
          <w:bCs/>
          <w:color w:val="auto"/>
          <w:sz w:val="32"/>
          <w:szCs w:val="32"/>
          <w:highlight w:val="none"/>
          <w:lang w:val="en-US" w:eastAsia="zh-CN"/>
        </w:rPr>
        <w:t>5.技术规范和指标要求</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pStyle w:val="6"/>
        <w:rPr>
          <w:rFonts w:hint="default" w:hAnsi="宋体" w:eastAsia="宋体" w:cs="宋体"/>
          <w:b/>
          <w:bCs w:val="0"/>
          <w:color w:val="auto"/>
          <w:sz w:val="28"/>
          <w:szCs w:val="28"/>
          <w:highlight w:val="none"/>
          <w:lang w:val="en-US" w:eastAsia="zh-CN"/>
        </w:rPr>
      </w:pPr>
      <w:r>
        <w:rPr>
          <w:rFonts w:hint="eastAsia" w:hAnsi="宋体" w:eastAsia="宋体" w:cs="宋体"/>
          <w:b/>
          <w:bCs w:val="0"/>
          <w:color w:val="auto"/>
          <w:sz w:val="28"/>
          <w:szCs w:val="28"/>
          <w:highlight w:val="none"/>
          <w:lang w:val="en-US" w:eastAsia="zh-CN"/>
        </w:rPr>
        <w:t>5</w:t>
      </w:r>
      <w:r>
        <w:rPr>
          <w:rFonts w:hint="eastAsia" w:ascii="宋体" w:hAnsi="宋体" w:eastAsia="宋体" w:cs="宋体"/>
          <w:b/>
          <w:bCs w:val="0"/>
          <w:color w:val="auto"/>
          <w:sz w:val="28"/>
          <w:szCs w:val="28"/>
          <w:highlight w:val="none"/>
          <w:lang w:val="en-US" w:eastAsia="zh-CN"/>
        </w:rPr>
        <w:t>.</w:t>
      </w:r>
      <w:r>
        <w:rPr>
          <w:rFonts w:hint="eastAsia" w:hAnsi="宋体" w:eastAsia="宋体" w:cs="宋体"/>
          <w:b/>
          <w:bCs w:val="0"/>
          <w:color w:val="auto"/>
          <w:sz w:val="28"/>
          <w:szCs w:val="28"/>
          <w:highlight w:val="none"/>
          <w:lang w:val="en-US" w:eastAsia="zh-CN"/>
        </w:rPr>
        <w:t>1 安全检测与评价目的及范围</w:t>
      </w:r>
    </w:p>
    <w:p>
      <w:pPr>
        <w:pStyle w:val="3"/>
        <w:keepNext/>
        <w:keepLines/>
        <w:pageBreakBefore w:val="0"/>
        <w:widowControl w:val="0"/>
        <w:tabs>
          <w:tab w:val="clear" w:pos="0"/>
        </w:tabs>
        <w:kinsoku/>
        <w:wordWrap/>
        <w:overflowPunct/>
        <w:topLinePunct w:val="0"/>
        <w:autoSpaceDE/>
        <w:autoSpaceDN/>
        <w:bidi w:val="0"/>
        <w:adjustRightInd/>
        <w:snapToGrid/>
        <w:spacing w:line="560" w:lineRule="exact"/>
        <w:ind w:firstLine="561" w:firstLineChars="200"/>
        <w:jc w:val="left"/>
        <w:textAlignment w:val="auto"/>
        <w:rPr>
          <w:rFonts w:hint="eastAsia" w:ascii="宋体" w:hAnsi="宋体" w:eastAsia="宋体" w:cs="宋体"/>
          <w:b/>
          <w:bCs/>
          <w:color w:val="auto"/>
          <w:sz w:val="28"/>
          <w:szCs w:val="28"/>
          <w:highlight w:val="none"/>
          <w:lang w:val="en-US" w:eastAsia="zh-CN"/>
        </w:rPr>
      </w:pPr>
      <w:bookmarkStart w:id="24" w:name="_Toc10615_WPSOffice_Level1"/>
      <w:bookmarkStart w:id="25" w:name="_Toc29954"/>
      <w:r>
        <w:rPr>
          <w:rFonts w:hint="eastAsia" w:ascii="宋体" w:hAnsi="宋体" w:eastAsia="宋体" w:cs="宋体"/>
          <w:b/>
          <w:bCs/>
          <w:color w:val="auto"/>
          <w:sz w:val="28"/>
          <w:szCs w:val="28"/>
          <w:highlight w:val="none"/>
          <w:lang w:val="en-US" w:eastAsia="zh-CN"/>
        </w:rPr>
        <w:t>5.1.1目的</w:t>
      </w:r>
      <w:bookmarkEnd w:id="24"/>
      <w:bookmarkEnd w:id="25"/>
    </w:p>
    <w:p>
      <w:pPr>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宋体" w:hAnsi="宋体" w:eastAsia="宋体" w:cs="宋体"/>
          <w:color w:val="auto"/>
          <w:sz w:val="28"/>
          <w:szCs w:val="28"/>
          <w:highlight w:val="none"/>
          <w:lang w:val="en-US" w:eastAsia="zh-CN"/>
        </w:rPr>
      </w:pPr>
      <w:bookmarkStart w:id="26" w:name="_Toc488157761"/>
      <w:bookmarkStart w:id="27" w:name="_Toc381369562"/>
      <w:r>
        <w:rPr>
          <w:rFonts w:hint="eastAsia" w:ascii="宋体" w:hAnsi="宋体" w:eastAsia="宋体" w:cs="宋体"/>
          <w:color w:val="auto"/>
          <w:sz w:val="28"/>
          <w:szCs w:val="28"/>
          <w:highlight w:val="none"/>
          <w:lang w:val="en-US" w:eastAsia="zh-CN"/>
        </w:rPr>
        <w:t>对</w:t>
      </w:r>
      <w:r>
        <w:rPr>
          <w:rFonts w:hint="eastAsia"/>
          <w:color w:val="auto"/>
          <w:szCs w:val="21"/>
          <w:highlight w:val="none"/>
          <w:lang w:val="en-US" w:eastAsia="zh-CN"/>
        </w:rPr>
        <w:t>碧松就、鸡街、二河沟三级电站开展安全检测与评价工作，出具安全检测与评价报告</w:t>
      </w:r>
      <w:r>
        <w:rPr>
          <w:rFonts w:hint="eastAsia" w:hAnsi="宋体" w:cs="宋体"/>
          <w:color w:val="auto"/>
          <w:sz w:val="28"/>
          <w:szCs w:val="28"/>
          <w:highlight w:val="none"/>
          <w:lang w:val="en-US" w:eastAsia="zh-CN"/>
        </w:rPr>
        <w:t>。</w:t>
      </w:r>
    </w:p>
    <w:p>
      <w:pPr>
        <w:pStyle w:val="3"/>
        <w:keepNext/>
        <w:keepLines/>
        <w:pageBreakBefore w:val="0"/>
        <w:widowControl w:val="0"/>
        <w:tabs>
          <w:tab w:val="clear" w:pos="0"/>
        </w:tabs>
        <w:kinsoku/>
        <w:wordWrap/>
        <w:overflowPunct/>
        <w:topLinePunct w:val="0"/>
        <w:autoSpaceDE/>
        <w:autoSpaceDN/>
        <w:bidi w:val="0"/>
        <w:adjustRightInd/>
        <w:snapToGrid/>
        <w:spacing w:line="560" w:lineRule="exact"/>
        <w:ind w:firstLine="561" w:firstLineChars="200"/>
        <w:jc w:val="left"/>
        <w:textAlignment w:val="auto"/>
        <w:rPr>
          <w:rFonts w:hint="eastAsia" w:ascii="宋体" w:hAnsi="宋体" w:eastAsia="宋体" w:cs="宋体"/>
          <w:b/>
          <w:bCs/>
          <w:color w:val="auto"/>
          <w:sz w:val="28"/>
          <w:szCs w:val="28"/>
          <w:highlight w:val="none"/>
          <w:lang w:val="en-US" w:eastAsia="zh-CN"/>
        </w:rPr>
      </w:pPr>
      <w:bookmarkStart w:id="28" w:name="_Toc4275"/>
      <w:bookmarkStart w:id="29" w:name="_Toc21547"/>
      <w:bookmarkStart w:id="30" w:name="_Toc4782_WPSOffice_Level1"/>
      <w:r>
        <w:rPr>
          <w:rFonts w:hint="eastAsia" w:ascii="宋体" w:hAnsi="宋体" w:eastAsia="宋体" w:cs="宋体"/>
          <w:b/>
          <w:bCs/>
          <w:color w:val="auto"/>
          <w:sz w:val="28"/>
          <w:szCs w:val="28"/>
          <w:highlight w:val="none"/>
          <w:lang w:val="en-US" w:eastAsia="zh-CN"/>
        </w:rPr>
        <w:t>5.1.2工作项目及范围</w:t>
      </w:r>
      <w:bookmarkEnd w:id="28"/>
      <w:bookmarkEnd w:id="29"/>
      <w:bookmarkEnd w:id="30"/>
    </w:p>
    <w:p>
      <w:pPr>
        <w:pageBreakBefore w:val="0"/>
        <w:widowControl w:val="0"/>
        <w:numPr>
          <w:ilvl w:val="0"/>
          <w:numId w:val="0"/>
        </w:numPr>
        <w:kinsoku/>
        <w:wordWrap/>
        <w:overflowPunct/>
        <w:topLinePunct w:val="0"/>
        <w:autoSpaceDE/>
        <w:autoSpaceDN/>
        <w:bidi w:val="0"/>
        <w:adjustRightInd/>
        <w:snapToGrid w:val="0"/>
        <w:spacing w:line="560" w:lineRule="exact"/>
        <w:ind w:leftChars="0" w:firstLine="560" w:firstLineChars="200"/>
        <w:jc w:val="left"/>
        <w:textAlignment w:val="auto"/>
        <w:rPr>
          <w:rFonts w:hint="eastAsia" w:ascii="宋体" w:hAnsi="宋体" w:eastAsia="宋体" w:cs="宋体"/>
          <w:color w:val="auto"/>
          <w:sz w:val="28"/>
          <w:szCs w:val="28"/>
          <w:highlight w:val="none"/>
          <w:lang w:val="en-US" w:eastAsia="zh-CN"/>
        </w:rPr>
      </w:pPr>
      <w:bookmarkStart w:id="31" w:name="_Toc26779_WPSOffice_Level2"/>
      <w:bookmarkStart w:id="32" w:name="_Toc29984_WPSOffice_Level2"/>
      <w:r>
        <w:rPr>
          <w:rFonts w:hint="eastAsia" w:hAnsi="宋体" w:cs="宋体"/>
          <w:color w:val="auto"/>
          <w:sz w:val="28"/>
          <w:szCs w:val="28"/>
          <w:highlight w:val="none"/>
          <w:lang w:val="en-US" w:eastAsia="zh-CN"/>
        </w:rPr>
        <w:t>（1）投标单位通过查阅相关试验，如发电机稳定性试验、发电机定子交流耐压试验、发电机定子直流泄漏及耐压试验、定子直流电阻试验、转子交流阻抗和交流耐压、主变油色谱、糠醛含量、调速系统动、静态、甩负荷试验等一系列试验，综合对电站进行安全</w:t>
      </w:r>
      <w:bookmarkEnd w:id="31"/>
      <w:bookmarkEnd w:id="32"/>
      <w:r>
        <w:rPr>
          <w:rFonts w:hint="eastAsia" w:hAnsi="宋体" w:cs="宋体"/>
          <w:color w:val="auto"/>
          <w:sz w:val="28"/>
          <w:szCs w:val="28"/>
          <w:highlight w:val="none"/>
          <w:lang w:val="en-US" w:eastAsia="zh-CN"/>
        </w:rPr>
        <w:t>检测与评价。</w:t>
      </w:r>
    </w:p>
    <w:p>
      <w:pPr>
        <w:pageBreakBefore w:val="0"/>
        <w:widowControl w:val="0"/>
        <w:numPr>
          <w:ilvl w:val="0"/>
          <w:numId w:val="0"/>
        </w:numPr>
        <w:kinsoku/>
        <w:wordWrap/>
        <w:overflowPunct/>
        <w:topLinePunct w:val="0"/>
        <w:autoSpaceDE/>
        <w:autoSpaceDN/>
        <w:bidi w:val="0"/>
        <w:adjustRightInd/>
        <w:spacing w:line="560" w:lineRule="exact"/>
        <w:ind w:leftChars="0" w:firstLine="560" w:firstLineChars="200"/>
        <w:jc w:val="left"/>
        <w:textAlignment w:val="auto"/>
        <w:rPr>
          <w:rFonts w:hint="eastAsia"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设备安全评估：</w:t>
      </w:r>
      <w:r>
        <w:rPr>
          <w:rFonts w:hint="eastAsia"/>
          <w:color w:val="auto"/>
        </w:rPr>
        <w:t>评价</w:t>
      </w:r>
      <w:r>
        <w:rPr>
          <w:color w:val="auto"/>
        </w:rPr>
        <w:t>单元</w:t>
      </w:r>
      <w:r>
        <w:rPr>
          <w:rFonts w:hint="eastAsia"/>
          <w:color w:val="auto"/>
        </w:rPr>
        <w:t>由相对独立、相互联系的几个子系统组成，为便于安全评价工作的具体实施，</w:t>
      </w:r>
      <w:r>
        <w:rPr>
          <w:rFonts w:hint="eastAsia"/>
          <w:snapToGrid w:val="0"/>
          <w:color w:val="auto"/>
        </w:rPr>
        <w:t>根据该水电站主要危险、有害因素的性质和分布情况，结合GB/T50876-2013《小型水电站安全检测与评价规范》要求进行</w:t>
      </w:r>
      <w:r>
        <w:rPr>
          <w:rFonts w:hint="eastAsia"/>
          <w:snapToGrid w:val="0"/>
          <w:color w:val="auto"/>
          <w:lang w:val="en-US" w:eastAsia="zh-CN"/>
        </w:rPr>
        <w:t>评级</w:t>
      </w:r>
      <w:r>
        <w:rPr>
          <w:rFonts w:hint="eastAsia" w:ascii="宋体" w:hAnsi="宋体" w:eastAsia="宋体" w:cs="宋体"/>
          <w:color w:val="auto"/>
          <w:sz w:val="28"/>
          <w:szCs w:val="28"/>
          <w:highlight w:val="none"/>
          <w:lang w:val="en-US" w:eastAsia="zh-CN"/>
        </w:rPr>
        <w:t>。</w:t>
      </w:r>
    </w:p>
    <w:p>
      <w:pPr>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安全生产评估：主要是评估电站的安全生产组织、制度、措施，以及运行维护管理。通过评估，进一步</w:t>
      </w:r>
      <w:r>
        <w:rPr>
          <w:rFonts w:hint="eastAsia" w:hAnsi="宋体" w:cs="宋体"/>
          <w:color w:val="auto"/>
          <w:sz w:val="28"/>
          <w:szCs w:val="28"/>
          <w:highlight w:val="none"/>
          <w:lang w:val="en-US" w:eastAsia="zh-CN"/>
        </w:rPr>
        <w:t>对电站进行评级</w:t>
      </w:r>
      <w:r>
        <w:rPr>
          <w:rFonts w:hint="eastAsia" w:ascii="宋体" w:hAnsi="宋体" w:eastAsia="宋体" w:cs="宋体"/>
          <w:color w:val="auto"/>
          <w:sz w:val="28"/>
          <w:szCs w:val="28"/>
          <w:highlight w:val="none"/>
          <w:lang w:val="en-US" w:eastAsia="zh-CN"/>
        </w:rPr>
        <w:t>。</w:t>
      </w:r>
      <w:bookmarkEnd w:id="26"/>
      <w:bookmarkEnd w:id="27"/>
      <w:bookmarkStart w:id="33" w:name="_Toc34159405"/>
      <w:bookmarkStart w:id="34" w:name="_Toc488157765"/>
    </w:p>
    <w:p>
      <w:pPr>
        <w:pStyle w:val="2"/>
        <w:pageBreakBefore w:val="0"/>
        <w:widowControl w:val="0"/>
        <w:kinsoku/>
        <w:wordWrap/>
        <w:overflowPunct/>
        <w:topLinePunct w:val="0"/>
        <w:autoSpaceDE/>
        <w:autoSpaceDN/>
        <w:bidi w:val="0"/>
        <w:adjustRightInd/>
        <w:spacing w:before="0" w:after="0" w:line="560" w:lineRule="exact"/>
        <w:ind w:firstLine="560" w:firstLineChars="200"/>
        <w:jc w:val="left"/>
        <w:textAlignment w:val="auto"/>
        <w:rPr>
          <w:rFonts w:hint="eastAsia"/>
          <w:color w:val="auto"/>
          <w:lang w:val="en-US" w:eastAsia="zh-CN"/>
        </w:rPr>
      </w:pPr>
      <w:r>
        <w:rPr>
          <w:rFonts w:hint="eastAsia" w:hAnsi="宋体" w:cs="宋体"/>
          <w:color w:val="auto"/>
          <w:sz w:val="28"/>
          <w:szCs w:val="28"/>
          <w:highlight w:val="none"/>
          <w:lang w:val="en-US" w:eastAsia="zh-CN"/>
        </w:rPr>
        <w:t>（4）</w:t>
      </w:r>
      <w:r>
        <w:rPr>
          <w:rFonts w:hint="eastAsia"/>
        </w:rPr>
        <w:t>安全等级评定</w:t>
      </w:r>
      <w:r>
        <w:rPr>
          <w:rFonts w:hint="eastAsia"/>
          <w:lang w:eastAsia="zh-CN"/>
        </w:rPr>
        <w:t>：</w:t>
      </w:r>
      <w:r>
        <w:rPr>
          <w:rFonts w:hint="eastAsia" w:hAnsi="宋体"/>
          <w:sz w:val="28"/>
          <w:szCs w:val="28"/>
        </w:rPr>
        <w:t>根据GB/T50876-2013《小型水电站安全检测与评价规范》附录B，结合定性、定量评价结果，</w:t>
      </w:r>
      <w:r>
        <w:rPr>
          <w:rFonts w:hint="eastAsia" w:hAnsi="宋体"/>
          <w:color w:val="auto"/>
          <w:sz w:val="28"/>
          <w:szCs w:val="28"/>
        </w:rPr>
        <w:t>作出安全等级评定</w:t>
      </w:r>
      <w:r>
        <w:rPr>
          <w:rFonts w:hint="eastAsia" w:hAnsi="宋体"/>
          <w:color w:val="auto"/>
          <w:sz w:val="28"/>
          <w:szCs w:val="28"/>
          <w:lang w:eastAsia="zh-CN"/>
        </w:rPr>
        <w:t>。</w:t>
      </w:r>
    </w:p>
    <w:bookmarkEnd w:id="33"/>
    <w:bookmarkEnd w:id="34"/>
    <w:p>
      <w:pPr>
        <w:pStyle w:val="3"/>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Chars="0"/>
        <w:jc w:val="left"/>
        <w:textAlignment w:val="auto"/>
        <w:rPr>
          <w:rFonts w:hint="eastAsia" w:ascii="宋体" w:hAnsi="宋体" w:eastAsia="宋体" w:cs="宋体"/>
          <w:b/>
          <w:bCs/>
          <w:color w:val="auto"/>
          <w:sz w:val="28"/>
          <w:szCs w:val="28"/>
          <w:highlight w:val="none"/>
          <w:lang w:val="en-US" w:eastAsia="zh-CN"/>
        </w:rPr>
      </w:pPr>
      <w:bookmarkStart w:id="35" w:name="_Toc24042_WPSOffice_Level1"/>
      <w:bookmarkStart w:id="36" w:name="_Toc10647"/>
      <w:bookmarkStart w:id="37" w:name="_Toc12909"/>
      <w:r>
        <w:rPr>
          <w:rFonts w:hint="eastAsia" w:ascii="宋体" w:hAnsi="宋体" w:eastAsia="宋体" w:cs="宋体"/>
          <w:b/>
          <w:bCs/>
          <w:color w:val="auto"/>
          <w:sz w:val="28"/>
          <w:szCs w:val="28"/>
          <w:highlight w:val="none"/>
          <w:lang w:val="en-US" w:eastAsia="zh-CN"/>
        </w:rPr>
        <w:t>5.2电站安全检测与评价方法</w:t>
      </w:r>
      <w:bookmarkEnd w:id="35"/>
      <w:bookmarkEnd w:id="36"/>
      <w:bookmarkEnd w:id="37"/>
    </w:p>
    <w:p>
      <w:pPr>
        <w:snapToGrid w:val="0"/>
        <w:spacing w:line="360" w:lineRule="auto"/>
        <w:jc w:val="left"/>
        <w:outlineLvl w:val="1"/>
        <w:rPr>
          <w:rFonts w:hint="eastAsia" w:ascii="宋体" w:hAnsi="宋体" w:eastAsia="宋体" w:cs="宋体"/>
          <w:b/>
          <w:bCs/>
          <w:color w:val="auto"/>
          <w:sz w:val="28"/>
          <w:szCs w:val="28"/>
          <w:highlight w:val="none"/>
          <w:lang w:val="en-US" w:eastAsia="zh-CN"/>
        </w:rPr>
      </w:pPr>
      <w:bookmarkStart w:id="38" w:name="_Toc19479_WPSOffice_Level2"/>
      <w:bookmarkStart w:id="39" w:name="_Toc25523"/>
      <w:bookmarkStart w:id="40" w:name="_Toc2972"/>
      <w:bookmarkStart w:id="41" w:name="_Toc11008_WPSOffice_Level2"/>
      <w:r>
        <w:rPr>
          <w:rFonts w:hint="eastAsia" w:hAnsi="宋体" w:cs="宋体"/>
          <w:b/>
          <w:bCs/>
          <w:color w:val="auto"/>
          <w:sz w:val="28"/>
          <w:szCs w:val="28"/>
          <w:highlight w:val="none"/>
          <w:lang w:val="en-US" w:eastAsia="zh-CN"/>
        </w:rPr>
        <w:t>5.2</w:t>
      </w:r>
      <w:r>
        <w:rPr>
          <w:rFonts w:hint="eastAsia" w:ascii="宋体" w:hAnsi="宋体" w:eastAsia="宋体" w:cs="宋体"/>
          <w:b/>
          <w:bCs/>
          <w:color w:val="auto"/>
          <w:sz w:val="28"/>
          <w:szCs w:val="28"/>
          <w:highlight w:val="none"/>
          <w:lang w:val="en-US" w:eastAsia="zh-CN"/>
        </w:rPr>
        <w:t>.1前期准备工作（预评估）</w:t>
      </w:r>
      <w:bookmarkEnd w:id="38"/>
      <w:bookmarkEnd w:id="39"/>
      <w:bookmarkEnd w:id="40"/>
      <w:bookmarkEnd w:id="41"/>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宋体" w:hAnsi="宋体" w:eastAsia="宋体" w:cs="宋体"/>
          <w:color w:val="auto"/>
          <w:spacing w:val="10"/>
          <w:sz w:val="28"/>
          <w:szCs w:val="28"/>
          <w:highlight w:val="none"/>
          <w:lang w:val="en-US" w:eastAsia="zh-CN"/>
        </w:rPr>
      </w:pPr>
      <w:r>
        <w:rPr>
          <w:rFonts w:hint="eastAsia" w:ascii="宋体" w:hAnsi="宋体" w:eastAsia="宋体" w:cs="宋体"/>
          <w:color w:val="auto"/>
          <w:spacing w:val="10"/>
          <w:sz w:val="28"/>
          <w:szCs w:val="28"/>
          <w:highlight w:val="none"/>
          <w:lang w:val="en-US" w:eastAsia="zh-CN"/>
        </w:rPr>
        <w:t>收集并分析</w:t>
      </w:r>
      <w:r>
        <w:rPr>
          <w:rFonts w:hint="eastAsia" w:hAnsi="宋体" w:cs="宋体"/>
          <w:color w:val="auto"/>
          <w:spacing w:val="10"/>
          <w:sz w:val="28"/>
          <w:szCs w:val="28"/>
          <w:highlight w:val="none"/>
          <w:lang w:val="en-US" w:eastAsia="zh-CN"/>
        </w:rPr>
        <w:t>电站</w:t>
      </w:r>
      <w:r>
        <w:rPr>
          <w:rFonts w:hint="eastAsia" w:ascii="宋体" w:hAnsi="宋体" w:eastAsia="宋体" w:cs="宋体"/>
          <w:color w:val="auto"/>
          <w:spacing w:val="10"/>
          <w:sz w:val="28"/>
          <w:szCs w:val="28"/>
          <w:highlight w:val="none"/>
          <w:lang w:val="en-US" w:eastAsia="zh-CN"/>
        </w:rPr>
        <w:t>相关设备的试验检测情况及结果。</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宋体" w:hAnsi="宋体" w:eastAsia="宋体" w:cs="宋体"/>
          <w:color w:val="auto"/>
          <w:spacing w:val="10"/>
          <w:sz w:val="28"/>
          <w:szCs w:val="28"/>
          <w:highlight w:val="none"/>
          <w:lang w:val="en-US" w:eastAsia="zh-CN"/>
        </w:rPr>
      </w:pPr>
      <w:r>
        <w:rPr>
          <w:rFonts w:hint="eastAsia" w:ascii="宋体" w:hAnsi="宋体" w:eastAsia="宋体" w:cs="宋体"/>
          <w:color w:val="auto"/>
          <w:spacing w:val="10"/>
          <w:sz w:val="28"/>
          <w:szCs w:val="28"/>
          <w:highlight w:val="none"/>
          <w:lang w:val="en-US" w:eastAsia="zh-CN"/>
        </w:rPr>
        <w:t>以上工作，乙方可以到甲方现场，也可以通过协商解决。</w:t>
      </w:r>
    </w:p>
    <w:p>
      <w:pPr>
        <w:spacing w:line="360" w:lineRule="auto"/>
        <w:outlineLvl w:val="1"/>
        <w:rPr>
          <w:rFonts w:hint="eastAsia" w:ascii="宋体" w:hAnsi="宋体" w:eastAsia="宋体" w:cs="宋体"/>
          <w:b/>
          <w:bCs/>
          <w:color w:val="auto"/>
          <w:spacing w:val="10"/>
          <w:sz w:val="28"/>
          <w:szCs w:val="28"/>
          <w:highlight w:val="none"/>
          <w:lang w:val="en-US" w:eastAsia="zh-CN"/>
        </w:rPr>
      </w:pPr>
      <w:bookmarkStart w:id="42" w:name="_Toc30900"/>
      <w:bookmarkStart w:id="43" w:name="_Toc14331"/>
      <w:bookmarkStart w:id="44" w:name="_Toc30331_WPSOffice_Level2"/>
      <w:bookmarkStart w:id="45" w:name="_Toc15146_WPSOffice_Level2"/>
      <w:r>
        <w:rPr>
          <w:rFonts w:hint="eastAsia" w:hAnsi="宋体" w:cs="宋体"/>
          <w:b/>
          <w:bCs/>
          <w:color w:val="auto"/>
          <w:spacing w:val="10"/>
          <w:sz w:val="28"/>
          <w:szCs w:val="28"/>
          <w:highlight w:val="none"/>
          <w:lang w:val="en-US" w:eastAsia="zh-CN"/>
        </w:rPr>
        <w:t>5.2</w:t>
      </w:r>
      <w:r>
        <w:rPr>
          <w:rFonts w:hint="eastAsia" w:ascii="宋体" w:hAnsi="宋体" w:eastAsia="宋体" w:cs="宋体"/>
          <w:b/>
          <w:bCs/>
          <w:color w:val="auto"/>
          <w:spacing w:val="10"/>
          <w:sz w:val="28"/>
          <w:szCs w:val="28"/>
          <w:highlight w:val="none"/>
          <w:lang w:val="en-US" w:eastAsia="zh-CN"/>
        </w:rPr>
        <w:t>.2现场综合评</w:t>
      </w:r>
      <w:bookmarkEnd w:id="42"/>
      <w:bookmarkEnd w:id="43"/>
      <w:bookmarkEnd w:id="44"/>
      <w:bookmarkEnd w:id="45"/>
      <w:r>
        <w:rPr>
          <w:rFonts w:hint="eastAsia" w:hAnsi="宋体" w:cs="宋体"/>
          <w:b/>
          <w:bCs/>
          <w:color w:val="auto"/>
          <w:spacing w:val="10"/>
          <w:sz w:val="28"/>
          <w:szCs w:val="28"/>
          <w:highlight w:val="none"/>
          <w:lang w:val="en-US" w:eastAsia="zh-CN"/>
        </w:rPr>
        <w:t>价</w:t>
      </w:r>
    </w:p>
    <w:p>
      <w:pPr>
        <w:spacing w:line="360" w:lineRule="auto"/>
        <w:rPr>
          <w:rFonts w:hint="eastAsia" w:ascii="宋体" w:hAnsi="宋体" w:eastAsia="宋体" w:cs="宋体"/>
          <w:b/>
          <w:bCs/>
          <w:color w:val="auto"/>
          <w:spacing w:val="10"/>
          <w:sz w:val="28"/>
          <w:szCs w:val="28"/>
          <w:highlight w:val="none"/>
          <w:lang w:val="en-US" w:eastAsia="zh-CN"/>
        </w:rPr>
      </w:pPr>
      <w:r>
        <w:rPr>
          <w:rFonts w:hint="eastAsia" w:ascii="宋体" w:hAnsi="宋体" w:eastAsia="宋体" w:cs="宋体"/>
          <w:b/>
          <w:bCs/>
          <w:color w:val="auto"/>
          <w:spacing w:val="10"/>
          <w:sz w:val="28"/>
          <w:szCs w:val="28"/>
          <w:highlight w:val="none"/>
          <w:lang w:val="en-US" w:eastAsia="zh-CN"/>
        </w:rPr>
        <w:t>（1）成立评</w:t>
      </w:r>
      <w:r>
        <w:rPr>
          <w:rFonts w:hint="eastAsia" w:hAnsi="宋体" w:cs="宋体"/>
          <w:b/>
          <w:bCs/>
          <w:color w:val="auto"/>
          <w:spacing w:val="10"/>
          <w:sz w:val="28"/>
          <w:szCs w:val="28"/>
          <w:highlight w:val="none"/>
          <w:lang w:val="en-US" w:eastAsia="zh-CN"/>
        </w:rPr>
        <w:t>价</w:t>
      </w:r>
      <w:r>
        <w:rPr>
          <w:rFonts w:hint="eastAsia" w:ascii="宋体" w:hAnsi="宋体" w:eastAsia="宋体" w:cs="宋体"/>
          <w:b/>
          <w:bCs/>
          <w:color w:val="auto"/>
          <w:spacing w:val="10"/>
          <w:sz w:val="28"/>
          <w:szCs w:val="28"/>
          <w:highlight w:val="none"/>
          <w:lang w:val="en-US" w:eastAsia="zh-CN"/>
        </w:rPr>
        <w:t>技术专家组</w:t>
      </w:r>
    </w:p>
    <w:p>
      <w:pPr>
        <w:snapToGrid w:val="0"/>
        <w:spacing w:line="360" w:lineRule="auto"/>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组长1名：由乙方担任，副组长</w:t>
      </w:r>
      <w:r>
        <w:rPr>
          <w:rFonts w:hint="eastAsia"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名：</w:t>
      </w:r>
      <w:r>
        <w:rPr>
          <w:rFonts w:hint="eastAsia" w:hAnsi="宋体" w:cs="宋体"/>
          <w:color w:val="auto"/>
          <w:sz w:val="28"/>
          <w:szCs w:val="28"/>
          <w:highlight w:val="none"/>
          <w:lang w:val="en-US" w:eastAsia="zh-CN"/>
        </w:rPr>
        <w:t>甲方担任</w:t>
      </w:r>
      <w:r>
        <w:rPr>
          <w:rFonts w:hint="eastAsia" w:ascii="宋体" w:hAnsi="宋体" w:eastAsia="宋体" w:cs="宋体"/>
          <w:color w:val="auto"/>
          <w:sz w:val="28"/>
          <w:szCs w:val="28"/>
          <w:highlight w:val="none"/>
          <w:lang w:val="en-US" w:eastAsia="zh-CN"/>
        </w:rPr>
        <w:t>，电气技术专家：</w:t>
      </w:r>
      <w:r>
        <w:rPr>
          <w:rFonts w:hint="eastAsia" w:hAnsi="宋体" w:cs="宋体"/>
          <w:color w:val="auto"/>
          <w:sz w:val="28"/>
          <w:szCs w:val="28"/>
          <w:highlight w:val="none"/>
          <w:lang w:val="en-US" w:eastAsia="zh-CN"/>
        </w:rPr>
        <w:t>乙方</w:t>
      </w:r>
      <w:r>
        <w:rPr>
          <w:rFonts w:hint="eastAsia" w:ascii="宋体" w:hAnsi="宋体" w:eastAsia="宋体" w:cs="宋体"/>
          <w:color w:val="auto"/>
          <w:sz w:val="28"/>
          <w:szCs w:val="28"/>
          <w:highlight w:val="none"/>
          <w:lang w:val="en-US" w:eastAsia="zh-CN"/>
        </w:rPr>
        <w:t>1-2名，水机技术专家：乙方</w:t>
      </w:r>
      <w:r>
        <w:rPr>
          <w:rFonts w:hint="eastAsia" w:hAnsi="宋体" w:cs="宋体"/>
          <w:color w:val="auto"/>
          <w:sz w:val="28"/>
          <w:szCs w:val="28"/>
          <w:highlight w:val="none"/>
          <w:lang w:val="en-US" w:eastAsia="zh-CN"/>
        </w:rPr>
        <w:t>1-2</w:t>
      </w:r>
      <w:r>
        <w:rPr>
          <w:rFonts w:hint="eastAsia" w:ascii="宋体" w:hAnsi="宋体" w:eastAsia="宋体" w:cs="宋体"/>
          <w:color w:val="auto"/>
          <w:sz w:val="28"/>
          <w:szCs w:val="28"/>
          <w:highlight w:val="none"/>
          <w:lang w:val="en-US" w:eastAsia="zh-CN"/>
        </w:rPr>
        <w:t>名，金属技术专家：乙方至少1名，安全生产管理：乙方至少1名，其它技术专家和顾问根据工作需要确定。</w:t>
      </w:r>
    </w:p>
    <w:p>
      <w:pPr>
        <w:spacing w:line="360" w:lineRule="auto"/>
        <w:rPr>
          <w:rFonts w:hint="eastAsia" w:ascii="宋体" w:hAnsi="宋体" w:eastAsia="宋体" w:cs="宋体"/>
          <w:b/>
          <w:bCs/>
          <w:color w:val="auto"/>
          <w:spacing w:val="10"/>
          <w:sz w:val="28"/>
          <w:szCs w:val="28"/>
          <w:highlight w:val="none"/>
          <w:lang w:val="en-US" w:eastAsia="zh-CN"/>
        </w:rPr>
      </w:pPr>
      <w:r>
        <w:rPr>
          <w:rFonts w:hint="eastAsia" w:ascii="宋体" w:hAnsi="宋体" w:eastAsia="宋体" w:cs="宋体"/>
          <w:b/>
          <w:bCs/>
          <w:color w:val="auto"/>
          <w:spacing w:val="10"/>
          <w:sz w:val="28"/>
          <w:szCs w:val="28"/>
          <w:highlight w:val="none"/>
          <w:lang w:val="en-US" w:eastAsia="zh-CN"/>
        </w:rPr>
        <w:t>（2）现场查评（时间控制在3-5天）</w:t>
      </w:r>
    </w:p>
    <w:p>
      <w:pPr>
        <w:numPr>
          <w:ilvl w:val="0"/>
          <w:numId w:val="0"/>
        </w:numPr>
        <w:spacing w:line="360" w:lineRule="auto"/>
        <w:ind w:left="520" w:leftChars="0"/>
        <w:rPr>
          <w:rFonts w:hint="eastAsia" w:ascii="宋体" w:hAnsi="宋体" w:eastAsia="宋体" w:cs="宋体"/>
          <w:color w:val="auto"/>
          <w:spacing w:val="10"/>
          <w:sz w:val="28"/>
          <w:szCs w:val="28"/>
          <w:highlight w:val="none"/>
          <w:lang w:val="en-US" w:eastAsia="zh-CN"/>
        </w:rPr>
      </w:pPr>
      <w:r>
        <w:rPr>
          <w:rFonts w:hint="eastAsia" w:hAnsi="宋体" w:cs="宋体"/>
          <w:color w:val="auto"/>
          <w:spacing w:val="10"/>
          <w:sz w:val="28"/>
          <w:szCs w:val="28"/>
          <w:highlight w:val="none"/>
          <w:lang w:val="en-US" w:eastAsia="zh-CN"/>
        </w:rPr>
        <w:t>由评价技术专家组组长</w:t>
      </w:r>
      <w:r>
        <w:rPr>
          <w:rFonts w:hint="eastAsia" w:ascii="宋体" w:hAnsi="宋体" w:eastAsia="宋体" w:cs="宋体"/>
          <w:color w:val="auto"/>
          <w:spacing w:val="10"/>
          <w:sz w:val="28"/>
          <w:szCs w:val="28"/>
          <w:highlight w:val="none"/>
          <w:lang w:val="en-US" w:eastAsia="zh-CN"/>
        </w:rPr>
        <w:t>组织</w:t>
      </w:r>
      <w:r>
        <w:rPr>
          <w:rFonts w:hint="eastAsia" w:hAnsi="宋体" w:cs="宋体"/>
          <w:color w:val="auto"/>
          <w:spacing w:val="10"/>
          <w:sz w:val="28"/>
          <w:szCs w:val="28"/>
          <w:highlight w:val="none"/>
          <w:lang w:val="en-US" w:eastAsia="zh-CN"/>
        </w:rPr>
        <w:t>到电站现场进行评价</w:t>
      </w:r>
      <w:r>
        <w:rPr>
          <w:rFonts w:hint="eastAsia" w:ascii="宋体" w:hAnsi="宋体" w:eastAsia="宋体" w:cs="宋体"/>
          <w:color w:val="auto"/>
          <w:spacing w:val="10"/>
          <w:sz w:val="28"/>
          <w:szCs w:val="28"/>
          <w:highlight w:val="none"/>
          <w:lang w:val="en-US" w:eastAsia="zh-CN"/>
        </w:rPr>
        <w:t>。</w:t>
      </w:r>
    </w:p>
    <w:p>
      <w:pPr>
        <w:pStyle w:val="3"/>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Chars="0"/>
        <w:jc w:val="left"/>
        <w:textAlignment w:val="auto"/>
        <w:rPr>
          <w:rFonts w:hint="eastAsia" w:ascii="宋体" w:hAnsi="宋体" w:eastAsia="宋体" w:cs="宋体"/>
          <w:b/>
          <w:bCs/>
          <w:color w:val="auto"/>
          <w:sz w:val="28"/>
          <w:szCs w:val="28"/>
          <w:highlight w:val="none"/>
          <w:lang w:val="en-US" w:eastAsia="zh-CN"/>
        </w:rPr>
      </w:pPr>
      <w:bookmarkStart w:id="46" w:name="_Toc9101"/>
      <w:bookmarkStart w:id="47" w:name="_Toc289"/>
      <w:bookmarkStart w:id="48" w:name="_Toc2882_WPSOffice_Level1"/>
      <w:r>
        <w:rPr>
          <w:rFonts w:hint="eastAsia" w:ascii="宋体" w:hAnsi="宋体" w:eastAsia="宋体" w:cs="宋体"/>
          <w:b/>
          <w:bCs/>
          <w:color w:val="auto"/>
          <w:sz w:val="28"/>
          <w:szCs w:val="28"/>
          <w:highlight w:val="none"/>
          <w:lang w:val="en-US" w:eastAsia="zh-CN"/>
        </w:rPr>
        <w:t>（3）出具安全检测与评价报告</w:t>
      </w:r>
      <w:bookmarkEnd w:id="46"/>
      <w:bookmarkEnd w:id="47"/>
      <w:bookmarkEnd w:id="48"/>
    </w:p>
    <w:p>
      <w:pPr>
        <w:spacing w:line="360" w:lineRule="auto"/>
        <w:ind w:firstLine="560" w:firstLineChars="200"/>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依据技术专家组的综合查评结果编制</w:t>
      </w:r>
      <w:r>
        <w:rPr>
          <w:rFonts w:hint="eastAsia" w:hAnsi="宋体" w:cs="宋体"/>
          <w:color w:val="auto"/>
          <w:sz w:val="28"/>
          <w:szCs w:val="28"/>
          <w:highlight w:val="none"/>
          <w:lang w:val="en-US" w:eastAsia="zh-CN"/>
        </w:rPr>
        <w:t>电站安全检测与评价</w:t>
      </w:r>
      <w:r>
        <w:rPr>
          <w:rFonts w:hint="eastAsia" w:ascii="宋体" w:hAnsi="宋体" w:eastAsia="宋体" w:cs="宋体"/>
          <w:color w:val="auto"/>
          <w:sz w:val="28"/>
          <w:szCs w:val="28"/>
          <w:highlight w:val="none"/>
          <w:lang w:val="en-US" w:eastAsia="zh-CN"/>
        </w:rPr>
        <w:t>报告</w:t>
      </w:r>
      <w:r>
        <w:rPr>
          <w:rFonts w:hint="default" w:hAnsi="宋体" w:cs="宋体"/>
          <w:color w:val="auto"/>
          <w:sz w:val="28"/>
          <w:szCs w:val="28"/>
          <w:highlight w:val="none"/>
          <w:lang w:eastAsia="zh-CN"/>
          <w:woUserID w:val="1"/>
        </w:rPr>
        <w:t>，每座电站提供纸质版一式三份</w:t>
      </w:r>
      <w:r>
        <w:rPr>
          <w:rFonts w:hint="eastAsia" w:hAnsi="宋体" w:cs="宋体"/>
          <w:color w:val="auto"/>
          <w:sz w:val="28"/>
          <w:szCs w:val="28"/>
          <w:highlight w:val="none"/>
          <w:lang w:val="en-US" w:eastAsia="zh-CN"/>
        </w:rPr>
        <w:t>。</w:t>
      </w:r>
    </w:p>
    <w:p>
      <w:pPr>
        <w:spacing w:line="360" w:lineRule="auto"/>
        <w:rPr>
          <w:rFonts w:hint="eastAsia" w:hAnsi="宋体" w:cs="宋体"/>
          <w:b/>
          <w:bCs/>
          <w:color w:val="auto"/>
          <w:sz w:val="32"/>
          <w:szCs w:val="32"/>
          <w:highlight w:val="none"/>
          <w:lang w:eastAsia="zh-CN"/>
        </w:rPr>
      </w:pPr>
      <w:r>
        <w:rPr>
          <w:rFonts w:hint="eastAsia"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 xml:space="preserve"> </w:t>
      </w:r>
      <w:r>
        <w:rPr>
          <w:rFonts w:hint="eastAsia" w:hAnsi="宋体" w:cs="宋体"/>
          <w:b/>
          <w:bCs/>
          <w:color w:val="auto"/>
          <w:sz w:val="32"/>
          <w:szCs w:val="32"/>
          <w:highlight w:val="none"/>
          <w:lang w:eastAsia="zh-CN"/>
        </w:rPr>
        <w:t>安全和质量、</w:t>
      </w:r>
      <w:r>
        <w:rPr>
          <w:rFonts w:hint="eastAsia" w:hAnsi="宋体" w:cs="宋体"/>
          <w:b/>
          <w:bCs/>
          <w:color w:val="auto"/>
          <w:sz w:val="32"/>
          <w:szCs w:val="32"/>
          <w:highlight w:val="none"/>
          <w:lang w:val="en-US" w:eastAsia="zh-CN"/>
        </w:rPr>
        <w:t>进度</w:t>
      </w:r>
      <w:r>
        <w:rPr>
          <w:rFonts w:hint="eastAsia" w:hAnsi="宋体" w:cs="宋体"/>
          <w:b/>
          <w:bCs/>
          <w:color w:val="auto"/>
          <w:sz w:val="32"/>
          <w:szCs w:val="32"/>
          <w:highlight w:val="none"/>
          <w:lang w:eastAsia="zh-CN"/>
        </w:rPr>
        <w:t>要求</w:t>
      </w:r>
    </w:p>
    <w:p>
      <w:pPr>
        <w:spacing w:line="360" w:lineRule="auto"/>
        <w:rPr>
          <w:rFonts w:hint="eastAsia" w:ascii="宋体" w:hAnsi="宋体" w:eastAsia="宋体" w:cs="宋体"/>
          <w:bCs/>
          <w:color w:val="auto"/>
          <w:sz w:val="28"/>
          <w:szCs w:val="28"/>
          <w:highlight w:val="none"/>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.1 工作的质量应当达到国家、行业及</w:t>
      </w:r>
      <w:r>
        <w:rPr>
          <w:rFonts w:hint="eastAsia" w:hAnsi="宋体" w:cs="宋体"/>
          <w:bCs/>
          <w:color w:val="auto"/>
          <w:sz w:val="28"/>
          <w:szCs w:val="28"/>
          <w:highlight w:val="none"/>
          <w:lang w:val="en-US" w:eastAsia="zh-CN"/>
        </w:rPr>
        <w:t>南网储能公司</w:t>
      </w:r>
      <w:r>
        <w:rPr>
          <w:rFonts w:hint="eastAsia" w:ascii="宋体" w:hAnsi="宋体" w:eastAsia="宋体" w:cs="宋体"/>
          <w:bCs/>
          <w:color w:val="auto"/>
          <w:sz w:val="28"/>
          <w:szCs w:val="28"/>
          <w:highlight w:val="none"/>
          <w:lang w:val="en-US" w:eastAsia="zh-CN"/>
        </w:rPr>
        <w:t>要求的质量标准。</w:t>
      </w:r>
    </w:p>
    <w:p>
      <w:pPr>
        <w:spacing w:line="360" w:lineRule="auto"/>
        <w:rPr>
          <w:rFonts w:hint="eastAsia" w:ascii="宋体" w:hAnsi="宋体" w:eastAsia="宋体" w:cs="宋体"/>
          <w:bCs/>
          <w:color w:val="auto"/>
          <w:sz w:val="28"/>
          <w:szCs w:val="28"/>
          <w:highlight w:val="none"/>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w:t>
      </w:r>
      <w:r>
        <w:rPr>
          <w:rFonts w:hint="eastAsia" w:hAnsi="宋体" w:cs="宋体"/>
          <w:bCs/>
          <w:color w:val="auto"/>
          <w:sz w:val="28"/>
          <w:szCs w:val="28"/>
          <w:highlight w:val="none"/>
          <w:lang w:val="en-US" w:eastAsia="zh-CN"/>
        </w:rPr>
        <w:t>2</w:t>
      </w:r>
      <w:r>
        <w:rPr>
          <w:rFonts w:hint="eastAsia" w:ascii="宋体" w:hAnsi="宋体" w:eastAsia="宋体" w:cs="宋体"/>
          <w:bCs/>
          <w:color w:val="auto"/>
          <w:sz w:val="28"/>
          <w:szCs w:val="28"/>
          <w:highlight w:val="none"/>
          <w:lang w:val="en-US" w:eastAsia="zh-CN"/>
        </w:rPr>
        <w:t xml:space="preserve"> 投标单位必须按照国家及行业现行的规范和标准进行</w:t>
      </w:r>
      <w:r>
        <w:rPr>
          <w:rFonts w:hint="eastAsia" w:hAnsi="宋体" w:cs="宋体"/>
          <w:bCs/>
          <w:color w:val="auto"/>
          <w:sz w:val="28"/>
          <w:szCs w:val="28"/>
          <w:highlight w:val="none"/>
          <w:lang w:val="en-US" w:eastAsia="zh-CN"/>
        </w:rPr>
        <w:t>评估服务</w:t>
      </w:r>
      <w:r>
        <w:rPr>
          <w:rFonts w:hint="eastAsia" w:ascii="宋体" w:hAnsi="宋体" w:eastAsia="宋体" w:cs="宋体"/>
          <w:bCs/>
          <w:color w:val="auto"/>
          <w:sz w:val="28"/>
          <w:szCs w:val="28"/>
          <w:highlight w:val="none"/>
          <w:lang w:val="en-US" w:eastAsia="zh-CN"/>
        </w:rPr>
        <w:t>工作，保证项目的完整性、规范性、安全性满足要求</w:t>
      </w:r>
      <w:r>
        <w:rPr>
          <w:rFonts w:hint="eastAsia" w:hAnsi="宋体" w:cs="宋体"/>
          <w:bCs/>
          <w:color w:val="auto"/>
          <w:sz w:val="28"/>
          <w:szCs w:val="28"/>
          <w:highlight w:val="none"/>
          <w:lang w:val="en-US" w:eastAsia="zh-CN"/>
        </w:rPr>
        <w:t>，报告数据、结论的真实性负责</w:t>
      </w:r>
      <w:r>
        <w:rPr>
          <w:rFonts w:hint="eastAsia" w:ascii="宋体" w:hAnsi="宋体" w:eastAsia="宋体" w:cs="宋体"/>
          <w:bCs/>
          <w:color w:val="auto"/>
          <w:sz w:val="28"/>
          <w:szCs w:val="28"/>
          <w:highlight w:val="none"/>
          <w:lang w:val="en-US" w:eastAsia="zh-CN"/>
        </w:rPr>
        <w:t>。</w:t>
      </w:r>
    </w:p>
    <w:p>
      <w:pPr>
        <w:spacing w:line="360" w:lineRule="auto"/>
        <w:rPr>
          <w:rFonts w:hint="default"/>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w:t>
      </w:r>
      <w:r>
        <w:rPr>
          <w:rFonts w:hint="eastAsia" w:hAnsi="宋体" w:cs="宋体"/>
          <w:bCs/>
          <w:color w:val="auto"/>
          <w:sz w:val="28"/>
          <w:szCs w:val="28"/>
          <w:highlight w:val="none"/>
          <w:lang w:val="en-US" w:eastAsia="zh-CN"/>
        </w:rPr>
        <w:t xml:space="preserve">3 </w:t>
      </w:r>
      <w:r>
        <w:rPr>
          <w:rFonts w:hint="eastAsia" w:ascii="宋体" w:hAnsi="宋体" w:eastAsia="宋体" w:cs="宋体"/>
          <w:bCs/>
          <w:color w:val="auto"/>
          <w:sz w:val="28"/>
          <w:szCs w:val="28"/>
          <w:highlight w:val="none"/>
          <w:lang w:val="en-US" w:eastAsia="zh-CN"/>
        </w:rPr>
        <w:t xml:space="preserve"> 现场</w:t>
      </w:r>
      <w:r>
        <w:rPr>
          <w:rFonts w:hint="eastAsia" w:hAnsi="宋体" w:cs="宋体"/>
          <w:bCs/>
          <w:color w:val="auto"/>
          <w:sz w:val="28"/>
          <w:szCs w:val="28"/>
          <w:highlight w:val="none"/>
          <w:lang w:val="en-US" w:eastAsia="zh-CN"/>
        </w:rPr>
        <w:t>服务过程</w:t>
      </w:r>
      <w:r>
        <w:rPr>
          <w:rFonts w:hint="eastAsia" w:ascii="宋体" w:hAnsi="宋体" w:eastAsia="宋体" w:cs="宋体"/>
          <w:bCs/>
          <w:color w:val="auto"/>
          <w:sz w:val="28"/>
          <w:szCs w:val="28"/>
          <w:highlight w:val="none"/>
          <w:lang w:val="en-US" w:eastAsia="zh-CN"/>
        </w:rPr>
        <w:t>中，投标单位必须严格执行电业安全工作规程和招标单位的安全管理相关规定，严格执行招标单位有关安全、消防、治安及文明生产的相关规定。</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2010601030101010101"/>
    <w:charset w:val="86"/>
    <w:family w:val="script"/>
    <w:pitch w:val="default"/>
    <w:sig w:usb0="00000000" w:usb1="00000000" w:usb2="00000000" w:usb3="00000000" w:csb0="00040000" w:csb1="00000000"/>
  </w:font>
  <w:font w:name="仿宋">
    <w:altName w:val="汉仪仿宋KW"/>
    <w:panose1 w:val="02010609060101010101"/>
    <w:charset w:val="86"/>
    <w:family w:val="auto"/>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汉仪君黑KW 55J">
    <w:panose1 w:val="00020600040101010101"/>
    <w:charset w:val="86"/>
    <w:family w:val="auto"/>
    <w:pitch w:val="default"/>
    <w:sig w:usb0="A00002BF" w:usb1="0A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5E8E0"/>
    <w:multiLevelType w:val="singleLevel"/>
    <w:tmpl w:val="A895E8E0"/>
    <w:lvl w:ilvl="0" w:tentative="0">
      <w:start w:val="1"/>
      <w:numFmt w:val="decimal"/>
      <w:lvlText w:val="(%1)"/>
      <w:lvlJc w:val="left"/>
      <w:pPr>
        <w:ind w:left="425" w:hanging="425"/>
      </w:pPr>
      <w:rPr>
        <w:rFonts w:hint="default"/>
      </w:rPr>
    </w:lvl>
  </w:abstractNum>
  <w:abstractNum w:abstractNumId="1">
    <w:nsid w:val="0000000B"/>
    <w:multiLevelType w:val="multilevel"/>
    <w:tmpl w:val="0000000B"/>
    <w:lvl w:ilvl="0" w:tentative="0">
      <w:start w:val="1"/>
      <w:numFmt w:val="none"/>
      <w:pStyle w:val="3"/>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3D542A"/>
    <w:rsid w:val="0003220D"/>
    <w:rsid w:val="00117761"/>
    <w:rsid w:val="012B4364"/>
    <w:rsid w:val="035969B2"/>
    <w:rsid w:val="0678765E"/>
    <w:rsid w:val="07077549"/>
    <w:rsid w:val="097C1F9D"/>
    <w:rsid w:val="0BAA6171"/>
    <w:rsid w:val="0D1B5005"/>
    <w:rsid w:val="0D457536"/>
    <w:rsid w:val="0E2635DF"/>
    <w:rsid w:val="0F1D5E3C"/>
    <w:rsid w:val="1204760D"/>
    <w:rsid w:val="14417DE9"/>
    <w:rsid w:val="188E412C"/>
    <w:rsid w:val="18CD2957"/>
    <w:rsid w:val="1B195F84"/>
    <w:rsid w:val="1B7E6DC2"/>
    <w:rsid w:val="1BA215E9"/>
    <w:rsid w:val="1C5E29A0"/>
    <w:rsid w:val="1CC363E9"/>
    <w:rsid w:val="1D951867"/>
    <w:rsid w:val="1FC63B1B"/>
    <w:rsid w:val="1FEC1440"/>
    <w:rsid w:val="204D2EC1"/>
    <w:rsid w:val="21AC0188"/>
    <w:rsid w:val="227D582C"/>
    <w:rsid w:val="22BD68FE"/>
    <w:rsid w:val="25743FE0"/>
    <w:rsid w:val="25815A44"/>
    <w:rsid w:val="291309F3"/>
    <w:rsid w:val="2A8B2D69"/>
    <w:rsid w:val="2AB95C30"/>
    <w:rsid w:val="2AF23FDD"/>
    <w:rsid w:val="2B482440"/>
    <w:rsid w:val="2BAE40B8"/>
    <w:rsid w:val="2C0E1AF3"/>
    <w:rsid w:val="2CA57034"/>
    <w:rsid w:val="2D374A20"/>
    <w:rsid w:val="2F6B350F"/>
    <w:rsid w:val="314766D8"/>
    <w:rsid w:val="31E96E45"/>
    <w:rsid w:val="32361594"/>
    <w:rsid w:val="32A81A30"/>
    <w:rsid w:val="34BC7CFE"/>
    <w:rsid w:val="352F4C2B"/>
    <w:rsid w:val="3B053A03"/>
    <w:rsid w:val="3E302BE2"/>
    <w:rsid w:val="3EE814EC"/>
    <w:rsid w:val="4007277E"/>
    <w:rsid w:val="400B0070"/>
    <w:rsid w:val="452E3796"/>
    <w:rsid w:val="473D542A"/>
    <w:rsid w:val="49820648"/>
    <w:rsid w:val="4AA31045"/>
    <w:rsid w:val="4AD93DFE"/>
    <w:rsid w:val="4B097BB2"/>
    <w:rsid w:val="4B823CE3"/>
    <w:rsid w:val="4C275589"/>
    <w:rsid w:val="4C315387"/>
    <w:rsid w:val="4FBF74BF"/>
    <w:rsid w:val="4FC66D68"/>
    <w:rsid w:val="4FDC58F9"/>
    <w:rsid w:val="50245E95"/>
    <w:rsid w:val="52606F88"/>
    <w:rsid w:val="550B63C9"/>
    <w:rsid w:val="57327E72"/>
    <w:rsid w:val="57C47D17"/>
    <w:rsid w:val="57DB6960"/>
    <w:rsid w:val="58F407A7"/>
    <w:rsid w:val="592937BF"/>
    <w:rsid w:val="59966385"/>
    <w:rsid w:val="5C021EEB"/>
    <w:rsid w:val="5EB30A9E"/>
    <w:rsid w:val="5FAE4A8F"/>
    <w:rsid w:val="5FBD178A"/>
    <w:rsid w:val="60DB1624"/>
    <w:rsid w:val="61C00532"/>
    <w:rsid w:val="63B128EB"/>
    <w:rsid w:val="64234DCB"/>
    <w:rsid w:val="64AB6B99"/>
    <w:rsid w:val="6DEA3A70"/>
    <w:rsid w:val="6F9028A0"/>
    <w:rsid w:val="70581E58"/>
    <w:rsid w:val="70C51BB4"/>
    <w:rsid w:val="70F977E6"/>
    <w:rsid w:val="70FB53F8"/>
    <w:rsid w:val="74240C46"/>
    <w:rsid w:val="77670E7E"/>
    <w:rsid w:val="7C50706B"/>
    <w:rsid w:val="7D80149D"/>
    <w:rsid w:val="7FAF5092"/>
    <w:rsid w:val="7FC036C3"/>
    <w:rsid w:val="BB7C6767"/>
    <w:rsid w:val="FACC54C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8"/>
      <w:lang w:val="en-US" w:eastAsia="zh-CN" w:bidi="ar-SA"/>
    </w:rPr>
  </w:style>
  <w:style w:type="paragraph" w:styleId="3">
    <w:name w:val="heading 1"/>
    <w:basedOn w:val="1"/>
    <w:next w:val="1"/>
    <w:qFormat/>
    <w:uiPriority w:val="0"/>
    <w:pPr>
      <w:keepNext/>
      <w:widowControl/>
      <w:numPr>
        <w:ilvl w:val="0"/>
        <w:numId w:val="1"/>
      </w:numPr>
      <w:tabs>
        <w:tab w:val="left" w:pos="0"/>
      </w:tabs>
      <w:ind w:left="0" w:firstLine="0"/>
      <w:jc w:val="center"/>
      <w:outlineLvl w:val="0"/>
    </w:pPr>
    <w:rPr>
      <w:rFonts w:ascii="黑体" w:eastAsia="方正小标宋简体"/>
      <w:sz w:val="44"/>
    </w:rPr>
  </w:style>
  <w:style w:type="paragraph" w:styleId="4">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firstLineChars="200"/>
    </w:pPr>
  </w:style>
  <w:style w:type="paragraph" w:styleId="5">
    <w:name w:val="Normal Indent"/>
    <w:basedOn w:val="1"/>
    <w:semiHidden/>
    <w:qFormat/>
    <w:uiPriority w:val="0"/>
    <w:pPr>
      <w:ind w:firstLine="420" w:firstLineChars="200"/>
    </w:pPr>
  </w:style>
  <w:style w:type="paragraph" w:styleId="6">
    <w:name w:val="Body Text"/>
    <w:basedOn w:val="1"/>
    <w:qFormat/>
    <w:uiPriority w:val="0"/>
    <w:pPr>
      <w:spacing w:line="360" w:lineRule="auto"/>
    </w:pPr>
    <w:rPr>
      <w:rFonts w:ascii="宋体" w:hAnsi="Times New Roman" w:eastAsia="黑体" w:cs="宋体"/>
      <w:sz w:val="24"/>
      <w:szCs w:val="24"/>
    </w:rPr>
  </w:style>
  <w:style w:type="paragraph" w:styleId="7">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p0"/>
    <w:basedOn w:val="1"/>
    <w:qFormat/>
    <w:uiPriority w:val="0"/>
    <w:pPr>
      <w:widowControl/>
      <w:spacing w:after="200" w:afterLines="0" w:afterAutospacing="0" w:line="276" w:lineRule="auto"/>
      <w:jc w:val="left"/>
    </w:pPr>
    <w:rPr>
      <w:rFonts w:ascii="Calibri" w:hAnsi="Calibri"/>
      <w:kern w:val="0"/>
      <w:sz w:val="22"/>
    </w:rPr>
  </w:style>
  <w:style w:type="paragraph" w:customStyle="1" w:styleId="13">
    <w:name w:val="样式 首行缩进 + 宋体 行距: 1.5 倍行距"/>
    <w:basedOn w:val="1"/>
    <w:qFormat/>
    <w:uiPriority w:val="0"/>
    <w:pPr>
      <w:spacing w:line="360" w:lineRule="auto"/>
      <w:ind w:firstLine="420" w:firstLineChars="200"/>
    </w:pPr>
    <w:rPr>
      <w:rFonts w:ascii="宋体" w:hAnsi="宋体" w:cs="宋体"/>
      <w:szCs w:val="20"/>
    </w:rPr>
  </w:style>
  <w:style w:type="character" w:customStyle="1" w:styleId="14">
    <w:name w:val="正文6"/>
    <w:qFormat/>
    <w:uiPriority w:val="0"/>
    <w:rPr>
      <w:rFonts w:ascii="Times New Roman" w:hAnsi="Times New Roman" w:eastAsia="宋体"/>
      <w:spacing w:val="0"/>
      <w:w w:val="100"/>
      <w:positio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0</TotalTime>
  <ScaleCrop>false</ScaleCrop>
  <LinksUpToDate>false</LinksUpToDate>
  <CharactersWithSpaces>0</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2020-02-18T15:06:00Z</dcterms:created>
  <dc:creator>邹兴德</dc:creator>
  <cp:lastModifiedBy>杨啟贵</cp:lastModifiedBy>
  <dcterms:modified xsi:type="dcterms:W3CDTF">2024-05-14T19:58:10Z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414772F034C84CAD846C905FCB42482E</vt:lpwstr>
  </property>
</Properties>
</file>