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基于北斗的无人机跟踪及防坠失一体装置</w:t>
      </w:r>
      <w:r>
        <w:rPr>
          <w:rFonts w:hint="eastAsia" w:ascii="黑体" w:hAnsi="黑体" w:eastAsia="黑体" w:cs="黑体"/>
          <w:sz w:val="48"/>
          <w:szCs w:val="48"/>
          <w:lang w:val="en-US" w:eastAsia="zh-CN"/>
        </w:rPr>
        <w:t>物资采购</w:t>
      </w:r>
      <w:r>
        <w:rPr>
          <w:rFonts w:hint="eastAsia" w:ascii="黑体" w:hAnsi="黑体" w:eastAsia="黑体" w:cs="黑体"/>
          <w:sz w:val="48"/>
          <w:szCs w:val="48"/>
        </w:rPr>
        <w:t xml:space="preserve"> </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2024年03月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17586"/>
      <w:bookmarkStart w:id="4" w:name="_Toc266713645"/>
      <w:bookmarkStart w:id="5" w:name="_Toc13824"/>
      <w:bookmarkStart w:id="6" w:name="_Toc19589"/>
      <w:bookmarkStart w:id="7" w:name="_Toc161832193"/>
      <w:bookmarkStart w:id="8" w:name="_Toc32374"/>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w:t>
      </w:r>
      <w:r>
        <w:rPr>
          <w:rFonts w:hint="eastAsia"/>
          <w:sz w:val="24"/>
        </w:rPr>
        <w:t>（</w:t>
      </w:r>
      <w:r>
        <w:rPr>
          <w:rFonts w:hint="eastAsia" w:ascii="宋体" w:hAnsi="宋体"/>
          <w:bCs/>
          <w:sz w:val="24"/>
          <w:szCs w:val="22"/>
        </w:rPr>
        <w:t>技术参数和图纸</w:t>
      </w:r>
      <w:r>
        <w:rPr>
          <w:rFonts w:hint="eastAsia"/>
          <w:sz w:val="24"/>
        </w:rPr>
        <w:t>）</w:t>
      </w:r>
      <w:r>
        <w:rPr>
          <w:rFonts w:hint="eastAsia" w:ascii="宋体" w:hAnsi="宋体"/>
          <w:bCs/>
          <w:sz w:val="24"/>
          <w:szCs w:val="22"/>
        </w:rPr>
        <w:t>的</w:t>
      </w:r>
      <w:r>
        <w:rPr>
          <w:rFonts w:hint="eastAsia"/>
          <w:sz w:val="24"/>
        </w:rPr>
        <w:t>加工测试服务，以及在项目进行中为达成既定目标提出的其他加工测试需求。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4772"/>
      <w:bookmarkStart w:id="10" w:name="_Toc161832194"/>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spacing w:line="360" w:lineRule="auto"/>
        <w:ind w:firstLine="480" w:firstLineChars="200"/>
        <w:rPr>
          <w:rFonts w:ascii="黑体" w:hAnsi="黑体" w:eastAsia="黑体" w:cs="黑体"/>
          <w:bCs/>
          <w:sz w:val="24"/>
        </w:rPr>
      </w:pPr>
      <w:r>
        <w:rPr>
          <w:rFonts w:hint="eastAsia" w:ascii="宋体" w:hAnsi="宋体"/>
          <w:sz w:val="24"/>
        </w:rPr>
        <w:t>无人机作为输电线路智能化转型重要工具载体发挥越来越多作用，目前线路日常巡视上无人机作业频次已经远远超过人工作业频次，并且大型无人机及激光雷达等多功能负载已经越来越多，超视距飞行已成常态。但是大型飞机搭载较贵重负载依靠长续航优势在超视距飞行中，一旦发生炸机将造成较大财产损失，并且对地面设备及人员有较大威胁，急需研制一种具备定位及防坠失功能的无人机安全装置。</w:t>
      </w:r>
      <w:r>
        <w:rPr>
          <w:rFonts w:hint="eastAsia"/>
          <w:sz w:val="24"/>
        </w:rPr>
        <w:t>本项目拟</w:t>
      </w:r>
      <w:r>
        <w:rPr>
          <w:rFonts w:hint="eastAsia"/>
          <w:sz w:val="24"/>
          <w:lang w:val="en-US" w:eastAsia="zh-CN"/>
        </w:rPr>
        <w:t>采购</w:t>
      </w:r>
      <w:r>
        <w:rPr>
          <w:rFonts w:hint="eastAsia"/>
          <w:sz w:val="24"/>
        </w:rPr>
        <w:t>适用于</w:t>
      </w:r>
      <w:r>
        <w:rPr>
          <w:rFonts w:hint="eastAsia" w:ascii="宋体" w:hAnsi="宋体"/>
          <w:sz w:val="24"/>
        </w:rPr>
        <w:t>基于北斗的无人机跟踪及防坠失一体装置研制</w:t>
      </w:r>
      <w:r>
        <w:rPr>
          <w:rFonts w:hint="eastAsia"/>
          <w:sz w:val="24"/>
          <w:lang w:val="en-US" w:eastAsia="zh-CN"/>
        </w:rPr>
        <w:t>相关设备，用于装置研究及加工</w:t>
      </w:r>
      <w:r>
        <w:rPr>
          <w:rFonts w:hint="eastAsia"/>
          <w:sz w:val="24"/>
        </w:rPr>
        <w:t>。</w:t>
      </w:r>
    </w:p>
    <w:p>
      <w:pPr>
        <w:pStyle w:val="23"/>
        <w:spacing w:before="312"/>
        <w:outlineLvl w:val="0"/>
        <w:rPr>
          <w:rFonts w:asciiTheme="minorEastAsia" w:hAnsiTheme="minorEastAsia" w:eastAsiaTheme="minorEastAsia" w:cstheme="minorEastAsia"/>
          <w:bCs/>
          <w:color w:val="C00000"/>
        </w:rPr>
      </w:pPr>
      <w:bookmarkStart w:id="11" w:name="_Toc2001"/>
      <w:bookmarkStart w:id="12" w:name="_Toc16183219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pPr>
        <w:pStyle w:val="6"/>
        <w:rPr>
          <w:rFonts w:asciiTheme="minorEastAsia" w:hAnsiTheme="minorEastAsia" w:eastAsiaTheme="minorEastAsia" w:cstheme="minorEastAsia"/>
          <w:color w:val="000000"/>
          <w:sz w:val="24"/>
        </w:rPr>
      </w:pPr>
      <w:r>
        <w:rPr>
          <w:rFonts w:hint="eastAsia" w:ascii="宋体" w:hAnsi="宋体"/>
          <w:sz w:val="24"/>
        </w:rPr>
        <w:t>基于北斗的无人机跟踪及防坠失一体装置</w:t>
      </w:r>
      <w:r>
        <w:rPr>
          <w:rFonts w:hint="eastAsia" w:ascii="宋体" w:hAnsi="宋体"/>
          <w:sz w:val="24"/>
          <w:lang w:val="en-US" w:eastAsia="zh-CN"/>
        </w:rPr>
        <w:t>零件</w:t>
      </w:r>
      <w:r>
        <w:rPr>
          <w:rFonts w:hint="eastAsia" w:asciiTheme="minorEastAsia" w:hAnsiTheme="minorEastAsia" w:eastAsiaTheme="minorEastAsia" w:cstheme="minorEastAsia"/>
          <w:color w:val="000000"/>
          <w:sz w:val="24"/>
        </w:rPr>
        <w:t>：</w:t>
      </w:r>
    </w:p>
    <w:p>
      <w:pPr>
        <w:pStyle w:val="6"/>
        <w:numPr>
          <w:ilvl w:val="0"/>
          <w:numId w:val="3"/>
        </w:numPr>
        <w:rPr>
          <w:sz w:val="24"/>
        </w:rPr>
      </w:pPr>
      <w:r>
        <w:rPr>
          <w:rFonts w:hint="eastAsia" w:ascii="宋体" w:hAnsi="宋体"/>
          <w:sz w:val="24"/>
          <w:lang w:val="en-US" w:eastAsia="zh-CN"/>
        </w:rPr>
        <w:t>可回收型小型降落伞及配套伞绳，不少于10kg冲击负重；可收纳浮球及配套收纳装置，浮球完全充气体积大于0.3立方米</w:t>
      </w:r>
      <w:r>
        <w:rPr>
          <w:rFonts w:hint="eastAsia"/>
          <w:sz w:val="24"/>
        </w:rPr>
        <w:t>。</w:t>
      </w:r>
    </w:p>
    <w:p>
      <w:pPr>
        <w:pStyle w:val="6"/>
        <w:numPr>
          <w:ilvl w:val="0"/>
          <w:numId w:val="3"/>
        </w:numPr>
        <w:rPr>
          <w:sz w:val="24"/>
        </w:rPr>
      </w:pPr>
      <w:r>
        <w:rPr>
          <w:rFonts w:hint="eastAsia" w:ascii="宋体" w:hAnsi="宋体"/>
          <w:sz w:val="24"/>
          <w:lang w:val="en-US" w:eastAsia="zh-CN"/>
        </w:rPr>
        <w:t>单片机可编程控制主板，主板串口不少于2路，含定位及通信模组通信口，姿态传感器组2组、湿度水源传感器组1组，控制灵敏度大于10%。</w:t>
      </w:r>
    </w:p>
    <w:p>
      <w:pPr>
        <w:pStyle w:val="6"/>
        <w:numPr>
          <w:ilvl w:val="0"/>
          <w:numId w:val="3"/>
        </w:numPr>
        <w:rPr>
          <w:sz w:val="24"/>
        </w:rPr>
      </w:pPr>
      <w:r>
        <w:rPr>
          <w:rFonts w:hint="eastAsia" w:ascii="宋体" w:hAnsi="宋体"/>
          <w:sz w:val="24"/>
          <w:lang w:val="en-US" w:eastAsia="zh-CN"/>
        </w:rPr>
        <w:t>北斗定位芯片及天线组，定位精度不大于分米级，定位天线可增强，增益大于20db</w:t>
      </w:r>
      <w:r>
        <w:rPr>
          <w:rFonts w:hint="eastAsia"/>
          <w:sz w:val="24"/>
          <w:lang w:eastAsia="zh-CN"/>
        </w:rPr>
        <w:t>。</w:t>
      </w:r>
    </w:p>
    <w:p>
      <w:pPr>
        <w:pStyle w:val="6"/>
        <w:numPr>
          <w:ilvl w:val="0"/>
          <w:numId w:val="3"/>
        </w:numPr>
        <w:rPr>
          <w:sz w:val="24"/>
        </w:rPr>
      </w:pPr>
      <w:r>
        <w:rPr>
          <w:rFonts w:hint="eastAsia" w:ascii="宋体" w:hAnsi="宋体"/>
          <w:sz w:val="24"/>
          <w:lang w:val="en-US" w:eastAsia="zh-CN"/>
        </w:rPr>
        <w:t>结构纤维板件2平方米，厚度大于1mm</w:t>
      </w:r>
      <w:r>
        <w:rPr>
          <w:rFonts w:hint="eastAsia"/>
          <w:sz w:val="24"/>
        </w:rPr>
        <w:t>。</w:t>
      </w:r>
    </w:p>
    <w:p>
      <w:pPr>
        <w:pStyle w:val="6"/>
        <w:numPr>
          <w:ilvl w:val="0"/>
          <w:numId w:val="3"/>
        </w:numPr>
        <w:rPr>
          <w:sz w:val="24"/>
        </w:rPr>
      </w:pPr>
      <w:bookmarkStart w:id="13" w:name="_Toc266713650"/>
      <w:r>
        <w:rPr>
          <w:rFonts w:hint="eastAsia"/>
          <w:sz w:val="24"/>
          <w:lang w:val="en-US" w:eastAsia="zh-CN"/>
        </w:rPr>
        <w:t>后续</w:t>
      </w:r>
      <w:r>
        <w:rPr>
          <w:rFonts w:hint="eastAsia"/>
          <w:sz w:val="24"/>
        </w:rPr>
        <w:t>测试</w:t>
      </w:r>
      <w:r>
        <w:rPr>
          <w:rFonts w:hint="eastAsia" w:ascii="宋体" w:hAnsi="宋体"/>
          <w:sz w:val="24"/>
          <w:lang w:val="en-US" w:eastAsia="zh-CN"/>
        </w:rPr>
        <w:t>其他线缆配件</w:t>
      </w:r>
      <w:r>
        <w:rPr>
          <w:rFonts w:hint="eastAsia"/>
          <w:sz w:val="24"/>
        </w:rPr>
        <w:t>按照项目实施要求开展相应调整。</w:t>
      </w:r>
    </w:p>
    <w:p>
      <w:bookmarkStart w:id="19" w:name="_GoBack"/>
      <w:bookmarkEnd w:id="19"/>
    </w:p>
    <w:p>
      <w:pPr>
        <w:pStyle w:val="23"/>
        <w:spacing w:before="312"/>
        <w:outlineLvl w:val="0"/>
        <w:rPr>
          <w:rFonts w:ascii="黑体" w:hAnsi="黑体" w:eastAsia="黑体" w:cs="黑体"/>
          <w:sz w:val="28"/>
          <w:szCs w:val="28"/>
        </w:rPr>
      </w:pPr>
      <w:bookmarkStart w:id="14" w:name="_Toc30385"/>
      <w:bookmarkStart w:id="15" w:name="_Toc161832196"/>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pPr>
        <w:spacing w:line="360" w:lineRule="auto"/>
        <w:ind w:firstLine="480" w:firstLineChars="200"/>
        <w:rPr>
          <w:rFonts w:asciiTheme="minorEastAsia" w:hAnsiTheme="minorEastAsia" w:eastAsiaTheme="minorEastAsia" w:cstheme="minorEastAsia"/>
          <w:color w:val="000000"/>
          <w:sz w:val="24"/>
        </w:rPr>
      </w:pPr>
      <w:bookmarkStart w:id="16" w:name="_Toc161832197"/>
      <w:r>
        <w:rPr>
          <w:rFonts w:hint="eastAsia" w:asciiTheme="minorEastAsia" w:hAnsiTheme="minorEastAsia" w:eastAsiaTheme="minorEastAsia" w:cstheme="minorEastAsia"/>
          <w:color w:val="000000"/>
          <w:sz w:val="24"/>
        </w:rPr>
        <w:t>本服务甲方享有所</w:t>
      </w:r>
      <w:r>
        <w:rPr>
          <w:rFonts w:hint="eastAsia" w:asciiTheme="minorEastAsia" w:hAnsiTheme="minorEastAsia" w:eastAsiaTheme="minorEastAsia" w:cstheme="minorEastAsia"/>
          <w:color w:val="000000"/>
          <w:sz w:val="24"/>
          <w:lang w:val="en-US" w:eastAsia="zh-CN"/>
        </w:rPr>
        <w:t>采购物质</w:t>
      </w:r>
      <w:r>
        <w:rPr>
          <w:rFonts w:hint="eastAsia" w:asciiTheme="minorEastAsia" w:hAnsiTheme="minorEastAsia" w:eastAsiaTheme="minorEastAsia" w:cstheme="minorEastAsia"/>
          <w:color w:val="000000"/>
          <w:sz w:val="24"/>
        </w:rPr>
        <w:t>的所有权。未经甲方许可，乙方不得使用或向第三方透露测试</w:t>
      </w:r>
      <w:r>
        <w:rPr>
          <w:rFonts w:hint="eastAsia" w:asciiTheme="minorEastAsia" w:hAnsiTheme="minorEastAsia" w:eastAsiaTheme="minorEastAsia" w:cstheme="minorEastAsia"/>
          <w:color w:val="000000"/>
          <w:sz w:val="24"/>
          <w:lang w:val="en-US" w:eastAsia="zh-CN"/>
        </w:rPr>
        <w:t>采购</w:t>
      </w:r>
      <w:r>
        <w:rPr>
          <w:rFonts w:hint="eastAsia" w:asciiTheme="minorEastAsia" w:hAnsiTheme="minorEastAsia" w:eastAsiaTheme="minorEastAsia" w:cstheme="minorEastAsia"/>
          <w:color w:val="000000"/>
          <w:sz w:val="24"/>
        </w:rPr>
        <w:t>过程的全部数据及所制作装置的本体和相关信息。乙方需于2024年9月30日前交付符合技术指标要求的</w:t>
      </w:r>
      <w:r>
        <w:rPr>
          <w:rFonts w:hint="eastAsia" w:ascii="宋体" w:hAnsi="宋体"/>
          <w:sz w:val="24"/>
        </w:rPr>
        <w:t>基于北斗的无人机跟踪及防坠失一体装置</w:t>
      </w:r>
      <w:r>
        <w:rPr>
          <w:rFonts w:hint="eastAsia" w:asciiTheme="minorEastAsia" w:hAnsiTheme="minorEastAsia" w:eastAsiaTheme="minorEastAsia" w:cstheme="minorEastAsia"/>
          <w:color w:val="000000"/>
          <w:sz w:val="24"/>
          <w:lang w:val="en-US" w:eastAsia="zh-CN"/>
        </w:rPr>
        <w:t>相关零件物质设备</w:t>
      </w:r>
      <w:r>
        <w:rPr>
          <w:rFonts w:hint="eastAsia" w:asciiTheme="minorEastAsia" w:hAnsiTheme="minorEastAsia" w:eastAsiaTheme="minorEastAsia" w:cstheme="minorEastAsia"/>
          <w:color w:val="000000"/>
          <w:sz w:val="24"/>
        </w:rPr>
        <w:t>，并通过甲方验收。</w:t>
      </w: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hint="eastAsia" w:ascii="黑体" w:hAnsi="黑体" w:eastAsia="黑体" w:cs="黑体"/>
          <w:bCs/>
          <w:sz w:val="24"/>
        </w:rPr>
      </w:pPr>
    </w:p>
    <w:bookmarkEnd w:id="16"/>
    <w:p>
      <w:pPr>
        <w:pStyle w:val="23"/>
        <w:spacing w:before="312"/>
        <w:outlineLvl w:val="0"/>
        <w:rPr>
          <w:rFonts w:ascii="黑体" w:hAnsi="黑体" w:eastAsia="黑体" w:cs="黑体"/>
          <w:sz w:val="28"/>
          <w:szCs w:val="28"/>
        </w:rPr>
      </w:pPr>
      <w:bookmarkStart w:id="17" w:name="_Toc161832200"/>
      <w:bookmarkStart w:id="18" w:name="_Toc24706"/>
      <w:r>
        <w:rPr>
          <w:rFonts w:ascii="黑体" w:hAnsi="黑体" w:eastAsia="黑体" w:cs="黑体"/>
          <w:sz w:val="28"/>
          <w:szCs w:val="28"/>
        </w:rPr>
        <w:t>4</w:t>
      </w:r>
      <w:r>
        <w:rPr>
          <w:rFonts w:hint="eastAsia" w:ascii="黑体" w:hAnsi="黑体" w:eastAsia="黑体" w:cs="黑体"/>
          <w:sz w:val="28"/>
          <w:szCs w:val="28"/>
        </w:rPr>
        <w:t xml:space="preserve">  </w:t>
      </w:r>
      <w:r>
        <w:rPr>
          <w:rFonts w:hint="eastAsia" w:ascii="黑体" w:hAnsi="黑体" w:eastAsia="黑体" w:cs="黑体"/>
          <w:sz w:val="28"/>
          <w:szCs w:val="28"/>
          <w:lang w:eastAsia="zh-CN"/>
        </w:rPr>
        <w:t>服务</w:t>
      </w:r>
      <w:r>
        <w:rPr>
          <w:rFonts w:hint="eastAsia" w:ascii="黑体" w:hAnsi="黑体" w:eastAsia="黑体" w:cs="黑体"/>
          <w:sz w:val="28"/>
          <w:szCs w:val="28"/>
        </w:rPr>
        <w:t>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并按年度在规定的期限内，通过市场主体信用信息公示系统向工商机关报送年度报告。要求提供信用信息公示系统的报价人年度报告信息截图并加盖公章、报价专用章或电子签章。</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具有良好的商业信誉（银行资信证明或重合同守信用证书）和健全的财务会计制度，提供</w:t>
            </w:r>
            <w:r>
              <w:rPr>
                <w:rStyle w:val="27"/>
                <w:rFonts w:hint="default"/>
                <w:lang w:bidi="ar"/>
              </w:rPr>
              <w:t>（2022年-2023年）</w:t>
            </w:r>
            <w:r>
              <w:rPr>
                <w:rStyle w:val="26"/>
                <w:rFonts w:hint="default"/>
                <w:lang w:bidi="ar"/>
              </w:rPr>
              <w:t>工商和税务部门过审的公示报告（新成立公司按公司成立时间提供）。</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w:t>
            </w:r>
            <w:r>
              <w:rPr>
                <w:rFonts w:hint="eastAsia" w:ascii="微软雅黑" w:hAnsi="微软雅黑" w:eastAsia="微软雅黑" w:cs="微软雅黑"/>
                <w:color w:val="000000"/>
                <w:kern w:val="0"/>
                <w:sz w:val="20"/>
                <w:szCs w:val="20"/>
                <w:lang w:val="en-US" w:eastAsia="zh-CN" w:bidi="ar"/>
              </w:rPr>
              <w:t>30</w:t>
            </w:r>
            <w:r>
              <w:rPr>
                <w:rFonts w:hint="eastAsia" w:ascii="微软雅黑" w:hAnsi="微软雅黑" w:eastAsia="微软雅黑" w:cs="微软雅黑"/>
                <w:color w:val="000000"/>
                <w:kern w:val="0"/>
                <w:sz w:val="20"/>
                <w:szCs w:val="20"/>
                <w:lang w:bidi="ar"/>
              </w:rPr>
              <w:t>万以上。</w:t>
            </w:r>
          </w:p>
        </w:tc>
      </w:tr>
    </w:tbl>
    <w:p>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left"/>
        <w:textAlignment w:val="auto"/>
        <w:rPr>
          <w:rFonts w:ascii="宋体" w:hAnsi="宋体" w:eastAsia="宋体" w:cs="宋体"/>
          <w:sz w:val="24"/>
          <w:szCs w:val="24"/>
        </w:rPr>
      </w:pPr>
    </w:p>
    <w:p>
      <w:pPr>
        <w:spacing w:line="360" w:lineRule="auto"/>
        <w:ind w:firstLine="482"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b/>
          <w:bCs/>
          <w:color w:val="000000"/>
          <w:sz w:val="24"/>
          <w:lang w:eastAsia="zh-CN"/>
        </w:rPr>
        <w:t>其他要求</w:t>
      </w:r>
      <w:r>
        <w:rPr>
          <w:rFonts w:hint="eastAsia" w:asciiTheme="minorEastAsia" w:hAnsiTheme="minorEastAsia" w:eastAsiaTheme="minorEastAsia" w:cstheme="minorEastAsia"/>
          <w:color w:val="000000"/>
          <w:sz w:val="24"/>
          <w:lang w:eastAsia="zh-CN"/>
        </w:rPr>
        <w:t>：</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报价下浮率大于10%的需提供成本分析报告（成本分析报告需充分说明单价和费用的组成、降低成本的合理措施及在其他项目中应用过的经验，未提供成本分析报告视为原则性不响应采购文件要求。)</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DC701A09"/>
    <w:multiLevelType w:val="singleLevel"/>
    <w:tmpl w:val="DC701A09"/>
    <w:lvl w:ilvl="0" w:tentative="0">
      <w:start w:val="1"/>
      <w:numFmt w:val="decimal"/>
      <w:suff w:val="nothing"/>
      <w:lvlText w:val="（%1）"/>
      <w:lvlJc w:val="left"/>
    </w:lvl>
  </w:abstractNum>
  <w:abstractNum w:abstractNumId="2">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444F04"/>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2F6EAF"/>
    <w:rsid w:val="0B715FA9"/>
    <w:rsid w:val="0BD1033B"/>
    <w:rsid w:val="0BFD7548"/>
    <w:rsid w:val="0C8C1EEF"/>
    <w:rsid w:val="0D0C14ED"/>
    <w:rsid w:val="0D6039E5"/>
    <w:rsid w:val="0DD949C6"/>
    <w:rsid w:val="0DDE0C6E"/>
    <w:rsid w:val="0F573D98"/>
    <w:rsid w:val="0FBF064C"/>
    <w:rsid w:val="10011F66"/>
    <w:rsid w:val="10972384"/>
    <w:rsid w:val="110F2EEB"/>
    <w:rsid w:val="11402C86"/>
    <w:rsid w:val="11AD6919"/>
    <w:rsid w:val="133733ED"/>
    <w:rsid w:val="13566E57"/>
    <w:rsid w:val="14421D4B"/>
    <w:rsid w:val="147F0C66"/>
    <w:rsid w:val="14A83346"/>
    <w:rsid w:val="1558413F"/>
    <w:rsid w:val="155E4129"/>
    <w:rsid w:val="15B259A5"/>
    <w:rsid w:val="160351CB"/>
    <w:rsid w:val="16F77748"/>
    <w:rsid w:val="17610576"/>
    <w:rsid w:val="18BB5DB4"/>
    <w:rsid w:val="19614B79"/>
    <w:rsid w:val="1A316175"/>
    <w:rsid w:val="1A6070F7"/>
    <w:rsid w:val="1A830B36"/>
    <w:rsid w:val="1ADD4B0E"/>
    <w:rsid w:val="1BF021DF"/>
    <w:rsid w:val="1BFA3C82"/>
    <w:rsid w:val="1C420957"/>
    <w:rsid w:val="1C672B50"/>
    <w:rsid w:val="1CCE54EB"/>
    <w:rsid w:val="1D0531CC"/>
    <w:rsid w:val="1D7B5A38"/>
    <w:rsid w:val="1DA01B05"/>
    <w:rsid w:val="1DFC3E5E"/>
    <w:rsid w:val="1E502385"/>
    <w:rsid w:val="1EA43205"/>
    <w:rsid w:val="1FBD1E67"/>
    <w:rsid w:val="1FD46916"/>
    <w:rsid w:val="20D855DF"/>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BD67B2"/>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A21353"/>
    <w:rsid w:val="35E41FA9"/>
    <w:rsid w:val="360B40D3"/>
    <w:rsid w:val="363703EE"/>
    <w:rsid w:val="3661221B"/>
    <w:rsid w:val="379963C7"/>
    <w:rsid w:val="37A433E0"/>
    <w:rsid w:val="37AE0477"/>
    <w:rsid w:val="38004B22"/>
    <w:rsid w:val="39140E3A"/>
    <w:rsid w:val="398C2739"/>
    <w:rsid w:val="39E974DB"/>
    <w:rsid w:val="3C3045D4"/>
    <w:rsid w:val="3C4C5078"/>
    <w:rsid w:val="3DC862F7"/>
    <w:rsid w:val="3DDE3626"/>
    <w:rsid w:val="401C5798"/>
    <w:rsid w:val="40794199"/>
    <w:rsid w:val="408A19B3"/>
    <w:rsid w:val="40CF0453"/>
    <w:rsid w:val="40F0643B"/>
    <w:rsid w:val="41414714"/>
    <w:rsid w:val="419C13AE"/>
    <w:rsid w:val="41A73FEA"/>
    <w:rsid w:val="41B40E40"/>
    <w:rsid w:val="425C406C"/>
    <w:rsid w:val="42DF02D2"/>
    <w:rsid w:val="44C917FC"/>
    <w:rsid w:val="45AD67D6"/>
    <w:rsid w:val="45CF1EF0"/>
    <w:rsid w:val="45E20A8C"/>
    <w:rsid w:val="469E66E7"/>
    <w:rsid w:val="47097B32"/>
    <w:rsid w:val="47382C50"/>
    <w:rsid w:val="473A0E5B"/>
    <w:rsid w:val="476617B8"/>
    <w:rsid w:val="48205CF0"/>
    <w:rsid w:val="48977B3A"/>
    <w:rsid w:val="48AE5D4E"/>
    <w:rsid w:val="49162EBF"/>
    <w:rsid w:val="4A4B4604"/>
    <w:rsid w:val="4A4F6310"/>
    <w:rsid w:val="4A566A25"/>
    <w:rsid w:val="4A7A1254"/>
    <w:rsid w:val="4AA16AD0"/>
    <w:rsid w:val="4B18258B"/>
    <w:rsid w:val="4B2A3103"/>
    <w:rsid w:val="4B3522B4"/>
    <w:rsid w:val="4B5E6BA8"/>
    <w:rsid w:val="4C3F54C3"/>
    <w:rsid w:val="4CE147A6"/>
    <w:rsid w:val="4CEE40EF"/>
    <w:rsid w:val="4DBF3FC8"/>
    <w:rsid w:val="4E287A4C"/>
    <w:rsid w:val="4F382032"/>
    <w:rsid w:val="500F0A42"/>
    <w:rsid w:val="50E83C80"/>
    <w:rsid w:val="50E84976"/>
    <w:rsid w:val="50F13E09"/>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0B272C"/>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708F1B04"/>
    <w:rsid w:val="70E237AF"/>
    <w:rsid w:val="710C1A65"/>
    <w:rsid w:val="71FF19B7"/>
    <w:rsid w:val="7242438A"/>
    <w:rsid w:val="72993C87"/>
    <w:rsid w:val="731458B8"/>
    <w:rsid w:val="732F1D8E"/>
    <w:rsid w:val="73FA6E86"/>
    <w:rsid w:val="74210936"/>
    <w:rsid w:val="74572EAA"/>
    <w:rsid w:val="74E106B7"/>
    <w:rsid w:val="75700D85"/>
    <w:rsid w:val="75715F41"/>
    <w:rsid w:val="76497732"/>
    <w:rsid w:val="76890F73"/>
    <w:rsid w:val="770F4753"/>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3</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刘泽楷</cp:lastModifiedBy>
  <dcterms:modified xsi:type="dcterms:W3CDTF">2024-04-08T01:12:49Z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3FFE481E9730418DA42539CB8665E3D8</vt:lpwstr>
  </property>
</Properties>
</file>