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580" w:lineRule="exact"/>
        <w:ind w:left="0" w:leftChars="0" w:right="0" w:rightChars="0" w:firstLine="0" w:firstLineChars="0"/>
        <w:jc w:val="center"/>
        <w:textAlignment w:val="auto"/>
        <w:outlineLvl w:val="9"/>
        <w:rPr>
          <w:rFonts w:hint="eastAsia" w:ascii="方正小标宋_GBK" w:hAnsi="方正小标宋_GBK" w:eastAsia="方正小标宋_GBK" w:cs="方正小标宋_GBK"/>
          <w:sz w:val="44"/>
          <w:szCs w:val="44"/>
          <w:lang w:val="en-US" w:eastAsia="zh-CN"/>
        </w:rPr>
      </w:pPr>
    </w:p>
    <w:p>
      <w:pPr>
        <w:keepNext w:val="0"/>
        <w:keepLines w:val="0"/>
        <w:pageBreakBefore w:val="0"/>
        <w:widowControl w:val="0"/>
        <w:kinsoku/>
        <w:wordWrap/>
        <w:overflowPunct/>
        <w:topLinePunct w:val="0"/>
        <w:autoSpaceDE/>
        <w:autoSpaceDN/>
        <w:bidi w:val="0"/>
        <w:adjustRightInd/>
        <w:snapToGrid/>
        <w:spacing w:line="580" w:lineRule="exact"/>
        <w:ind w:left="0" w:leftChars="0" w:right="0" w:rightChars="0" w:firstLine="0" w:firstLineChars="0"/>
        <w:jc w:val="center"/>
        <w:textAlignment w:val="auto"/>
        <w:outlineLvl w:val="9"/>
        <w:rPr>
          <w:rFonts w:hint="eastAsia" w:ascii="方正小标宋_GBK" w:hAnsi="方正小标宋_GBK" w:eastAsia="方正小标宋_GBK" w:cs="方正小标宋_GBK"/>
          <w:sz w:val="44"/>
          <w:szCs w:val="44"/>
          <w:lang w:val="en-US" w:eastAsia="zh-CN"/>
        </w:rPr>
      </w:pPr>
      <w:r>
        <w:rPr>
          <w:rFonts w:hint="eastAsia" w:ascii="方正小标宋_GBK" w:hAnsi="方正小标宋_GBK" w:eastAsia="方正小标宋_GBK" w:cs="方正小标宋_GBK"/>
          <w:sz w:val="44"/>
          <w:szCs w:val="44"/>
          <w:lang w:val="en-US" w:eastAsia="zh-CN"/>
        </w:rPr>
        <w:t>新电力集团融水供电公司</w:t>
      </w:r>
    </w:p>
    <w:p>
      <w:pPr>
        <w:keepNext w:val="0"/>
        <w:keepLines w:val="0"/>
        <w:pageBreakBefore w:val="0"/>
        <w:widowControl w:val="0"/>
        <w:kinsoku/>
        <w:wordWrap/>
        <w:overflowPunct/>
        <w:topLinePunct w:val="0"/>
        <w:autoSpaceDE/>
        <w:autoSpaceDN/>
        <w:bidi w:val="0"/>
        <w:adjustRightInd/>
        <w:snapToGrid/>
        <w:spacing w:line="580" w:lineRule="exact"/>
        <w:ind w:left="0" w:leftChars="0" w:right="0" w:rightChars="0" w:firstLine="0" w:firstLineChars="0"/>
        <w:jc w:val="center"/>
        <w:textAlignment w:val="auto"/>
        <w:outlineLvl w:val="9"/>
        <w:rPr>
          <w:rFonts w:hint="eastAsia" w:ascii="方正小标宋_GBK" w:hAnsi="方正小标宋_GBK" w:eastAsia="方正小标宋_GBK" w:cs="方正小标宋_GBK"/>
          <w:sz w:val="44"/>
          <w:szCs w:val="44"/>
          <w:lang w:val="en-US" w:eastAsia="zh-CN"/>
        </w:rPr>
      </w:pPr>
      <w:r>
        <w:rPr>
          <w:rFonts w:hint="eastAsia" w:ascii="方正小标宋_GBK" w:hAnsi="方正小标宋_GBK" w:eastAsia="方正小标宋_GBK" w:cs="方正小标宋_GBK"/>
          <w:sz w:val="44"/>
          <w:szCs w:val="44"/>
          <w:lang w:val="en-US" w:eastAsia="zh-CN"/>
        </w:rPr>
        <w:t>融水公司保障性住房项目地形图测绘服务</w:t>
      </w:r>
    </w:p>
    <w:p>
      <w:pPr>
        <w:keepNext w:val="0"/>
        <w:keepLines w:val="0"/>
        <w:pageBreakBefore w:val="0"/>
        <w:widowControl w:val="0"/>
        <w:kinsoku/>
        <w:wordWrap/>
        <w:overflowPunct/>
        <w:topLinePunct w:val="0"/>
        <w:autoSpaceDE/>
        <w:autoSpaceDN/>
        <w:bidi w:val="0"/>
        <w:adjustRightInd/>
        <w:snapToGrid/>
        <w:spacing w:line="580" w:lineRule="exact"/>
        <w:ind w:left="0" w:leftChars="0" w:right="0" w:rightChars="0" w:firstLine="0" w:firstLineChars="0"/>
        <w:jc w:val="center"/>
        <w:textAlignment w:val="auto"/>
        <w:outlineLvl w:val="9"/>
        <w:rPr>
          <w:rFonts w:hint="eastAsia" w:ascii="方正小标宋_GBK" w:hAnsi="方正小标宋_GBK" w:eastAsia="方正小标宋_GBK" w:cs="方正小标宋_GBK"/>
          <w:sz w:val="44"/>
          <w:szCs w:val="44"/>
          <w:lang w:val="en-US" w:eastAsia="zh-CN"/>
        </w:rPr>
      </w:pPr>
      <w:r>
        <w:rPr>
          <w:rFonts w:hint="eastAsia" w:ascii="方正小标宋_GBK" w:hAnsi="方正小标宋_GBK" w:eastAsia="方正小标宋_GBK" w:cs="方正小标宋_GBK"/>
          <w:sz w:val="44"/>
          <w:szCs w:val="44"/>
          <w:lang w:val="en-US" w:eastAsia="zh-CN"/>
        </w:rPr>
        <w:t>采购服务</w:t>
      </w:r>
    </w:p>
    <w:p>
      <w:pPr>
        <w:pStyle w:val="2"/>
        <w:rPr>
          <w:rFonts w:hint="eastAsia"/>
        </w:rPr>
      </w:pPr>
    </w:p>
    <w:p>
      <w:pPr>
        <w:keepNext w:val="0"/>
        <w:keepLines w:val="0"/>
        <w:pageBreakBefore w:val="0"/>
        <w:widowControl w:val="0"/>
        <w:numPr>
          <w:ilvl w:val="0"/>
          <w:numId w:val="0"/>
        </w:numPr>
        <w:kinsoku/>
        <w:wordWrap/>
        <w:overflowPunct/>
        <w:topLinePunct w:val="0"/>
        <w:autoSpaceDE/>
        <w:autoSpaceDN/>
        <w:bidi w:val="0"/>
        <w:adjustRightInd/>
        <w:snapToGrid/>
        <w:spacing w:line="580" w:lineRule="exact"/>
        <w:ind w:right="0" w:rightChars="0" w:firstLine="643" w:firstLineChars="200"/>
        <w:jc w:val="both"/>
        <w:textAlignment w:val="auto"/>
        <w:outlineLvl w:val="9"/>
        <w:rPr>
          <w:rFonts w:hint="eastAsia" w:ascii="仿宋_GB2312" w:hAnsi="仿宋_GB2312" w:eastAsia="仿宋_GB2312" w:cs="仿宋_GB2312"/>
          <w:b/>
          <w:bCs/>
          <w:sz w:val="32"/>
          <w:szCs w:val="32"/>
        </w:rPr>
      </w:pPr>
      <w:r>
        <w:rPr>
          <w:rFonts w:hint="eastAsia" w:asciiTheme="minorEastAsia" w:hAnsiTheme="minorEastAsia" w:eastAsiaTheme="minorEastAsia" w:cstheme="minorEastAsia"/>
          <w:b/>
          <w:bCs/>
          <w:sz w:val="32"/>
          <w:szCs w:val="32"/>
          <w:lang w:eastAsia="zh-CN"/>
        </w:rPr>
        <w:t>一、项目</w:t>
      </w:r>
      <w:r>
        <w:rPr>
          <w:rFonts w:hint="eastAsia" w:asciiTheme="minorEastAsia" w:hAnsiTheme="minorEastAsia" w:eastAsiaTheme="minorEastAsia" w:cstheme="minorEastAsia"/>
          <w:b/>
          <w:bCs/>
          <w:sz w:val="32"/>
          <w:szCs w:val="32"/>
        </w:rPr>
        <w:t>地点</w:t>
      </w:r>
    </w:p>
    <w:p>
      <w:pPr>
        <w:keepNext w:val="0"/>
        <w:keepLines w:val="0"/>
        <w:pageBreakBefore w:val="0"/>
        <w:widowControl w:val="0"/>
        <w:numPr>
          <w:ilvl w:val="0"/>
          <w:numId w:val="0"/>
        </w:numPr>
        <w:kinsoku/>
        <w:wordWrap/>
        <w:overflowPunct/>
        <w:topLinePunct w:val="0"/>
        <w:autoSpaceDE/>
        <w:autoSpaceDN/>
        <w:bidi w:val="0"/>
        <w:adjustRightInd/>
        <w:snapToGrid/>
        <w:spacing w:line="580" w:lineRule="exact"/>
        <w:ind w:right="0" w:rightChars="0" w:firstLine="640" w:firstLineChars="200"/>
        <w:jc w:val="both"/>
        <w:textAlignment w:val="auto"/>
        <w:outlineLvl w:val="9"/>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广西柳州市融水镇。</w:t>
      </w:r>
    </w:p>
    <w:p>
      <w:pPr>
        <w:keepNext w:val="0"/>
        <w:keepLines w:val="0"/>
        <w:pageBreakBefore w:val="0"/>
        <w:widowControl w:val="0"/>
        <w:numPr>
          <w:ilvl w:val="0"/>
          <w:numId w:val="0"/>
        </w:numPr>
        <w:kinsoku/>
        <w:wordWrap/>
        <w:overflowPunct/>
        <w:topLinePunct w:val="0"/>
        <w:autoSpaceDE/>
        <w:autoSpaceDN/>
        <w:bidi w:val="0"/>
        <w:adjustRightInd/>
        <w:snapToGrid/>
        <w:spacing w:line="580" w:lineRule="exact"/>
        <w:ind w:right="0" w:rightChars="0" w:firstLine="643" w:firstLineChars="200"/>
        <w:jc w:val="both"/>
        <w:textAlignment w:val="auto"/>
        <w:outlineLvl w:val="9"/>
        <w:rPr>
          <w:rFonts w:hint="eastAsia" w:ascii="仿宋_GB2312" w:hAnsi="仿宋_GB2312" w:eastAsia="仿宋_GB2312" w:cs="仿宋_GB2312"/>
          <w:b/>
          <w:bCs/>
          <w:sz w:val="32"/>
          <w:szCs w:val="32"/>
        </w:rPr>
      </w:pPr>
      <w:r>
        <w:rPr>
          <w:rFonts w:hint="eastAsia" w:asciiTheme="minorEastAsia" w:hAnsiTheme="minorEastAsia" w:eastAsiaTheme="minorEastAsia" w:cstheme="minorEastAsia"/>
          <w:b/>
          <w:bCs/>
          <w:sz w:val="32"/>
          <w:szCs w:val="32"/>
          <w:lang w:eastAsia="zh-CN"/>
        </w:rPr>
        <w:t>二、服务内容</w:t>
      </w:r>
    </w:p>
    <w:p>
      <w:pPr>
        <w:keepNext w:val="0"/>
        <w:keepLines w:val="0"/>
        <w:pageBreakBefore w:val="0"/>
        <w:widowControl w:val="0"/>
        <w:numPr>
          <w:ilvl w:val="0"/>
          <w:numId w:val="1"/>
        </w:numPr>
        <w:kinsoku/>
        <w:wordWrap/>
        <w:overflowPunct/>
        <w:topLinePunct w:val="0"/>
        <w:autoSpaceDE/>
        <w:autoSpaceDN/>
        <w:bidi w:val="0"/>
        <w:adjustRightInd/>
        <w:snapToGrid/>
        <w:spacing w:line="580" w:lineRule="exact"/>
        <w:ind w:left="0" w:leftChars="0" w:right="0" w:rightChars="0" w:firstLine="640" w:firstLineChars="200"/>
        <w:jc w:val="both"/>
        <w:textAlignment w:val="auto"/>
        <w:outlineLvl w:val="9"/>
        <w:rPr>
          <w:rFonts w:hint="eastAsia" w:ascii="仿宋_GB2312" w:hAnsi="仿宋_GB2312" w:eastAsia="仿宋_GB2312" w:cs="仿宋_GB2312"/>
          <w:color w:val="auto"/>
          <w:sz w:val="32"/>
          <w:szCs w:val="32"/>
          <w:highlight w:val="none"/>
          <w:lang w:eastAsia="zh-CN"/>
        </w:rPr>
      </w:pPr>
      <w:r>
        <w:rPr>
          <w:rFonts w:hint="eastAsia" w:ascii="仿宋_GB2312" w:hAnsi="仿宋_GB2312" w:eastAsia="仿宋_GB2312" w:cs="仿宋_GB2312"/>
          <w:color w:val="auto"/>
          <w:sz w:val="32"/>
          <w:szCs w:val="32"/>
          <w:highlight w:val="none"/>
        </w:rPr>
        <w:t>本工程测绘</w:t>
      </w:r>
      <w:r>
        <w:rPr>
          <w:rFonts w:hint="eastAsia" w:ascii="仿宋_GB2312" w:hAnsi="仿宋_GB2312" w:eastAsia="仿宋_GB2312" w:cs="仿宋_GB2312"/>
          <w:color w:val="auto"/>
          <w:sz w:val="32"/>
          <w:szCs w:val="32"/>
          <w:highlight w:val="none"/>
          <w:lang w:val="en-US" w:eastAsia="zh-CN"/>
        </w:rPr>
        <w:t>服务</w:t>
      </w:r>
      <w:r>
        <w:rPr>
          <w:rFonts w:hint="eastAsia" w:ascii="仿宋_GB2312" w:hAnsi="仿宋_GB2312" w:eastAsia="仿宋_GB2312" w:cs="仿宋_GB2312"/>
          <w:color w:val="auto"/>
          <w:sz w:val="32"/>
          <w:szCs w:val="32"/>
          <w:highlight w:val="none"/>
        </w:rPr>
        <w:t>旨在收集和处理关于</w:t>
      </w:r>
      <w:r>
        <w:rPr>
          <w:rFonts w:hint="eastAsia" w:ascii="仿宋_GB2312" w:hAnsi="仿宋_GB2312" w:eastAsia="仿宋_GB2312" w:cs="仿宋_GB2312"/>
          <w:color w:val="auto"/>
          <w:sz w:val="32"/>
          <w:szCs w:val="32"/>
          <w:highlight w:val="none"/>
          <w:lang w:val="en-US" w:eastAsia="zh-CN"/>
        </w:rPr>
        <w:t>融水公司保障性住房</w:t>
      </w:r>
      <w:r>
        <w:rPr>
          <w:rFonts w:hint="eastAsia" w:ascii="仿宋_GB2312" w:hAnsi="仿宋_GB2312" w:eastAsia="仿宋_GB2312" w:cs="仿宋_GB2312"/>
          <w:color w:val="auto"/>
          <w:sz w:val="32"/>
          <w:szCs w:val="32"/>
          <w:highlight w:val="none"/>
        </w:rPr>
        <w:t>项目的地理信息数据，</w:t>
      </w:r>
      <w:r>
        <w:rPr>
          <w:rFonts w:hint="eastAsia" w:ascii="仿宋_GB2312" w:hAnsi="仿宋_GB2312" w:eastAsia="仿宋_GB2312" w:cs="仿宋_GB2312"/>
          <w:color w:val="auto"/>
          <w:sz w:val="32"/>
          <w:szCs w:val="32"/>
          <w:highlight w:val="none"/>
          <w:lang w:eastAsia="zh-CN"/>
        </w:rPr>
        <w:t>开展</w:t>
      </w:r>
      <w:r>
        <w:rPr>
          <w:rFonts w:hint="eastAsia" w:ascii="仿宋_GB2312" w:hAnsi="仿宋_GB2312" w:eastAsia="仿宋_GB2312" w:cs="仿宋_GB2312"/>
          <w:color w:val="auto"/>
          <w:sz w:val="32"/>
          <w:szCs w:val="32"/>
          <w:highlight w:val="none"/>
          <w:lang w:val="en-US" w:eastAsia="zh-CN"/>
        </w:rPr>
        <w:t>地形测绘及数据编辑，</w:t>
      </w:r>
      <w:r>
        <w:rPr>
          <w:rFonts w:hint="eastAsia" w:ascii="仿宋_GB2312" w:hAnsi="仿宋_GB2312" w:eastAsia="仿宋_GB2312" w:cs="仿宋_GB2312"/>
          <w:color w:val="auto"/>
          <w:sz w:val="32"/>
          <w:szCs w:val="32"/>
          <w:highlight w:val="none"/>
        </w:rPr>
        <w:t>以确保项目的设计、施工和管理过程中能够准确、全面地了解工程区域的地形、地貌、地质及其他相关要素。测绘工作将为工程提供基础数据支持，有助于保证项目的顺利进行和最终完成质量。测绘工作将覆盖多个关键领域，包括但不限于建筑物和基础设施分布等。</w:t>
      </w:r>
    </w:p>
    <w:p>
      <w:pPr>
        <w:keepNext w:val="0"/>
        <w:keepLines w:val="0"/>
        <w:pageBreakBefore w:val="0"/>
        <w:widowControl w:val="0"/>
        <w:numPr>
          <w:ilvl w:val="0"/>
          <w:numId w:val="0"/>
        </w:numPr>
        <w:kinsoku/>
        <w:wordWrap/>
        <w:overflowPunct/>
        <w:topLinePunct w:val="0"/>
        <w:autoSpaceDE/>
        <w:autoSpaceDN/>
        <w:bidi w:val="0"/>
        <w:adjustRightInd/>
        <w:snapToGrid/>
        <w:spacing w:line="580" w:lineRule="exact"/>
        <w:ind w:right="0" w:rightChars="0" w:firstLine="640" w:firstLineChars="200"/>
        <w:jc w:val="both"/>
        <w:textAlignment w:val="auto"/>
        <w:outlineLvl w:val="9"/>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lang w:val="en-US" w:eastAsia="zh-CN"/>
        </w:rPr>
        <w:t>1.测绘要求</w:t>
      </w:r>
      <w:r>
        <w:rPr>
          <w:rFonts w:hint="eastAsia" w:ascii="仿宋_GB2312" w:hAnsi="仿宋_GB2312" w:eastAsia="仿宋_GB2312" w:cs="仿宋_GB2312"/>
          <w:color w:val="auto"/>
          <w:sz w:val="32"/>
          <w:szCs w:val="32"/>
          <w:highlight w:val="none"/>
        </w:rPr>
        <w:t>：</w:t>
      </w:r>
    </w:p>
    <w:p>
      <w:pPr>
        <w:keepNext w:val="0"/>
        <w:keepLines w:val="0"/>
        <w:pageBreakBefore w:val="0"/>
        <w:widowControl w:val="0"/>
        <w:kinsoku/>
        <w:wordWrap/>
        <w:overflowPunct/>
        <w:topLinePunct w:val="0"/>
        <w:autoSpaceDE/>
        <w:autoSpaceDN/>
        <w:bidi w:val="0"/>
        <w:adjustRightInd/>
        <w:snapToGrid/>
        <w:spacing w:line="580" w:lineRule="exact"/>
        <w:ind w:left="0" w:leftChars="0" w:right="0" w:rightChars="0" w:firstLine="640" w:firstLineChars="200"/>
        <w:jc w:val="both"/>
        <w:textAlignment w:val="auto"/>
        <w:outlineLvl w:val="9"/>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lang w:eastAsia="zh-CN"/>
        </w:rPr>
        <w:t>（</w:t>
      </w:r>
      <w:r>
        <w:rPr>
          <w:rFonts w:hint="eastAsia" w:ascii="仿宋_GB2312" w:hAnsi="仿宋_GB2312" w:eastAsia="仿宋_GB2312" w:cs="仿宋_GB2312"/>
          <w:color w:val="auto"/>
          <w:sz w:val="32"/>
          <w:szCs w:val="32"/>
          <w:highlight w:val="none"/>
          <w:lang w:val="en-US" w:eastAsia="zh-CN"/>
        </w:rPr>
        <w:t>1</w:t>
      </w:r>
      <w:r>
        <w:rPr>
          <w:rFonts w:hint="eastAsia" w:ascii="仿宋_GB2312" w:hAnsi="仿宋_GB2312" w:eastAsia="仿宋_GB2312" w:cs="仿宋_GB2312"/>
          <w:color w:val="auto"/>
          <w:sz w:val="32"/>
          <w:szCs w:val="32"/>
          <w:highlight w:val="none"/>
          <w:lang w:eastAsia="zh-CN"/>
        </w:rPr>
        <w:t>）</w:t>
      </w:r>
      <w:r>
        <w:rPr>
          <w:rFonts w:hint="eastAsia" w:ascii="仿宋_GB2312" w:hAnsi="仿宋_GB2312" w:eastAsia="仿宋_GB2312" w:cs="仿宋_GB2312"/>
          <w:color w:val="auto"/>
          <w:sz w:val="32"/>
          <w:szCs w:val="32"/>
          <w:highlight w:val="none"/>
        </w:rPr>
        <w:t>精度要求：测绘工作应遵循国家和行业相关标准，确保测绘数据的准确性和可靠性。对于关键区域的测绘，应适当提高精度要求，以满足工程设计和施工的需要</w:t>
      </w:r>
      <w:r>
        <w:rPr>
          <w:rFonts w:hint="eastAsia" w:ascii="仿宋_GB2312" w:hAnsi="仿宋_GB2312" w:eastAsia="仿宋_GB2312" w:cs="仿宋_GB2312"/>
          <w:color w:val="auto"/>
          <w:sz w:val="32"/>
          <w:szCs w:val="32"/>
          <w:highlight w:val="none"/>
          <w:lang w:eastAsia="zh-CN"/>
        </w:rPr>
        <w:t>；</w:t>
      </w:r>
    </w:p>
    <w:p>
      <w:pPr>
        <w:keepNext w:val="0"/>
        <w:keepLines w:val="0"/>
        <w:pageBreakBefore w:val="0"/>
        <w:widowControl w:val="0"/>
        <w:kinsoku/>
        <w:wordWrap/>
        <w:overflowPunct/>
        <w:topLinePunct w:val="0"/>
        <w:autoSpaceDE/>
        <w:autoSpaceDN/>
        <w:bidi w:val="0"/>
        <w:adjustRightInd/>
        <w:snapToGrid/>
        <w:spacing w:line="580" w:lineRule="exact"/>
        <w:ind w:left="0" w:leftChars="0" w:right="0" w:rightChars="0" w:firstLine="640" w:firstLineChars="200"/>
        <w:jc w:val="both"/>
        <w:textAlignment w:val="auto"/>
        <w:outlineLvl w:val="9"/>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lang w:eastAsia="zh-CN"/>
        </w:rPr>
        <w:t>（</w:t>
      </w:r>
      <w:r>
        <w:rPr>
          <w:rFonts w:hint="eastAsia" w:ascii="仿宋_GB2312" w:hAnsi="仿宋_GB2312" w:eastAsia="仿宋_GB2312" w:cs="仿宋_GB2312"/>
          <w:color w:val="auto"/>
          <w:sz w:val="32"/>
          <w:szCs w:val="32"/>
          <w:highlight w:val="none"/>
          <w:lang w:val="en-US" w:eastAsia="zh-CN"/>
        </w:rPr>
        <w:t>2</w:t>
      </w:r>
      <w:r>
        <w:rPr>
          <w:rFonts w:hint="eastAsia" w:ascii="仿宋_GB2312" w:hAnsi="仿宋_GB2312" w:eastAsia="仿宋_GB2312" w:cs="仿宋_GB2312"/>
          <w:color w:val="auto"/>
          <w:sz w:val="32"/>
          <w:szCs w:val="32"/>
          <w:highlight w:val="none"/>
          <w:lang w:eastAsia="zh-CN"/>
        </w:rPr>
        <w:t>）</w:t>
      </w:r>
      <w:r>
        <w:rPr>
          <w:rFonts w:hint="eastAsia" w:ascii="仿宋_GB2312" w:hAnsi="仿宋_GB2312" w:eastAsia="仿宋_GB2312" w:cs="仿宋_GB2312"/>
          <w:color w:val="auto"/>
          <w:sz w:val="32"/>
          <w:szCs w:val="32"/>
          <w:highlight w:val="none"/>
          <w:lang w:val="en-US" w:eastAsia="zh-CN"/>
        </w:rPr>
        <w:t>数据处理：测绘数据应及时整理、分析和处理，确保数据的有效性和可用性。处理过程中应遵循相关规范和标准，确保数据的完整性和一致性</w:t>
      </w:r>
      <w:r>
        <w:rPr>
          <w:rFonts w:hint="eastAsia" w:ascii="仿宋_GB2312" w:hAnsi="仿宋_GB2312" w:eastAsia="仿宋_GB2312" w:cs="仿宋_GB2312"/>
          <w:color w:val="auto"/>
          <w:sz w:val="32"/>
          <w:szCs w:val="32"/>
          <w:highlight w:val="none"/>
        </w:rPr>
        <w:t>；</w:t>
      </w:r>
    </w:p>
    <w:p>
      <w:pPr>
        <w:keepNext w:val="0"/>
        <w:keepLines w:val="0"/>
        <w:pageBreakBefore w:val="0"/>
        <w:widowControl w:val="0"/>
        <w:kinsoku/>
        <w:wordWrap/>
        <w:overflowPunct/>
        <w:topLinePunct w:val="0"/>
        <w:autoSpaceDE/>
        <w:autoSpaceDN/>
        <w:bidi w:val="0"/>
        <w:adjustRightInd/>
        <w:snapToGrid/>
        <w:spacing w:line="580" w:lineRule="exact"/>
        <w:ind w:left="0" w:leftChars="0" w:right="0" w:rightChars="0" w:firstLine="640" w:firstLineChars="200"/>
        <w:jc w:val="both"/>
        <w:textAlignment w:val="auto"/>
        <w:outlineLvl w:val="9"/>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lang w:eastAsia="zh-CN"/>
        </w:rPr>
        <w:t>（</w:t>
      </w:r>
      <w:r>
        <w:rPr>
          <w:rFonts w:hint="eastAsia" w:ascii="仿宋_GB2312" w:hAnsi="仿宋_GB2312" w:eastAsia="仿宋_GB2312" w:cs="仿宋_GB2312"/>
          <w:color w:val="auto"/>
          <w:sz w:val="32"/>
          <w:szCs w:val="32"/>
          <w:highlight w:val="none"/>
          <w:lang w:val="en-US" w:eastAsia="zh-CN"/>
        </w:rPr>
        <w:t>3</w:t>
      </w:r>
      <w:r>
        <w:rPr>
          <w:rFonts w:hint="eastAsia" w:ascii="仿宋_GB2312" w:hAnsi="仿宋_GB2312" w:eastAsia="仿宋_GB2312" w:cs="仿宋_GB2312"/>
          <w:color w:val="auto"/>
          <w:sz w:val="32"/>
          <w:szCs w:val="32"/>
          <w:highlight w:val="none"/>
          <w:lang w:eastAsia="zh-CN"/>
        </w:rPr>
        <w:t>）提交成果：测绘完成后，应提交详细的测绘报告、图纸和数据文件，包括电子和纸质版本</w:t>
      </w:r>
      <w:r>
        <w:rPr>
          <w:rFonts w:hint="eastAsia" w:ascii="仿宋_GB2312" w:hAnsi="仿宋_GB2312" w:eastAsia="仿宋_GB2312" w:cs="仿宋_GB2312"/>
          <w:color w:val="auto"/>
          <w:sz w:val="32"/>
          <w:szCs w:val="32"/>
          <w:highlight w:val="none"/>
        </w:rPr>
        <w:t>；</w:t>
      </w:r>
    </w:p>
    <w:p>
      <w:pPr>
        <w:keepNext w:val="0"/>
        <w:keepLines w:val="0"/>
        <w:pageBreakBefore w:val="0"/>
        <w:widowControl w:val="0"/>
        <w:kinsoku/>
        <w:wordWrap/>
        <w:overflowPunct/>
        <w:topLinePunct w:val="0"/>
        <w:autoSpaceDE/>
        <w:autoSpaceDN/>
        <w:bidi w:val="0"/>
        <w:adjustRightInd/>
        <w:snapToGrid/>
        <w:spacing w:line="580" w:lineRule="exact"/>
        <w:ind w:right="0" w:rightChars="0" w:firstLine="640" w:firstLineChars="200"/>
        <w:jc w:val="both"/>
        <w:textAlignment w:val="auto"/>
        <w:outlineLvl w:val="9"/>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lang w:val="en-US" w:eastAsia="zh-CN"/>
        </w:rPr>
        <w:t>2.</w:t>
      </w:r>
      <w:r>
        <w:rPr>
          <w:rFonts w:hint="eastAsia" w:ascii="仿宋_GB2312" w:hAnsi="仿宋_GB2312" w:eastAsia="仿宋_GB2312" w:cs="仿宋_GB2312"/>
          <w:color w:val="auto"/>
          <w:sz w:val="32"/>
          <w:szCs w:val="32"/>
          <w:highlight w:val="none"/>
          <w:lang w:eastAsia="zh-CN"/>
        </w:rPr>
        <w:t>分析计算</w:t>
      </w:r>
      <w:r>
        <w:rPr>
          <w:rFonts w:hint="eastAsia" w:ascii="仿宋_GB2312" w:hAnsi="仿宋_GB2312" w:eastAsia="仿宋_GB2312" w:cs="仿宋_GB2312"/>
          <w:color w:val="auto"/>
          <w:sz w:val="32"/>
          <w:szCs w:val="32"/>
          <w:highlight w:val="none"/>
          <w:lang w:val="en-US" w:eastAsia="zh-CN"/>
        </w:rPr>
        <w:t>工作量费用要求</w:t>
      </w:r>
      <w:r>
        <w:rPr>
          <w:rFonts w:hint="eastAsia" w:ascii="仿宋_GB2312" w:hAnsi="仿宋_GB2312" w:eastAsia="仿宋_GB2312" w:cs="仿宋_GB2312"/>
          <w:color w:val="auto"/>
          <w:sz w:val="32"/>
          <w:szCs w:val="32"/>
          <w:highlight w:val="none"/>
        </w:rPr>
        <w:t>：</w:t>
      </w:r>
    </w:p>
    <w:p>
      <w:pPr>
        <w:keepNext w:val="0"/>
        <w:keepLines w:val="0"/>
        <w:pageBreakBefore w:val="0"/>
        <w:widowControl w:val="0"/>
        <w:kinsoku/>
        <w:wordWrap/>
        <w:overflowPunct/>
        <w:topLinePunct w:val="0"/>
        <w:autoSpaceDE/>
        <w:autoSpaceDN/>
        <w:bidi w:val="0"/>
        <w:adjustRightInd/>
        <w:snapToGrid/>
        <w:spacing w:line="580" w:lineRule="exact"/>
        <w:ind w:left="0" w:leftChars="0" w:right="0" w:rightChars="0" w:firstLine="640" w:firstLineChars="200"/>
        <w:jc w:val="both"/>
        <w:textAlignment w:val="auto"/>
        <w:outlineLvl w:val="9"/>
        <w:rPr>
          <w:rFonts w:hint="eastAsia" w:ascii="仿宋_GB2312" w:hAnsi="仿宋_GB2312" w:eastAsia="仿宋_GB2312" w:cs="仿宋_GB2312"/>
          <w:color w:val="auto"/>
          <w:sz w:val="32"/>
          <w:szCs w:val="32"/>
          <w:highlight w:val="none"/>
          <w:lang w:eastAsia="zh-CN"/>
        </w:rPr>
      </w:pPr>
      <w:r>
        <w:rPr>
          <w:rFonts w:hint="eastAsia" w:ascii="仿宋_GB2312" w:hAnsi="仿宋_GB2312" w:eastAsia="仿宋_GB2312" w:cs="仿宋_GB2312"/>
          <w:color w:val="auto"/>
          <w:sz w:val="32"/>
          <w:szCs w:val="32"/>
          <w:highlight w:val="none"/>
          <w:lang w:eastAsia="zh-CN"/>
        </w:rPr>
        <w:t>（</w:t>
      </w:r>
      <w:r>
        <w:rPr>
          <w:rFonts w:hint="eastAsia" w:ascii="仿宋_GB2312" w:hAnsi="仿宋_GB2312" w:eastAsia="仿宋_GB2312" w:cs="仿宋_GB2312"/>
          <w:color w:val="auto"/>
          <w:sz w:val="32"/>
          <w:szCs w:val="32"/>
          <w:highlight w:val="none"/>
          <w:lang w:val="en-US" w:eastAsia="zh-CN"/>
        </w:rPr>
        <w:t>1</w:t>
      </w:r>
      <w:r>
        <w:rPr>
          <w:rFonts w:hint="eastAsia" w:ascii="仿宋_GB2312" w:hAnsi="仿宋_GB2312" w:eastAsia="仿宋_GB2312" w:cs="仿宋_GB2312"/>
          <w:color w:val="auto"/>
          <w:sz w:val="32"/>
          <w:szCs w:val="32"/>
          <w:highlight w:val="none"/>
          <w:lang w:eastAsia="zh-CN"/>
        </w:rPr>
        <w:t>）按国家标准</w:t>
      </w:r>
      <w:r>
        <w:rPr>
          <w:rFonts w:hint="eastAsia" w:ascii="仿宋_GB2312" w:hAnsi="仿宋_GB2312" w:eastAsia="仿宋_GB2312" w:cs="仿宋_GB2312"/>
          <w:color w:val="auto"/>
          <w:sz w:val="32"/>
          <w:szCs w:val="32"/>
          <w:highlight w:val="none"/>
          <w:lang w:val="en-US" w:eastAsia="zh-CN"/>
        </w:rPr>
        <w:t>《测绘生产成本费用定额》财建[2009]17号计算费用</w:t>
      </w:r>
      <w:r>
        <w:rPr>
          <w:rFonts w:hint="eastAsia" w:ascii="仿宋_GB2312" w:hAnsi="仿宋_GB2312" w:eastAsia="仿宋_GB2312" w:cs="仿宋_GB2312"/>
          <w:color w:val="auto"/>
          <w:sz w:val="32"/>
          <w:szCs w:val="32"/>
          <w:highlight w:val="none"/>
        </w:rPr>
        <w:t>；</w:t>
      </w:r>
    </w:p>
    <w:p>
      <w:pPr>
        <w:keepNext w:val="0"/>
        <w:keepLines w:val="0"/>
        <w:pageBreakBefore w:val="0"/>
        <w:widowControl w:val="0"/>
        <w:kinsoku/>
        <w:wordWrap/>
        <w:overflowPunct/>
        <w:topLinePunct w:val="0"/>
        <w:autoSpaceDE/>
        <w:autoSpaceDN/>
        <w:bidi w:val="0"/>
        <w:adjustRightInd/>
        <w:snapToGrid/>
        <w:spacing w:line="580" w:lineRule="exact"/>
        <w:ind w:right="0" w:rightChars="0" w:firstLine="640" w:firstLineChars="200"/>
        <w:jc w:val="both"/>
        <w:textAlignment w:val="auto"/>
        <w:outlineLvl w:val="9"/>
        <w:rPr>
          <w:rFonts w:hint="eastAsia" w:ascii="仿宋_GB2312" w:hAnsi="仿宋_GB2312" w:eastAsia="仿宋_GB2312" w:cs="仿宋_GB2312"/>
          <w:color w:val="auto"/>
          <w:sz w:val="32"/>
          <w:szCs w:val="32"/>
          <w:highlight w:val="none"/>
          <w:lang w:eastAsia="zh-CN"/>
        </w:rPr>
      </w:pPr>
      <w:r>
        <w:rPr>
          <w:rFonts w:hint="eastAsia" w:ascii="仿宋_GB2312" w:hAnsi="仿宋_GB2312" w:eastAsia="仿宋_GB2312" w:cs="仿宋_GB2312"/>
          <w:color w:val="auto"/>
          <w:sz w:val="32"/>
          <w:szCs w:val="32"/>
          <w:highlight w:val="none"/>
          <w:lang w:eastAsia="zh-CN"/>
        </w:rPr>
        <w:t>（二）时间安排</w:t>
      </w:r>
    </w:p>
    <w:p>
      <w:pPr>
        <w:keepNext w:val="0"/>
        <w:keepLines w:val="0"/>
        <w:pageBreakBefore w:val="0"/>
        <w:widowControl w:val="0"/>
        <w:kinsoku/>
        <w:wordWrap/>
        <w:overflowPunct/>
        <w:topLinePunct w:val="0"/>
        <w:autoSpaceDE/>
        <w:autoSpaceDN/>
        <w:bidi w:val="0"/>
        <w:adjustRightInd/>
        <w:snapToGrid/>
        <w:spacing w:line="580" w:lineRule="exact"/>
        <w:ind w:right="0" w:rightChars="0" w:firstLine="640" w:firstLineChars="200"/>
        <w:jc w:val="both"/>
        <w:textAlignment w:val="auto"/>
        <w:outlineLvl w:val="9"/>
        <w:rPr>
          <w:rFonts w:hint="eastAsia"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highlight w:val="none"/>
          <w:lang w:eastAsia="zh-CN"/>
        </w:rPr>
        <w:t>本次测绘任务的时间安排应根据工程的实际进度和需要进行合理安排。测绘工作应在确保质量的前提下，尽量缩短工期，以满足工程的实际需求。</w:t>
      </w:r>
    </w:p>
    <w:p>
      <w:pPr>
        <w:keepNext w:val="0"/>
        <w:keepLines w:val="0"/>
        <w:pageBreakBefore w:val="0"/>
        <w:widowControl w:val="0"/>
        <w:kinsoku/>
        <w:wordWrap/>
        <w:overflowPunct/>
        <w:topLinePunct w:val="0"/>
        <w:autoSpaceDE/>
        <w:autoSpaceDN/>
        <w:bidi w:val="0"/>
        <w:adjustRightInd/>
        <w:snapToGrid/>
        <w:spacing w:line="580" w:lineRule="exact"/>
        <w:ind w:left="0" w:leftChars="0" w:right="0" w:rightChars="0" w:firstLine="640" w:firstLineChars="200"/>
        <w:jc w:val="both"/>
        <w:textAlignment w:val="auto"/>
        <w:outlineLvl w:val="9"/>
        <w:rPr>
          <w:rFonts w:hint="eastAsia"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eastAsia="zh-CN"/>
        </w:rPr>
        <w:t>（三）保密要求</w:t>
      </w:r>
    </w:p>
    <w:p>
      <w:pPr>
        <w:keepNext w:val="0"/>
        <w:keepLines w:val="0"/>
        <w:pageBreakBefore w:val="0"/>
        <w:widowControl w:val="0"/>
        <w:kinsoku/>
        <w:wordWrap/>
        <w:overflowPunct/>
        <w:topLinePunct w:val="0"/>
        <w:autoSpaceDE/>
        <w:autoSpaceDN/>
        <w:bidi w:val="0"/>
        <w:adjustRightInd/>
        <w:snapToGrid/>
        <w:spacing w:line="580" w:lineRule="exact"/>
        <w:ind w:left="0" w:leftChars="0" w:right="0" w:rightChars="0" w:firstLine="640" w:firstLineChars="200"/>
        <w:jc w:val="both"/>
        <w:textAlignment w:val="auto"/>
        <w:outlineLvl w:val="9"/>
        <w:rPr>
          <w:rFonts w:hint="eastAsia"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eastAsia="zh-CN"/>
        </w:rPr>
        <w:t>测绘工作涉及的地理信息数据具有一定的保密性，相关人员应严格遵守保密规定，确保测绘数据的安全性和保密性。未经许可，不得擅自泄露、传播或利用测绘数据。</w:t>
      </w:r>
    </w:p>
    <w:p>
      <w:pPr>
        <w:keepNext w:val="0"/>
        <w:keepLines w:val="0"/>
        <w:pageBreakBefore w:val="0"/>
        <w:widowControl w:val="0"/>
        <w:kinsoku/>
        <w:wordWrap/>
        <w:overflowPunct/>
        <w:topLinePunct w:val="0"/>
        <w:autoSpaceDE/>
        <w:autoSpaceDN/>
        <w:bidi w:val="0"/>
        <w:adjustRightInd/>
        <w:snapToGrid/>
        <w:spacing w:line="580" w:lineRule="exact"/>
        <w:ind w:left="0" w:leftChars="0" w:right="0" w:rightChars="0" w:firstLine="640" w:firstLineChars="200"/>
        <w:jc w:val="both"/>
        <w:textAlignment w:val="auto"/>
        <w:outlineLvl w:val="9"/>
        <w:rPr>
          <w:rFonts w:hint="eastAsia"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lang w:val="en-US" w:eastAsia="zh-CN"/>
        </w:rPr>
        <w:t>四</w:t>
      </w:r>
      <w:r>
        <w:rPr>
          <w:rFonts w:hint="eastAsia" w:ascii="仿宋_GB2312" w:hAnsi="仿宋_GB2312" w:eastAsia="仿宋_GB2312" w:cs="仿宋_GB2312"/>
          <w:color w:val="auto"/>
          <w:sz w:val="32"/>
          <w:szCs w:val="32"/>
          <w:lang w:eastAsia="zh-CN"/>
        </w:rPr>
        <w:t>）责任与义务</w:t>
      </w:r>
    </w:p>
    <w:p>
      <w:pPr>
        <w:keepNext w:val="0"/>
        <w:keepLines w:val="0"/>
        <w:pageBreakBefore w:val="0"/>
        <w:widowControl w:val="0"/>
        <w:kinsoku/>
        <w:wordWrap/>
        <w:overflowPunct/>
        <w:topLinePunct w:val="0"/>
        <w:autoSpaceDE/>
        <w:autoSpaceDN/>
        <w:bidi w:val="0"/>
        <w:adjustRightInd/>
        <w:snapToGrid/>
        <w:spacing w:line="580" w:lineRule="exact"/>
        <w:ind w:left="0" w:leftChars="0" w:right="0" w:rightChars="0" w:firstLine="640" w:firstLineChars="200"/>
        <w:jc w:val="both"/>
        <w:textAlignment w:val="auto"/>
        <w:outlineLvl w:val="9"/>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eastAsia="zh-CN"/>
        </w:rPr>
        <w:t>参与本次测绘任务的人员应履行相应的责任和义务，确保测绘工作的顺利进行和高质量完成。同时，应积极配合相关部门和单位的工作，为工程的顺利推进提供有力支持。</w:t>
      </w:r>
    </w:p>
    <w:p>
      <w:pPr>
        <w:keepNext w:val="0"/>
        <w:keepLines w:val="0"/>
        <w:pageBreakBefore w:val="0"/>
        <w:widowControl w:val="0"/>
        <w:kinsoku/>
        <w:wordWrap/>
        <w:overflowPunct/>
        <w:topLinePunct w:val="0"/>
        <w:autoSpaceDE/>
        <w:autoSpaceDN/>
        <w:bidi w:val="0"/>
        <w:adjustRightInd/>
        <w:snapToGrid/>
        <w:spacing w:line="580" w:lineRule="exact"/>
        <w:ind w:left="0" w:leftChars="0" w:right="0" w:rightChars="0" w:firstLine="643" w:firstLineChars="200"/>
        <w:jc w:val="both"/>
        <w:textAlignment w:val="auto"/>
        <w:outlineLvl w:val="9"/>
        <w:rPr>
          <w:rFonts w:hint="eastAsia" w:asciiTheme="minorEastAsia" w:hAnsiTheme="minorEastAsia" w:eastAsiaTheme="minorEastAsia" w:cstheme="minorEastAsia"/>
          <w:b/>
          <w:bCs/>
          <w:sz w:val="32"/>
          <w:szCs w:val="32"/>
          <w:lang w:eastAsia="zh-CN"/>
        </w:rPr>
      </w:pPr>
      <w:r>
        <w:rPr>
          <w:rFonts w:hint="eastAsia" w:asciiTheme="minorEastAsia" w:hAnsiTheme="minorEastAsia" w:eastAsiaTheme="minorEastAsia" w:cstheme="minorEastAsia"/>
          <w:b/>
          <w:bCs/>
          <w:sz w:val="32"/>
          <w:szCs w:val="32"/>
          <w:lang w:eastAsia="zh-CN"/>
        </w:rPr>
        <w:t>三、投标人资质要求</w:t>
      </w:r>
    </w:p>
    <w:p>
      <w:pPr>
        <w:keepNext w:val="0"/>
        <w:keepLines w:val="0"/>
        <w:pageBreakBefore w:val="0"/>
        <w:widowControl w:val="0"/>
        <w:kinsoku/>
        <w:wordWrap/>
        <w:overflowPunct/>
        <w:topLinePunct w:val="0"/>
        <w:autoSpaceDE/>
        <w:autoSpaceDN/>
        <w:bidi w:val="0"/>
        <w:adjustRightInd/>
        <w:snapToGrid/>
        <w:spacing w:line="580" w:lineRule="exact"/>
        <w:ind w:left="0" w:leftChars="0" w:right="0" w:rightChars="0" w:firstLine="640" w:firstLineChars="200"/>
        <w:jc w:val="both"/>
        <w:textAlignment w:val="auto"/>
        <w:outlineLvl w:val="9"/>
        <w:rPr>
          <w:rFonts w:hint="eastAsia" w:ascii="仿宋_GB2312" w:hAnsi="仿宋_GB2312" w:eastAsia="仿宋_GB2312" w:cs="仿宋_GB2312"/>
          <w:b w:val="0"/>
          <w:bCs w:val="0"/>
          <w:sz w:val="32"/>
          <w:szCs w:val="32"/>
          <w:highlight w:val="none"/>
          <w:lang w:eastAsia="zh-CN"/>
        </w:rPr>
      </w:pPr>
      <w:r>
        <w:rPr>
          <w:rFonts w:hint="eastAsia" w:ascii="仿宋_GB2312" w:hAnsi="仿宋_GB2312" w:eastAsia="仿宋_GB2312" w:cs="仿宋_GB2312"/>
          <w:b w:val="0"/>
          <w:bCs w:val="0"/>
          <w:sz w:val="32"/>
          <w:szCs w:val="32"/>
          <w:highlight w:val="none"/>
          <w:lang w:eastAsia="zh-CN"/>
        </w:rPr>
        <w:t>1、在中华人民共和国境内注册，持有合法有效的法人证书（或法人身份证明文件）。</w:t>
      </w:r>
    </w:p>
    <w:p>
      <w:pPr>
        <w:keepNext w:val="0"/>
        <w:keepLines w:val="0"/>
        <w:pageBreakBefore w:val="0"/>
        <w:widowControl w:val="0"/>
        <w:kinsoku/>
        <w:wordWrap/>
        <w:overflowPunct/>
        <w:topLinePunct w:val="0"/>
        <w:autoSpaceDE/>
        <w:autoSpaceDN/>
        <w:bidi w:val="0"/>
        <w:adjustRightInd/>
        <w:snapToGrid/>
        <w:spacing w:line="580" w:lineRule="exact"/>
        <w:ind w:left="0" w:leftChars="0" w:right="0" w:rightChars="0" w:firstLine="640" w:firstLineChars="200"/>
        <w:jc w:val="both"/>
        <w:textAlignment w:val="auto"/>
        <w:outlineLvl w:val="9"/>
        <w:rPr>
          <w:rFonts w:hint="eastAsia" w:ascii="仿宋_GB2312" w:hAnsi="仿宋_GB2312" w:eastAsia="仿宋_GB2312" w:cs="仿宋_GB2312"/>
          <w:b w:val="0"/>
          <w:bCs w:val="0"/>
          <w:sz w:val="32"/>
          <w:szCs w:val="32"/>
          <w:highlight w:val="none"/>
          <w:lang w:eastAsia="zh-CN"/>
        </w:rPr>
      </w:pPr>
      <w:r>
        <w:rPr>
          <w:rFonts w:hint="eastAsia" w:ascii="仿宋_GB2312" w:hAnsi="仿宋_GB2312" w:eastAsia="仿宋_GB2312" w:cs="仿宋_GB2312"/>
          <w:b w:val="0"/>
          <w:bCs w:val="0"/>
          <w:sz w:val="32"/>
          <w:szCs w:val="32"/>
          <w:highlight w:val="none"/>
          <w:lang w:eastAsia="zh-CN"/>
        </w:rPr>
        <w:t>2、具有良好的社会信誉，在最近三年内没有骗取中标（隐瞒或提供虚假资料等）行为和严重违法、违约记录。</w:t>
      </w:r>
    </w:p>
    <w:p>
      <w:pPr>
        <w:keepNext w:val="0"/>
        <w:keepLines w:val="0"/>
        <w:pageBreakBefore w:val="0"/>
        <w:widowControl w:val="0"/>
        <w:kinsoku/>
        <w:wordWrap/>
        <w:overflowPunct/>
        <w:topLinePunct w:val="0"/>
        <w:autoSpaceDE/>
        <w:autoSpaceDN/>
        <w:bidi w:val="0"/>
        <w:adjustRightInd/>
        <w:snapToGrid/>
        <w:spacing w:line="580" w:lineRule="exact"/>
        <w:ind w:left="0" w:leftChars="0" w:right="0" w:rightChars="0" w:firstLine="640" w:firstLineChars="200"/>
        <w:jc w:val="both"/>
        <w:textAlignment w:val="auto"/>
        <w:outlineLvl w:val="9"/>
        <w:rPr>
          <w:rFonts w:hint="eastAsia" w:ascii="仿宋_GB2312" w:hAnsi="仿宋_GB2312" w:eastAsia="仿宋_GB2312" w:cs="仿宋_GB2312"/>
          <w:b w:val="0"/>
          <w:bCs w:val="0"/>
          <w:sz w:val="32"/>
          <w:szCs w:val="32"/>
          <w:highlight w:val="none"/>
          <w:lang w:eastAsia="zh-CN"/>
        </w:rPr>
      </w:pPr>
      <w:r>
        <w:rPr>
          <w:rFonts w:hint="eastAsia" w:ascii="仿宋_GB2312" w:hAnsi="仿宋_GB2312" w:eastAsia="仿宋_GB2312" w:cs="仿宋_GB2312"/>
          <w:b w:val="0"/>
          <w:bCs w:val="0"/>
          <w:sz w:val="32"/>
          <w:szCs w:val="32"/>
          <w:highlight w:val="none"/>
          <w:lang w:eastAsia="zh-CN"/>
        </w:rPr>
        <w:t>3、未被相关政府部门或中国南方电网有限责任公司、广西电网有限责任公司等实施市场禁入、禁止参加投标、承接新项目的，或曾被以上部门、单位实施市场禁入、禁止参加投标、承接新项目但有有效证明已恢复相关资格的。</w:t>
      </w:r>
    </w:p>
    <w:p>
      <w:pPr>
        <w:keepNext w:val="0"/>
        <w:keepLines w:val="0"/>
        <w:pageBreakBefore w:val="0"/>
        <w:widowControl w:val="0"/>
        <w:kinsoku/>
        <w:wordWrap/>
        <w:overflowPunct/>
        <w:topLinePunct w:val="0"/>
        <w:autoSpaceDE/>
        <w:autoSpaceDN/>
        <w:bidi w:val="0"/>
        <w:adjustRightInd/>
        <w:snapToGrid/>
        <w:spacing w:line="580" w:lineRule="exact"/>
        <w:ind w:left="0" w:leftChars="0" w:right="0" w:rightChars="0" w:firstLine="640" w:firstLineChars="200"/>
        <w:jc w:val="both"/>
        <w:textAlignment w:val="auto"/>
        <w:outlineLvl w:val="9"/>
        <w:rPr>
          <w:rFonts w:hint="eastAsia" w:ascii="仿宋_GB2312" w:hAnsi="仿宋_GB2312" w:eastAsia="仿宋_GB2312" w:cs="仿宋_GB2312"/>
          <w:b w:val="0"/>
          <w:bCs w:val="0"/>
          <w:sz w:val="32"/>
          <w:szCs w:val="32"/>
          <w:highlight w:val="none"/>
          <w:lang w:eastAsia="zh-CN"/>
        </w:rPr>
      </w:pPr>
      <w:r>
        <w:rPr>
          <w:rFonts w:hint="eastAsia" w:ascii="仿宋_GB2312" w:hAnsi="仿宋_GB2312" w:eastAsia="仿宋_GB2312" w:cs="仿宋_GB2312"/>
          <w:b w:val="0"/>
          <w:bCs w:val="0"/>
          <w:sz w:val="32"/>
          <w:szCs w:val="32"/>
          <w:highlight w:val="none"/>
          <w:lang w:eastAsia="zh-CN"/>
        </w:rPr>
        <w:t>4、单位负责人为同一人或者存在控股、管理关系的不同单位，或不同单位实际控制人为同一人或者互为夫妻关系的，或不同单位董事、监事、高级管理人员相互交叉任职的，不得参加同一标包（标段）或者未划分标包（标段）的同一项目（标的）的采购活动。</w:t>
      </w:r>
    </w:p>
    <w:p>
      <w:pPr>
        <w:keepNext w:val="0"/>
        <w:keepLines w:val="0"/>
        <w:pageBreakBefore w:val="0"/>
        <w:widowControl w:val="0"/>
        <w:kinsoku/>
        <w:wordWrap/>
        <w:overflowPunct/>
        <w:topLinePunct w:val="0"/>
        <w:autoSpaceDE/>
        <w:autoSpaceDN/>
        <w:bidi w:val="0"/>
        <w:adjustRightInd/>
        <w:snapToGrid/>
        <w:spacing w:line="580" w:lineRule="exact"/>
        <w:ind w:left="0" w:leftChars="0" w:right="0" w:rightChars="0" w:firstLine="640" w:firstLineChars="200"/>
        <w:jc w:val="both"/>
        <w:textAlignment w:val="auto"/>
        <w:outlineLvl w:val="9"/>
        <w:rPr>
          <w:rFonts w:hint="eastAsia" w:ascii="仿宋_GB2312" w:hAnsi="仿宋_GB2312" w:eastAsia="仿宋_GB2312" w:cs="仿宋_GB2312"/>
          <w:b w:val="0"/>
          <w:bCs w:val="0"/>
          <w:sz w:val="32"/>
          <w:szCs w:val="32"/>
          <w:highlight w:val="none"/>
          <w:lang w:eastAsia="zh-CN"/>
        </w:rPr>
      </w:pPr>
      <w:r>
        <w:rPr>
          <w:rFonts w:hint="eastAsia" w:ascii="仿宋_GB2312" w:hAnsi="仿宋_GB2312" w:eastAsia="仿宋_GB2312" w:cs="仿宋_GB2312"/>
          <w:b w:val="0"/>
          <w:bCs w:val="0"/>
          <w:sz w:val="32"/>
          <w:szCs w:val="32"/>
          <w:highlight w:val="none"/>
          <w:lang w:eastAsia="zh-CN"/>
        </w:rPr>
        <w:t>5、供应商须提供真实有效的“国家企业信用信息公示系统企业信用信息公示报告声明函”，并附国家企业信用信息公示系统</w:t>
      </w:r>
    </w:p>
    <w:p>
      <w:pPr>
        <w:keepNext w:val="0"/>
        <w:keepLines w:val="0"/>
        <w:pageBreakBefore w:val="0"/>
        <w:widowControl w:val="0"/>
        <w:kinsoku/>
        <w:wordWrap/>
        <w:overflowPunct/>
        <w:topLinePunct w:val="0"/>
        <w:autoSpaceDE/>
        <w:autoSpaceDN/>
        <w:bidi w:val="0"/>
        <w:adjustRightInd/>
        <w:snapToGrid/>
        <w:spacing w:line="580" w:lineRule="exact"/>
        <w:ind w:right="0" w:rightChars="0"/>
        <w:jc w:val="both"/>
        <w:textAlignment w:val="auto"/>
        <w:outlineLvl w:val="9"/>
        <w:rPr>
          <w:rFonts w:hint="eastAsia" w:ascii="仿宋_GB2312" w:hAnsi="仿宋_GB2312" w:eastAsia="仿宋_GB2312" w:cs="仿宋_GB2312"/>
          <w:b w:val="0"/>
          <w:bCs w:val="0"/>
          <w:sz w:val="32"/>
          <w:szCs w:val="32"/>
          <w:highlight w:val="none"/>
          <w:lang w:eastAsia="zh-CN"/>
        </w:rPr>
      </w:pPr>
      <w:r>
        <w:rPr>
          <w:rFonts w:hint="eastAsia" w:ascii="仿宋_GB2312" w:hAnsi="仿宋_GB2312" w:eastAsia="仿宋_GB2312" w:cs="仿宋_GB2312"/>
          <w:b w:val="0"/>
          <w:bCs w:val="0"/>
          <w:sz w:val="32"/>
          <w:szCs w:val="32"/>
          <w:highlight w:val="none"/>
          <w:lang w:eastAsia="zh-CN"/>
        </w:rPr>
        <w:t>（http://www.gsxt.gov.cn）生成完整的《国家企业信用信息公示系统企业信用信息公示报告》，且报告生成时间为从采购公告发布之日起至响应截止时间内，否则视为无效。</w:t>
      </w:r>
    </w:p>
    <w:p>
      <w:pPr>
        <w:keepNext w:val="0"/>
        <w:keepLines w:val="0"/>
        <w:pageBreakBefore w:val="0"/>
        <w:widowControl w:val="0"/>
        <w:kinsoku/>
        <w:wordWrap/>
        <w:overflowPunct/>
        <w:topLinePunct w:val="0"/>
        <w:autoSpaceDE/>
        <w:autoSpaceDN/>
        <w:bidi w:val="0"/>
        <w:adjustRightInd/>
        <w:snapToGrid/>
        <w:spacing w:line="580" w:lineRule="exact"/>
        <w:ind w:left="0" w:leftChars="0" w:right="0" w:rightChars="0" w:firstLine="640" w:firstLineChars="200"/>
        <w:jc w:val="both"/>
        <w:textAlignment w:val="auto"/>
        <w:outlineLvl w:val="9"/>
        <w:rPr>
          <w:rFonts w:hint="eastAsia" w:ascii="仿宋_GB2312" w:hAnsi="仿宋_GB2312" w:eastAsia="仿宋_GB2312" w:cs="仿宋_GB2312"/>
          <w:b w:val="0"/>
          <w:bCs w:val="0"/>
          <w:sz w:val="32"/>
          <w:szCs w:val="32"/>
          <w:highlight w:val="none"/>
          <w:lang w:eastAsia="zh-CN"/>
        </w:rPr>
      </w:pPr>
      <w:r>
        <w:rPr>
          <w:rFonts w:hint="eastAsia" w:ascii="仿宋_GB2312" w:hAnsi="仿宋_GB2312" w:eastAsia="仿宋_GB2312" w:cs="仿宋_GB2312"/>
          <w:b w:val="0"/>
          <w:bCs w:val="0"/>
          <w:sz w:val="32"/>
          <w:szCs w:val="32"/>
          <w:highlight w:val="none"/>
          <w:lang w:eastAsia="zh-CN"/>
        </w:rPr>
        <w:t>6、供应商没有被工商行政管理机关在全国企业信用信息公示系统中列入严重违法失信企业名单。</w:t>
      </w:r>
    </w:p>
    <w:p>
      <w:pPr>
        <w:keepNext w:val="0"/>
        <w:keepLines w:val="0"/>
        <w:pageBreakBefore w:val="0"/>
        <w:widowControl w:val="0"/>
        <w:kinsoku/>
        <w:wordWrap/>
        <w:overflowPunct/>
        <w:topLinePunct w:val="0"/>
        <w:autoSpaceDE/>
        <w:autoSpaceDN/>
        <w:bidi w:val="0"/>
        <w:adjustRightInd/>
        <w:snapToGrid/>
        <w:spacing w:line="580" w:lineRule="exact"/>
        <w:ind w:left="0" w:leftChars="0" w:right="0" w:rightChars="0" w:firstLine="640" w:firstLineChars="200"/>
        <w:jc w:val="both"/>
        <w:textAlignment w:val="auto"/>
        <w:outlineLvl w:val="9"/>
        <w:rPr>
          <w:rFonts w:hint="default"/>
          <w:lang w:val="en-US" w:eastAsia="zh-CN"/>
        </w:rPr>
      </w:pPr>
      <w:r>
        <w:rPr>
          <w:rFonts w:hint="eastAsia" w:ascii="仿宋_GB2312" w:hAnsi="仿宋_GB2312" w:eastAsia="仿宋_GB2312" w:cs="仿宋_GB2312"/>
          <w:b w:val="0"/>
          <w:bCs w:val="0"/>
          <w:sz w:val="32"/>
          <w:szCs w:val="32"/>
          <w:highlight w:val="none"/>
          <w:lang w:eastAsia="zh-CN"/>
        </w:rPr>
        <w:t>7、供应商没有被最高人民法院在“信用中国”网站（www.creditchina.gov.cn）或各级信用信息共享平台中列入失信被执行人名单。</w:t>
      </w:r>
    </w:p>
    <w:p>
      <w:pPr>
        <w:keepNext w:val="0"/>
        <w:keepLines w:val="0"/>
        <w:pageBreakBefore w:val="0"/>
        <w:widowControl w:val="0"/>
        <w:kinsoku/>
        <w:wordWrap/>
        <w:overflowPunct/>
        <w:topLinePunct w:val="0"/>
        <w:autoSpaceDE/>
        <w:autoSpaceDN/>
        <w:bidi w:val="0"/>
        <w:adjustRightInd/>
        <w:snapToGrid/>
        <w:spacing w:line="580" w:lineRule="exact"/>
        <w:ind w:left="0" w:leftChars="0" w:right="0" w:rightChars="0" w:firstLine="643" w:firstLineChars="200"/>
        <w:jc w:val="both"/>
        <w:textAlignment w:val="auto"/>
        <w:outlineLvl w:val="9"/>
        <w:rPr>
          <w:rFonts w:hint="eastAsia" w:ascii="仿宋_GB2312" w:hAnsi="仿宋_GB2312" w:eastAsia="仿宋_GB2312" w:cs="仿宋_GB2312"/>
          <w:b/>
          <w:bCs/>
          <w:sz w:val="32"/>
          <w:szCs w:val="32"/>
        </w:rPr>
      </w:pPr>
      <w:r>
        <w:rPr>
          <w:rFonts w:hint="eastAsia" w:asciiTheme="minorEastAsia" w:hAnsiTheme="minorEastAsia" w:cstheme="minorEastAsia"/>
          <w:b/>
          <w:bCs/>
          <w:sz w:val="32"/>
          <w:szCs w:val="32"/>
          <w:lang w:eastAsia="zh-CN"/>
        </w:rPr>
        <w:t>四</w:t>
      </w:r>
      <w:r>
        <w:rPr>
          <w:rFonts w:hint="eastAsia" w:asciiTheme="minorEastAsia" w:hAnsiTheme="minorEastAsia" w:eastAsiaTheme="minorEastAsia" w:cstheme="minorEastAsia"/>
          <w:b/>
          <w:bCs/>
          <w:sz w:val="32"/>
          <w:szCs w:val="32"/>
          <w:lang w:eastAsia="zh-CN"/>
        </w:rPr>
        <w:t>、结算方式</w:t>
      </w:r>
    </w:p>
    <w:p>
      <w:pPr>
        <w:keepNext w:val="0"/>
        <w:keepLines w:val="0"/>
        <w:pageBreakBefore w:val="0"/>
        <w:widowControl w:val="0"/>
        <w:kinsoku/>
        <w:wordWrap/>
        <w:overflowPunct/>
        <w:topLinePunct w:val="0"/>
        <w:autoSpaceDE/>
        <w:autoSpaceDN/>
        <w:bidi w:val="0"/>
        <w:adjustRightInd/>
        <w:snapToGrid/>
        <w:spacing w:line="58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b w:val="0"/>
          <w:bCs w:val="0"/>
          <w:sz w:val="32"/>
          <w:szCs w:val="32"/>
          <w:highlight w:val="none"/>
          <w:lang w:val="en-US" w:eastAsia="zh-CN"/>
        </w:rPr>
        <w:t>按财政部、国家测绘局颁布的《测绘生产成本费用定额》《财建【2009】17号》文，计费结合测量实际情况对应内容计算，包含税金、勘察测绘、图纸制作、光盘刻录等所有与本项目有关的费用。本项目经验收合格后据实结算，结算金额=项目计费单价×实际数量×（1-下浮率%），最终结算费用不超过最高限价。</w:t>
      </w:r>
    </w:p>
    <w:p>
      <w:pPr>
        <w:keepNext w:val="0"/>
        <w:keepLines w:val="0"/>
        <w:pageBreakBefore w:val="0"/>
        <w:widowControl w:val="0"/>
        <w:kinsoku/>
        <w:wordWrap/>
        <w:overflowPunct/>
        <w:topLinePunct w:val="0"/>
        <w:autoSpaceDE/>
        <w:autoSpaceDN/>
        <w:bidi w:val="0"/>
        <w:adjustRightInd/>
        <w:snapToGrid/>
        <w:spacing w:line="58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合同生效后，承包方完成发包方指定工程测绘任务并出具满足地方政府相关部门的要求测绘成果及报告，承包方按结算价格的100%向发包方出具增值税专用发票，甲方按票面金额于收到合格票据之日起60日内完成支付。</w:t>
      </w:r>
    </w:p>
    <w:p>
      <w:pPr>
        <w:keepNext w:val="0"/>
        <w:keepLines w:val="0"/>
        <w:pageBreakBefore w:val="0"/>
        <w:widowControl w:val="0"/>
        <w:kinsoku/>
        <w:wordWrap/>
        <w:overflowPunct/>
        <w:topLinePunct w:val="0"/>
        <w:autoSpaceDE/>
        <w:autoSpaceDN/>
        <w:bidi w:val="0"/>
        <w:adjustRightInd/>
        <w:snapToGrid/>
        <w:spacing w:line="580" w:lineRule="exact"/>
        <w:ind w:left="0" w:leftChars="0" w:right="0" w:rightChars="0" w:firstLine="643" w:firstLineChars="200"/>
        <w:jc w:val="both"/>
        <w:textAlignment w:val="auto"/>
        <w:outlineLvl w:val="9"/>
        <w:rPr>
          <w:rFonts w:hint="eastAsia" w:asciiTheme="minorEastAsia" w:hAnsiTheme="minorEastAsia" w:eastAsiaTheme="minorEastAsia" w:cstheme="minorEastAsia"/>
          <w:b/>
          <w:bCs/>
          <w:sz w:val="32"/>
          <w:szCs w:val="32"/>
          <w:lang w:eastAsia="zh-CN"/>
        </w:rPr>
      </w:pPr>
      <w:r>
        <w:rPr>
          <w:rFonts w:hint="eastAsia" w:asciiTheme="minorEastAsia" w:hAnsiTheme="minorEastAsia" w:cstheme="minorEastAsia"/>
          <w:b/>
          <w:bCs/>
          <w:sz w:val="32"/>
          <w:szCs w:val="32"/>
          <w:lang w:eastAsia="zh-CN"/>
        </w:rPr>
        <w:t>五</w:t>
      </w:r>
      <w:r>
        <w:rPr>
          <w:rFonts w:hint="eastAsia" w:asciiTheme="minorEastAsia" w:hAnsiTheme="minorEastAsia" w:eastAsiaTheme="minorEastAsia" w:cstheme="minorEastAsia"/>
          <w:b/>
          <w:bCs/>
          <w:sz w:val="32"/>
          <w:szCs w:val="32"/>
          <w:lang w:eastAsia="zh-CN"/>
        </w:rPr>
        <w:t>、服务关键环</w:t>
      </w:r>
      <w:r>
        <w:rPr>
          <w:rFonts w:hint="eastAsia" w:asciiTheme="minorEastAsia" w:hAnsiTheme="minorEastAsia" w:cstheme="minorEastAsia"/>
          <w:b/>
          <w:bCs/>
          <w:sz w:val="32"/>
          <w:szCs w:val="32"/>
          <w:lang w:eastAsia="zh-CN"/>
        </w:rPr>
        <w:t>节</w:t>
      </w:r>
      <w:r>
        <w:rPr>
          <w:rFonts w:hint="eastAsia" w:asciiTheme="minorEastAsia" w:hAnsiTheme="minorEastAsia" w:eastAsiaTheme="minorEastAsia" w:cstheme="minorEastAsia"/>
          <w:b/>
          <w:bCs/>
          <w:sz w:val="32"/>
          <w:szCs w:val="32"/>
          <w:lang w:eastAsia="zh-CN"/>
        </w:rPr>
        <w:t>目标要求</w:t>
      </w:r>
    </w:p>
    <w:p>
      <w:pPr>
        <w:keepNext w:val="0"/>
        <w:keepLines w:val="0"/>
        <w:pageBreakBefore w:val="0"/>
        <w:widowControl w:val="0"/>
        <w:kinsoku/>
        <w:wordWrap/>
        <w:overflowPunct/>
        <w:topLinePunct w:val="0"/>
        <w:autoSpaceDE/>
        <w:autoSpaceDN/>
        <w:bidi w:val="0"/>
        <w:adjustRightInd/>
        <w:snapToGrid/>
        <w:spacing w:line="58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出具</w:t>
      </w:r>
      <w:r>
        <w:rPr>
          <w:rFonts w:hint="eastAsia" w:ascii="仿宋_GB2312" w:hAnsi="仿宋_GB2312" w:eastAsia="仿宋_GB2312" w:cs="仿宋_GB2312"/>
          <w:sz w:val="32"/>
          <w:szCs w:val="32"/>
          <w:lang w:eastAsia="zh-CN"/>
        </w:rPr>
        <w:t>测绘</w:t>
      </w:r>
      <w:r>
        <w:rPr>
          <w:rFonts w:hint="eastAsia" w:ascii="仿宋_GB2312" w:hAnsi="仿宋_GB2312" w:eastAsia="仿宋_GB2312" w:cs="仿宋_GB2312"/>
          <w:sz w:val="32"/>
          <w:szCs w:val="32"/>
        </w:rPr>
        <w:t>报告，确保</w:t>
      </w:r>
      <w:r>
        <w:rPr>
          <w:rFonts w:hint="eastAsia" w:ascii="仿宋_GB2312" w:hAnsi="仿宋_GB2312" w:eastAsia="仿宋_GB2312" w:cs="仿宋_GB2312"/>
          <w:sz w:val="32"/>
          <w:szCs w:val="32"/>
          <w:lang w:eastAsia="zh-CN"/>
        </w:rPr>
        <w:t>测绘成果</w:t>
      </w:r>
      <w:r>
        <w:rPr>
          <w:rFonts w:hint="eastAsia" w:ascii="仿宋_GB2312" w:hAnsi="仿宋_GB2312" w:eastAsia="仿宋_GB2312" w:cs="仿宋_GB2312"/>
          <w:sz w:val="32"/>
          <w:szCs w:val="32"/>
          <w:lang w:val="en-US" w:eastAsia="zh-CN"/>
        </w:rPr>
        <w:t>在</w:t>
      </w:r>
      <w:r>
        <w:rPr>
          <w:rFonts w:hint="eastAsia" w:ascii="仿宋_GB2312" w:hAnsi="仿宋_GB2312" w:eastAsia="仿宋_GB2312" w:cs="仿宋_GB2312"/>
          <w:sz w:val="32"/>
          <w:szCs w:val="32"/>
          <w:lang w:eastAsia="zh-CN"/>
        </w:rPr>
        <w:t>办理</w:t>
      </w:r>
      <w:r>
        <w:rPr>
          <w:rFonts w:hint="eastAsia" w:ascii="仿宋_GB2312" w:hAnsi="仿宋_GB2312" w:eastAsia="仿宋_GB2312" w:cs="仿宋_GB2312"/>
          <w:sz w:val="32"/>
          <w:szCs w:val="32"/>
          <w:lang w:val="en-US" w:eastAsia="zh-CN"/>
        </w:rPr>
        <w:t>合规性手续时能够满足</w:t>
      </w:r>
      <w:r>
        <w:rPr>
          <w:rFonts w:hint="eastAsia" w:ascii="仿宋_GB2312" w:hAnsi="仿宋_GB2312" w:eastAsia="仿宋_GB2312" w:cs="仿宋_GB2312"/>
          <w:sz w:val="32"/>
          <w:szCs w:val="32"/>
          <w:lang w:eastAsia="zh-CN"/>
        </w:rPr>
        <w:t>地方</w:t>
      </w:r>
      <w:r>
        <w:rPr>
          <w:rFonts w:hint="eastAsia" w:ascii="仿宋_GB2312" w:hAnsi="仿宋_GB2312" w:eastAsia="仿宋_GB2312" w:cs="仿宋_GB2312"/>
          <w:sz w:val="32"/>
          <w:szCs w:val="32"/>
          <w:lang w:val="en-US" w:eastAsia="zh-CN"/>
        </w:rPr>
        <w:t>政府相关部门的要求</w:t>
      </w:r>
      <w:r>
        <w:rPr>
          <w:rFonts w:hint="eastAsia" w:ascii="仿宋_GB2312" w:hAnsi="仿宋_GB2312" w:eastAsia="仿宋_GB2312" w:cs="仿宋_GB2312"/>
          <w:sz w:val="32"/>
          <w:szCs w:val="32"/>
        </w:rPr>
        <w:t>。</w:t>
      </w:r>
      <w:bookmarkStart w:id="0" w:name="_GoBack"/>
      <w:bookmarkEnd w:id="0"/>
    </w:p>
    <w:p>
      <w:pPr>
        <w:keepNext w:val="0"/>
        <w:keepLines w:val="0"/>
        <w:pageBreakBefore w:val="0"/>
        <w:widowControl w:val="0"/>
        <w:kinsoku/>
        <w:wordWrap/>
        <w:overflowPunct/>
        <w:topLinePunct w:val="0"/>
        <w:autoSpaceDE/>
        <w:autoSpaceDN/>
        <w:bidi w:val="0"/>
        <w:adjustRightInd/>
        <w:snapToGrid/>
        <w:spacing w:line="580" w:lineRule="exact"/>
        <w:ind w:left="0" w:leftChars="0" w:right="0" w:rightChars="0" w:firstLine="643" w:firstLineChars="200"/>
        <w:jc w:val="both"/>
        <w:textAlignment w:val="auto"/>
        <w:outlineLvl w:val="9"/>
        <w:rPr>
          <w:rFonts w:hint="eastAsia" w:asciiTheme="minorEastAsia" w:hAnsiTheme="minorEastAsia" w:eastAsiaTheme="minorEastAsia" w:cstheme="minorEastAsia"/>
          <w:b/>
          <w:bCs/>
          <w:sz w:val="32"/>
          <w:szCs w:val="32"/>
          <w:lang w:eastAsia="zh-CN"/>
        </w:rPr>
      </w:pPr>
      <w:r>
        <w:rPr>
          <w:rFonts w:hint="eastAsia" w:asciiTheme="minorEastAsia" w:hAnsiTheme="minorEastAsia" w:cstheme="minorEastAsia"/>
          <w:b/>
          <w:bCs/>
          <w:sz w:val="32"/>
          <w:szCs w:val="32"/>
          <w:lang w:eastAsia="zh-CN"/>
        </w:rPr>
        <w:t>六</w:t>
      </w:r>
      <w:r>
        <w:rPr>
          <w:rFonts w:hint="eastAsia" w:asciiTheme="minorEastAsia" w:hAnsiTheme="minorEastAsia" w:eastAsiaTheme="minorEastAsia" w:cstheme="minorEastAsia"/>
          <w:b/>
          <w:bCs/>
          <w:sz w:val="32"/>
          <w:szCs w:val="32"/>
          <w:lang w:eastAsia="zh-CN"/>
        </w:rPr>
        <w:t>、</w:t>
      </w:r>
      <w:r>
        <w:rPr>
          <w:rFonts w:hint="eastAsia" w:asciiTheme="minorEastAsia" w:hAnsiTheme="minorEastAsia" w:cstheme="minorEastAsia"/>
          <w:b/>
          <w:bCs/>
          <w:sz w:val="32"/>
          <w:szCs w:val="32"/>
          <w:lang w:eastAsia="zh-CN"/>
        </w:rPr>
        <w:t>服务</w:t>
      </w:r>
      <w:r>
        <w:rPr>
          <w:rFonts w:hint="eastAsia" w:asciiTheme="minorEastAsia" w:hAnsiTheme="minorEastAsia" w:eastAsiaTheme="minorEastAsia" w:cstheme="minorEastAsia"/>
          <w:b/>
          <w:bCs/>
          <w:sz w:val="32"/>
          <w:szCs w:val="32"/>
          <w:lang w:eastAsia="zh-CN"/>
        </w:rPr>
        <w:t>期</w:t>
      </w:r>
      <w:r>
        <w:rPr>
          <w:rFonts w:hint="eastAsia" w:asciiTheme="minorEastAsia" w:hAnsiTheme="minorEastAsia" w:cstheme="minorEastAsia"/>
          <w:b/>
          <w:bCs/>
          <w:sz w:val="32"/>
          <w:szCs w:val="32"/>
          <w:lang w:eastAsia="zh-CN"/>
        </w:rPr>
        <w:t>限</w:t>
      </w:r>
    </w:p>
    <w:p>
      <w:pPr>
        <w:keepNext w:val="0"/>
        <w:keepLines w:val="0"/>
        <w:pageBreakBefore w:val="0"/>
        <w:widowControl w:val="0"/>
        <w:kinsoku/>
        <w:wordWrap/>
        <w:overflowPunct/>
        <w:topLinePunct w:val="0"/>
        <w:autoSpaceDE/>
        <w:autoSpaceDN/>
        <w:bidi w:val="0"/>
        <w:adjustRightInd/>
        <w:snapToGrid/>
        <w:spacing w:line="58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rPr>
        <w:t>合同签订之日起</w:t>
      </w:r>
      <w:r>
        <w:rPr>
          <w:rFonts w:hint="eastAsia" w:ascii="仿宋_GB2312" w:hAnsi="仿宋_GB2312" w:eastAsia="仿宋_GB2312" w:cs="仿宋_GB2312"/>
          <w:sz w:val="32"/>
          <w:szCs w:val="32"/>
          <w:lang w:val="en-US" w:eastAsia="zh-CN"/>
        </w:rPr>
        <w:t>12个月，其中每项测绘并出具满足政府相关部门认可的成果及报告的期限为发包人通知承包方进场之日起30日内完成。本合同服务期满时，发包方尚未确定下一年度工程测绘服务承包方的,经双方协商同意可延长本合同服务期限，但延期服务最长不得超过6个月。</w:t>
      </w:r>
    </w:p>
    <w:p>
      <w:pPr>
        <w:keepNext w:val="0"/>
        <w:keepLines w:val="0"/>
        <w:pageBreakBefore w:val="0"/>
        <w:widowControl w:val="0"/>
        <w:kinsoku/>
        <w:wordWrap/>
        <w:overflowPunct/>
        <w:topLinePunct w:val="0"/>
        <w:autoSpaceDE/>
        <w:autoSpaceDN/>
        <w:bidi w:val="0"/>
        <w:adjustRightInd/>
        <w:snapToGrid/>
        <w:spacing w:line="580" w:lineRule="exact"/>
        <w:ind w:right="0" w:rightChars="0" w:firstLine="640"/>
        <w:jc w:val="both"/>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附件：</w:t>
      </w:r>
    </w:p>
    <w:p>
      <w:pPr>
        <w:keepNext w:val="0"/>
        <w:keepLines w:val="0"/>
        <w:pageBreakBefore w:val="0"/>
        <w:widowControl w:val="0"/>
        <w:kinsoku/>
        <w:wordWrap/>
        <w:overflowPunct/>
        <w:topLinePunct w:val="0"/>
        <w:autoSpaceDE/>
        <w:autoSpaceDN/>
        <w:bidi w:val="0"/>
        <w:adjustRightInd/>
        <w:snapToGrid/>
        <w:spacing w:line="580" w:lineRule="exact"/>
        <w:ind w:right="0" w:rightChars="0" w:firstLine="640"/>
        <w:jc w:val="both"/>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1.项目清单（附后）</w:t>
      </w:r>
    </w:p>
    <w:p>
      <w:pPr>
        <w:keepNext w:val="0"/>
        <w:keepLines w:val="0"/>
        <w:pageBreakBefore w:val="0"/>
        <w:widowControl w:val="0"/>
        <w:kinsoku/>
        <w:wordWrap/>
        <w:overflowPunct/>
        <w:topLinePunct w:val="0"/>
        <w:autoSpaceDE/>
        <w:autoSpaceDN/>
        <w:bidi w:val="0"/>
        <w:adjustRightInd/>
        <w:snapToGrid/>
        <w:spacing w:line="580" w:lineRule="exact"/>
        <w:ind w:right="0" w:rightChars="0" w:firstLine="640"/>
        <w:jc w:val="both"/>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2.项目最高限价表（附后）</w:t>
      </w:r>
    </w:p>
    <w:p>
      <w:pPr>
        <w:keepNext w:val="0"/>
        <w:keepLines w:val="0"/>
        <w:pageBreakBefore w:val="0"/>
        <w:widowControl w:val="0"/>
        <w:kinsoku/>
        <w:wordWrap/>
        <w:overflowPunct/>
        <w:topLinePunct w:val="0"/>
        <w:autoSpaceDE/>
        <w:autoSpaceDN/>
        <w:bidi w:val="0"/>
        <w:adjustRightInd/>
        <w:snapToGrid/>
        <w:spacing w:line="580" w:lineRule="exact"/>
        <w:ind w:right="0" w:rightChars="0"/>
        <w:jc w:val="both"/>
        <w:textAlignment w:val="auto"/>
        <w:outlineLvl w:val="9"/>
        <w:rPr>
          <w:rFonts w:hint="eastAsia" w:ascii="仿宋_GB2312" w:hAnsi="仿宋_GB2312" w:eastAsia="仿宋_GB2312" w:cs="仿宋_GB2312"/>
          <w:kern w:val="2"/>
          <w:sz w:val="32"/>
          <w:szCs w:val="32"/>
          <w:lang w:val="en-US" w:eastAsia="zh-CN" w:bidi="ar-SA"/>
        </w:rPr>
      </w:pPr>
    </w:p>
    <w:p>
      <w:pPr>
        <w:pStyle w:val="2"/>
        <w:ind w:left="0" w:leftChars="0" w:firstLine="0" w:firstLineChars="0"/>
        <w:rPr>
          <w:rFonts w:hint="eastAsia" w:ascii="仿宋_GB2312" w:hAnsi="仿宋_GB2312" w:eastAsia="仿宋_GB2312" w:cs="仿宋_GB2312"/>
          <w:kern w:val="2"/>
          <w:sz w:val="32"/>
          <w:szCs w:val="32"/>
          <w:lang w:val="en-US" w:eastAsia="zh-CN" w:bidi="ar-SA"/>
        </w:rPr>
      </w:pPr>
    </w:p>
    <w:p>
      <w:pPr>
        <w:keepNext w:val="0"/>
        <w:keepLines w:val="0"/>
        <w:pageBreakBefore w:val="0"/>
        <w:widowControl/>
        <w:kinsoku/>
        <w:wordWrap w:val="0"/>
        <w:overflowPunct/>
        <w:topLinePunct w:val="0"/>
        <w:autoSpaceDE/>
        <w:autoSpaceDN/>
        <w:bidi w:val="0"/>
        <w:spacing w:line="560" w:lineRule="exact"/>
        <w:ind w:firstLine="640" w:firstLineChars="200"/>
        <w:jc w:val="right"/>
        <w:textAlignment w:val="auto"/>
        <w:rPr>
          <w:rFonts w:hint="eastAsia" w:ascii="仿宋_GB2312" w:hAnsi="仿宋_GB2312" w:eastAsia="仿宋_GB2312" w:cs="仿宋_GB2312"/>
          <w:sz w:val="32"/>
          <w:szCs w:val="32"/>
          <w:u w:val="none"/>
          <w:lang w:val="en-US" w:eastAsia="zh-CN"/>
        </w:rPr>
      </w:pPr>
      <w:r>
        <w:rPr>
          <w:rFonts w:hint="eastAsia" w:ascii="仿宋_GB2312" w:hAnsi="仿宋_GB2312" w:eastAsia="仿宋_GB2312" w:cs="仿宋_GB2312"/>
          <w:sz w:val="32"/>
          <w:szCs w:val="32"/>
          <w:u w:val="none"/>
          <w:lang w:val="en-US" w:eastAsia="zh-CN"/>
        </w:rPr>
        <w:t>广西新电力投资集团融水供电有限公司</w:t>
      </w:r>
    </w:p>
    <w:p>
      <w:pPr>
        <w:keepNext w:val="0"/>
        <w:keepLines w:val="0"/>
        <w:pageBreakBefore w:val="0"/>
        <w:widowControl/>
        <w:kinsoku/>
        <w:wordWrap w:val="0"/>
        <w:overflowPunct/>
        <w:topLinePunct w:val="0"/>
        <w:autoSpaceDE/>
        <w:autoSpaceDN/>
        <w:bidi w:val="0"/>
        <w:spacing w:line="560" w:lineRule="exact"/>
        <w:ind w:firstLine="640" w:firstLineChars="200"/>
        <w:jc w:val="right"/>
        <w:textAlignment w:val="auto"/>
        <w:rPr>
          <w:rFonts w:hint="default"/>
          <w:lang w:val="en-US" w:eastAsia="zh-CN"/>
        </w:rPr>
      </w:pPr>
      <w:r>
        <w:rPr>
          <w:rFonts w:hint="eastAsia" w:ascii="仿宋_GB2312" w:hAnsi="仿宋_GB2312" w:eastAsia="仿宋_GB2312" w:cs="仿宋_GB2312"/>
          <w:sz w:val="32"/>
          <w:szCs w:val="32"/>
          <w:u w:val="none"/>
          <w:lang w:val="en-US" w:eastAsia="zh-CN"/>
        </w:rPr>
        <w:t xml:space="preserve">2024年5月8日       </w:t>
      </w:r>
    </w:p>
    <w:p>
      <w:pPr>
        <w:rPr>
          <w:rFonts w:hint="eastAsia" w:ascii="仿宋_GB2312" w:hAnsi="仿宋_GB2312" w:eastAsia="仿宋_GB2312" w:cs="仿宋_GB2312"/>
          <w:sz w:val="32"/>
          <w:szCs w:val="32"/>
          <w:lang w:eastAsia="zh-CN"/>
        </w:rPr>
      </w:pPr>
    </w:p>
    <w:p>
      <w:pPr>
        <w:keepNext w:val="0"/>
        <w:keepLines w:val="0"/>
        <w:pageBreakBefore w:val="0"/>
        <w:widowControl w:val="0"/>
        <w:kinsoku/>
        <w:wordWrap/>
        <w:overflowPunct/>
        <w:topLinePunct w:val="0"/>
        <w:autoSpaceDE/>
        <w:autoSpaceDN/>
        <w:bidi w:val="0"/>
        <w:adjustRightInd/>
        <w:snapToGrid/>
        <w:spacing w:line="580" w:lineRule="exact"/>
        <w:ind w:left="0" w:leftChars="0" w:right="0" w:rightChars="0" w:firstLine="0" w:firstLineChars="0"/>
        <w:jc w:val="both"/>
        <w:textAlignment w:val="auto"/>
        <w:outlineLvl w:val="9"/>
        <w:rPr>
          <w:rFonts w:hint="eastAsia" w:ascii="仿宋_GB2312" w:hAnsi="仿宋_GB2312" w:eastAsia="仿宋_GB2312" w:cs="仿宋_GB2312"/>
          <w:sz w:val="32"/>
          <w:szCs w:val="32"/>
          <w:lang w:eastAsia="zh-CN"/>
        </w:rPr>
        <w:sectPr>
          <w:footerReference r:id="rId3" w:type="default"/>
          <w:pgSz w:w="11906" w:h="16838"/>
          <w:pgMar w:top="1417" w:right="1417" w:bottom="1417" w:left="1417" w:header="851" w:footer="992" w:gutter="0"/>
          <w:pgNumType w:fmt="decimal"/>
          <w:cols w:space="0" w:num="1"/>
          <w:rtlGutter w:val="0"/>
          <w:docGrid w:type="lines" w:linePitch="312" w:charSpace="0"/>
        </w:sectPr>
      </w:pPr>
    </w:p>
    <w:p>
      <w:pPr>
        <w:keepNext w:val="0"/>
        <w:keepLines w:val="0"/>
        <w:pageBreakBefore w:val="0"/>
        <w:widowControl w:val="0"/>
        <w:kinsoku/>
        <w:wordWrap/>
        <w:overflowPunct/>
        <w:topLinePunct w:val="0"/>
        <w:autoSpaceDE/>
        <w:autoSpaceDN/>
        <w:bidi w:val="0"/>
        <w:adjustRightInd/>
        <w:snapToGrid/>
        <w:spacing w:line="580" w:lineRule="exact"/>
        <w:ind w:left="0" w:leftChars="0" w:right="0" w:rightChars="0" w:firstLine="0" w:firstLineChars="0"/>
        <w:jc w:val="both"/>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eastAsia="zh-CN"/>
        </w:rPr>
        <w:t>附件</w:t>
      </w:r>
      <w:r>
        <w:rPr>
          <w:rFonts w:hint="eastAsia" w:ascii="仿宋_GB2312" w:hAnsi="仿宋_GB2312" w:eastAsia="仿宋_GB2312" w:cs="仿宋_GB2312"/>
          <w:sz w:val="32"/>
          <w:szCs w:val="32"/>
          <w:lang w:val="en-US" w:eastAsia="zh-CN"/>
        </w:rPr>
        <w:t>1</w:t>
      </w:r>
    </w:p>
    <w:p>
      <w:pPr>
        <w:keepNext w:val="0"/>
        <w:keepLines w:val="0"/>
        <w:pageBreakBefore w:val="0"/>
        <w:widowControl w:val="0"/>
        <w:kinsoku/>
        <w:wordWrap/>
        <w:overflowPunct/>
        <w:topLinePunct w:val="0"/>
        <w:autoSpaceDE/>
        <w:autoSpaceDN/>
        <w:bidi w:val="0"/>
        <w:adjustRightInd/>
        <w:snapToGrid/>
        <w:spacing w:line="580" w:lineRule="exact"/>
        <w:ind w:left="0" w:leftChars="0" w:right="0" w:rightChars="0" w:firstLine="0" w:firstLineChars="0"/>
        <w:jc w:val="center"/>
        <w:textAlignment w:val="auto"/>
        <w:outlineLvl w:val="9"/>
        <w:rPr>
          <w:rFonts w:hint="eastAsia" w:ascii="仿宋_GB2312" w:hAnsi="仿宋_GB2312" w:eastAsia="仿宋_GB2312" w:cs="仿宋_GB2312"/>
          <w:sz w:val="32"/>
          <w:szCs w:val="32"/>
        </w:rPr>
      </w:pPr>
      <w:r>
        <w:rPr>
          <w:rFonts w:hint="eastAsia" w:asciiTheme="minorEastAsia" w:hAnsiTheme="minorEastAsia" w:eastAsiaTheme="minorEastAsia" w:cstheme="minorEastAsia"/>
          <w:b/>
          <w:bCs/>
          <w:sz w:val="32"/>
          <w:szCs w:val="32"/>
          <w:lang w:val="en-US" w:eastAsia="zh-CN"/>
        </w:rPr>
        <w:t>项目清单</w:t>
      </w:r>
    </w:p>
    <w:tbl>
      <w:tblPr>
        <w:tblStyle w:val="5"/>
        <w:tblW w:w="8652"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
      <w:tblGrid>
        <w:gridCol w:w="828"/>
        <w:gridCol w:w="2468"/>
        <w:gridCol w:w="2166"/>
        <w:gridCol w:w="319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737" w:hRule="exact"/>
          <w:jc w:val="center"/>
        </w:trPr>
        <w:tc>
          <w:tcPr>
            <w:tcW w:w="82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sz w:val="24"/>
                <w:szCs w:val="24"/>
                <w:u w:val="none"/>
              </w:rPr>
            </w:pPr>
            <w:r>
              <w:rPr>
                <w:rFonts w:hint="eastAsia" w:asciiTheme="minorEastAsia" w:hAnsiTheme="minorEastAsia" w:eastAsiaTheme="minorEastAsia" w:cstheme="minorEastAsia"/>
                <w:b/>
                <w:i w:val="0"/>
                <w:color w:val="000000"/>
                <w:kern w:val="0"/>
                <w:sz w:val="24"/>
                <w:szCs w:val="24"/>
                <w:u w:val="none"/>
                <w:lang w:val="en-US" w:eastAsia="zh-CN" w:bidi="ar"/>
              </w:rPr>
              <w:t>序号</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sz w:val="24"/>
                <w:szCs w:val="24"/>
                <w:u w:val="none"/>
              </w:rPr>
            </w:pPr>
            <w:r>
              <w:rPr>
                <w:rFonts w:hint="eastAsia" w:asciiTheme="minorEastAsia" w:hAnsiTheme="minorEastAsia" w:cstheme="minorEastAsia"/>
                <w:b/>
                <w:i w:val="0"/>
                <w:color w:val="000000"/>
                <w:kern w:val="0"/>
                <w:sz w:val="24"/>
                <w:szCs w:val="24"/>
                <w:u w:val="none"/>
                <w:lang w:val="en-US" w:eastAsia="zh-CN" w:bidi="ar"/>
              </w:rPr>
              <w:t>项目</w:t>
            </w:r>
            <w:r>
              <w:rPr>
                <w:rFonts w:hint="eastAsia" w:asciiTheme="minorEastAsia" w:hAnsiTheme="minorEastAsia" w:eastAsiaTheme="minorEastAsia" w:cstheme="minorEastAsia"/>
                <w:b/>
                <w:i w:val="0"/>
                <w:color w:val="000000"/>
                <w:kern w:val="0"/>
                <w:sz w:val="24"/>
                <w:szCs w:val="24"/>
                <w:u w:val="none"/>
                <w:lang w:val="en-US" w:eastAsia="zh-CN" w:bidi="ar"/>
              </w:rPr>
              <w:t>名称</w:t>
            </w:r>
          </w:p>
        </w:tc>
        <w:tc>
          <w:tcPr>
            <w:tcW w:w="21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sz w:val="24"/>
                <w:szCs w:val="24"/>
              </w:rPr>
            </w:pPr>
            <w:r>
              <w:rPr>
                <w:rFonts w:hint="eastAsia" w:asciiTheme="minorEastAsia" w:hAnsiTheme="minorEastAsia" w:cstheme="minorEastAsia"/>
                <w:b/>
                <w:i w:val="0"/>
                <w:color w:val="000000"/>
                <w:kern w:val="0"/>
                <w:sz w:val="24"/>
                <w:szCs w:val="24"/>
                <w:u w:val="none"/>
                <w:lang w:val="en-US" w:eastAsia="zh-CN" w:bidi="ar"/>
              </w:rPr>
              <w:t>用地</w:t>
            </w:r>
            <w:r>
              <w:rPr>
                <w:rFonts w:hint="eastAsia" w:asciiTheme="minorEastAsia" w:hAnsiTheme="minorEastAsia" w:eastAsiaTheme="minorEastAsia" w:cstheme="minorEastAsia"/>
                <w:b/>
                <w:i w:val="0"/>
                <w:color w:val="000000"/>
                <w:kern w:val="0"/>
                <w:sz w:val="24"/>
                <w:szCs w:val="24"/>
                <w:u w:val="none"/>
                <w:lang w:val="en-US" w:eastAsia="zh-CN" w:bidi="ar"/>
              </w:rPr>
              <w:t>面积</w:t>
            </w:r>
            <w:r>
              <w:rPr>
                <w:rFonts w:hint="eastAsia" w:asciiTheme="minorEastAsia" w:hAnsiTheme="minorEastAsia" w:eastAsiaTheme="minorEastAsia" w:cstheme="minorEastAsia"/>
                <w:b/>
                <w:i w:val="0"/>
                <w:color w:val="000000"/>
                <w:kern w:val="0"/>
                <w:sz w:val="24"/>
                <w:szCs w:val="24"/>
                <w:u w:val="none"/>
                <w:lang w:val="en-US" w:eastAsia="zh-CN" w:bidi="ar"/>
              </w:rPr>
              <w:br w:type="textWrapping"/>
            </w:r>
            <w:r>
              <w:rPr>
                <w:rFonts w:hint="eastAsia" w:asciiTheme="minorEastAsia" w:hAnsiTheme="minorEastAsia" w:eastAsiaTheme="minorEastAsia" w:cstheme="minorEastAsia"/>
                <w:b/>
                <w:i w:val="0"/>
                <w:color w:val="000000"/>
                <w:kern w:val="0"/>
                <w:sz w:val="24"/>
                <w:szCs w:val="24"/>
                <w:u w:val="none"/>
                <w:lang w:val="en-US" w:eastAsia="zh-CN" w:bidi="ar"/>
              </w:rPr>
              <w:t>(平方米)</w:t>
            </w:r>
          </w:p>
        </w:tc>
        <w:tc>
          <w:tcPr>
            <w:tcW w:w="31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i w:val="0"/>
                <w:color w:val="000000"/>
                <w:kern w:val="0"/>
                <w:sz w:val="24"/>
                <w:szCs w:val="24"/>
                <w:u w:val="none"/>
                <w:lang w:val="en-US" w:eastAsia="zh-CN" w:bidi="ar"/>
              </w:rPr>
              <w:t>地址</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737" w:hRule="exact"/>
          <w:jc w:val="center"/>
        </w:trPr>
        <w:tc>
          <w:tcPr>
            <w:tcW w:w="828" w:type="dxa"/>
            <w:tcBorders>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24"/>
                <w:szCs w:val="24"/>
                <w:highlight w:val="none"/>
                <w:u w:val="none"/>
              </w:rPr>
            </w:pPr>
            <w:r>
              <w:rPr>
                <w:rFonts w:hint="eastAsia" w:asciiTheme="minorEastAsia" w:hAnsiTheme="minorEastAsia" w:cstheme="minorEastAsia"/>
                <w:i w:val="0"/>
                <w:color w:val="auto"/>
                <w:sz w:val="24"/>
                <w:szCs w:val="24"/>
                <w:highlight w:val="none"/>
                <w:u w:val="none"/>
                <w:lang w:val="en-US" w:eastAsia="zh-CN"/>
              </w:rPr>
              <w:t>1</w:t>
            </w:r>
          </w:p>
        </w:tc>
        <w:tc>
          <w:tcPr>
            <w:tcW w:w="2468" w:type="dxa"/>
            <w:tcBorders>
              <w:left w:val="single" w:color="000000" w:sz="4" w:space="0"/>
              <w:bottom w:val="single" w:color="000000" w:sz="4" w:space="0"/>
              <w:right w:val="single" w:color="000000" w:sz="4" w:space="0"/>
            </w:tcBorders>
            <w:shd w:val="clear" w:color="auto" w:fill="auto"/>
            <w:vAlign w:val="center"/>
          </w:tcPr>
          <w:p>
            <w:pPr>
              <w:spacing w:beforeLines="0" w:afterLines="0"/>
              <w:jc w:val="center"/>
              <w:rPr>
                <w:rFonts w:hint="eastAsia" w:asciiTheme="minorEastAsia" w:hAnsiTheme="minorEastAsia" w:eastAsiaTheme="minorEastAsia" w:cstheme="minorEastAsia"/>
                <w:i w:val="0"/>
                <w:color w:val="auto"/>
                <w:sz w:val="24"/>
                <w:szCs w:val="24"/>
                <w:highlight w:val="none"/>
                <w:u w:val="none"/>
              </w:rPr>
            </w:pPr>
            <w:r>
              <w:rPr>
                <w:rFonts w:hint="eastAsia" w:asciiTheme="minorEastAsia" w:hAnsiTheme="minorEastAsia" w:eastAsiaTheme="minorEastAsia" w:cstheme="minorEastAsia"/>
                <w:i w:val="0"/>
                <w:color w:val="auto"/>
                <w:sz w:val="24"/>
                <w:szCs w:val="24"/>
                <w:highlight w:val="none"/>
                <w:u w:val="none"/>
              </w:rPr>
              <w:t>融水公司保障性住房项目</w:t>
            </w:r>
          </w:p>
        </w:tc>
        <w:tc>
          <w:tcPr>
            <w:tcW w:w="2166" w:type="dxa"/>
            <w:tcBorders>
              <w:left w:val="single" w:color="000000" w:sz="4" w:space="0"/>
              <w:bottom w:val="single" w:color="000000" w:sz="4" w:space="0"/>
              <w:right w:val="single" w:color="000000" w:sz="4" w:space="0"/>
            </w:tcBorders>
            <w:shd w:val="clear" w:color="auto" w:fill="auto"/>
            <w:vAlign w:val="center"/>
          </w:tcPr>
          <w:p>
            <w:pPr>
              <w:spacing w:beforeLines="0" w:afterLines="0"/>
              <w:jc w:val="center"/>
              <w:rPr>
                <w:rFonts w:hint="default" w:asciiTheme="minorEastAsia" w:hAnsiTheme="minorEastAsia" w:eastAsiaTheme="minorEastAsia" w:cstheme="minorEastAsia"/>
                <w:sz w:val="24"/>
                <w:szCs w:val="24"/>
                <w:highlight w:val="none"/>
                <w:lang w:val="en-US" w:eastAsia="zh-CN"/>
              </w:rPr>
            </w:pPr>
            <w:r>
              <w:rPr>
                <w:rFonts w:hint="eastAsia" w:asciiTheme="minorEastAsia" w:hAnsiTheme="minorEastAsia" w:cstheme="minorEastAsia"/>
                <w:sz w:val="24"/>
                <w:szCs w:val="24"/>
                <w:highlight w:val="none"/>
                <w:lang w:val="en-US" w:eastAsia="zh-CN"/>
              </w:rPr>
              <w:t>3000</w:t>
            </w:r>
          </w:p>
        </w:tc>
        <w:tc>
          <w:tcPr>
            <w:tcW w:w="3190" w:type="dxa"/>
            <w:tcBorders>
              <w:left w:val="single" w:color="000000" w:sz="4" w:space="0"/>
              <w:bottom w:val="single" w:color="000000" w:sz="4" w:space="0"/>
              <w:right w:val="single" w:color="000000" w:sz="4" w:space="0"/>
            </w:tcBorders>
            <w:shd w:val="clear" w:color="auto" w:fill="auto"/>
            <w:vAlign w:val="center"/>
          </w:tcPr>
          <w:p>
            <w:pPr>
              <w:spacing w:beforeLines="0" w:afterLines="0"/>
              <w:jc w:val="center"/>
              <w:rPr>
                <w:rFonts w:hint="default" w:asciiTheme="minorEastAsia" w:hAnsiTheme="minorEastAsia" w:eastAsiaTheme="minorEastAsia" w:cstheme="minorEastAsia"/>
                <w:sz w:val="24"/>
                <w:szCs w:val="24"/>
                <w:highlight w:val="none"/>
                <w:lang w:val="en-US" w:eastAsia="zh-CN"/>
              </w:rPr>
            </w:pPr>
            <w:r>
              <w:rPr>
                <w:rFonts w:hint="eastAsia" w:asciiTheme="minorEastAsia" w:hAnsiTheme="minorEastAsia" w:cstheme="minorEastAsia"/>
                <w:sz w:val="24"/>
                <w:szCs w:val="24"/>
                <w:highlight w:val="none"/>
                <w:lang w:val="en-US" w:eastAsia="zh-CN"/>
              </w:rPr>
              <w:t>融水镇细鱼路53号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737" w:hRule="exact"/>
          <w:jc w:val="center"/>
        </w:trPr>
        <w:tc>
          <w:tcPr>
            <w:tcW w:w="329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spacing w:beforeLines="0" w:afterLines="0"/>
              <w:jc w:val="center"/>
              <w:rPr>
                <w:rFonts w:hint="eastAsia" w:asciiTheme="minorEastAsia" w:hAnsiTheme="minorEastAsia" w:eastAsiaTheme="minorEastAsia" w:cstheme="minorEastAsia"/>
                <w:color w:val="000000"/>
                <w:sz w:val="24"/>
                <w:szCs w:val="24"/>
                <w:lang w:val="en-US" w:eastAsia="zh-CN"/>
              </w:rPr>
            </w:pPr>
            <w:r>
              <w:rPr>
                <w:rFonts w:hint="eastAsia" w:asciiTheme="minorEastAsia" w:hAnsiTheme="minorEastAsia" w:cstheme="minorEastAsia"/>
                <w:color w:val="000000"/>
                <w:sz w:val="24"/>
                <w:szCs w:val="24"/>
                <w:lang w:val="en-US" w:eastAsia="zh-CN"/>
              </w:rPr>
              <w:t>合计</w:t>
            </w:r>
          </w:p>
        </w:tc>
        <w:tc>
          <w:tcPr>
            <w:tcW w:w="2166"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beforeLines="0" w:afterLines="0"/>
              <w:jc w:val="center"/>
              <w:rPr>
                <w:rFonts w:hint="default" w:asciiTheme="minorEastAsia" w:hAnsiTheme="minorEastAsia" w:eastAsiaTheme="minorEastAsia" w:cstheme="minorEastAsia"/>
                <w:color w:val="000000"/>
                <w:sz w:val="24"/>
                <w:szCs w:val="24"/>
                <w:lang w:val="en-US" w:eastAsia="zh-CN"/>
              </w:rPr>
            </w:pPr>
            <w:r>
              <w:rPr>
                <w:rFonts w:hint="eastAsia" w:asciiTheme="minorEastAsia" w:hAnsiTheme="minorEastAsia" w:cstheme="minorEastAsia"/>
                <w:color w:val="000000"/>
                <w:sz w:val="24"/>
                <w:szCs w:val="24"/>
                <w:lang w:val="en-US" w:eastAsia="zh-CN"/>
              </w:rPr>
              <w:t>3000</w:t>
            </w:r>
          </w:p>
        </w:tc>
        <w:tc>
          <w:tcPr>
            <w:tcW w:w="3190"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beforeLines="0" w:afterLines="0"/>
              <w:jc w:val="center"/>
              <w:rPr>
                <w:rFonts w:hint="eastAsia" w:asciiTheme="minorEastAsia" w:hAnsiTheme="minorEastAsia" w:eastAsiaTheme="minorEastAsia" w:cstheme="minorEastAsia"/>
                <w:color w:val="000000"/>
                <w:sz w:val="24"/>
                <w:szCs w:val="24"/>
                <w:lang w:val="en-US" w:eastAsia="zh-CN"/>
              </w:rPr>
            </w:pPr>
            <w:r>
              <w:rPr>
                <w:rFonts w:hint="eastAsia" w:asciiTheme="minorEastAsia" w:hAnsiTheme="minorEastAsia" w:cstheme="minorEastAsia"/>
                <w:color w:val="000000"/>
                <w:sz w:val="24"/>
                <w:szCs w:val="24"/>
                <w:lang w:val="en-US" w:eastAsia="zh-CN"/>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737" w:hRule="exact"/>
          <w:jc w:val="center"/>
        </w:trPr>
        <w:tc>
          <w:tcPr>
            <w:tcW w:w="8652"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spacing w:beforeLines="0" w:afterLines="0"/>
              <w:jc w:val="center"/>
              <w:rPr>
                <w:rFonts w:hint="eastAsia" w:asciiTheme="minorEastAsia" w:hAnsiTheme="minorEastAsia" w:cstheme="minorEastAsia"/>
                <w:color w:val="000000"/>
                <w:sz w:val="24"/>
                <w:szCs w:val="24"/>
                <w:lang w:val="en-US" w:eastAsia="zh-CN"/>
              </w:rPr>
            </w:pPr>
            <w:r>
              <w:rPr>
                <w:rFonts w:hint="eastAsia" w:asciiTheme="minorEastAsia" w:hAnsiTheme="minorEastAsia" w:cstheme="minorEastAsia"/>
                <w:color w:val="000000"/>
                <w:sz w:val="24"/>
                <w:szCs w:val="24"/>
                <w:lang w:val="en-US" w:eastAsia="zh-CN"/>
              </w:rPr>
              <w:t>备注：面积以实际测绘面积为准。</w:t>
            </w:r>
          </w:p>
        </w:tc>
      </w:tr>
    </w:tbl>
    <w:p>
      <w:pPr>
        <w:keepNext w:val="0"/>
        <w:keepLines w:val="0"/>
        <w:widowControl/>
        <w:suppressLineNumbers w:val="0"/>
        <w:jc w:val="left"/>
        <w:textAlignment w:val="center"/>
        <w:rPr>
          <w:rFonts w:hint="eastAsia" w:ascii="仿宋_GB2312" w:hAnsi="仿宋_GB2312" w:eastAsia="仿宋_GB2312" w:cs="仿宋_GB2312"/>
          <w:i w:val="0"/>
          <w:color w:val="000000"/>
          <w:kern w:val="0"/>
          <w:sz w:val="32"/>
          <w:szCs w:val="32"/>
          <w:u w:val="none"/>
          <w:lang w:val="en-US" w:eastAsia="zh-CN" w:bidi="ar"/>
        </w:rPr>
      </w:pPr>
    </w:p>
    <w:p>
      <w:pPr>
        <w:keepNext w:val="0"/>
        <w:keepLines w:val="0"/>
        <w:widowControl/>
        <w:suppressLineNumbers w:val="0"/>
        <w:jc w:val="left"/>
        <w:textAlignment w:val="center"/>
        <w:rPr>
          <w:rFonts w:hint="eastAsia" w:ascii="仿宋_GB2312" w:hAnsi="仿宋_GB2312" w:eastAsia="仿宋_GB2312" w:cs="仿宋_GB2312"/>
          <w:i w:val="0"/>
          <w:color w:val="000000"/>
          <w:kern w:val="0"/>
          <w:sz w:val="32"/>
          <w:szCs w:val="32"/>
          <w:u w:val="none"/>
          <w:lang w:val="en-US" w:eastAsia="zh-CN" w:bidi="ar"/>
        </w:rPr>
      </w:pPr>
    </w:p>
    <w:p>
      <w:pPr>
        <w:keepNext w:val="0"/>
        <w:keepLines w:val="0"/>
        <w:widowControl/>
        <w:suppressLineNumbers w:val="0"/>
        <w:jc w:val="left"/>
        <w:textAlignment w:val="center"/>
        <w:rPr>
          <w:rFonts w:hint="eastAsia" w:ascii="仿宋_GB2312" w:hAnsi="仿宋_GB2312" w:eastAsia="仿宋_GB2312" w:cs="仿宋_GB2312"/>
          <w:i w:val="0"/>
          <w:color w:val="000000"/>
          <w:kern w:val="0"/>
          <w:sz w:val="32"/>
          <w:szCs w:val="32"/>
          <w:u w:val="none"/>
          <w:lang w:val="en-US" w:eastAsia="zh-CN" w:bidi="ar"/>
        </w:rPr>
      </w:pPr>
    </w:p>
    <w:p>
      <w:pPr>
        <w:keepNext w:val="0"/>
        <w:keepLines w:val="0"/>
        <w:widowControl/>
        <w:suppressLineNumbers w:val="0"/>
        <w:jc w:val="left"/>
        <w:textAlignment w:val="center"/>
        <w:rPr>
          <w:rFonts w:hint="eastAsia" w:ascii="仿宋_GB2312" w:hAnsi="仿宋_GB2312" w:eastAsia="仿宋_GB2312" w:cs="仿宋_GB2312"/>
          <w:i w:val="0"/>
          <w:color w:val="000000"/>
          <w:kern w:val="0"/>
          <w:sz w:val="32"/>
          <w:szCs w:val="32"/>
          <w:u w:val="none"/>
          <w:lang w:val="en-US" w:eastAsia="zh-CN" w:bidi="ar"/>
        </w:rPr>
      </w:pPr>
    </w:p>
    <w:p>
      <w:pPr>
        <w:keepNext w:val="0"/>
        <w:keepLines w:val="0"/>
        <w:widowControl/>
        <w:suppressLineNumbers w:val="0"/>
        <w:jc w:val="left"/>
        <w:textAlignment w:val="center"/>
        <w:rPr>
          <w:rFonts w:hint="eastAsia" w:ascii="仿宋_GB2312" w:hAnsi="仿宋_GB2312" w:eastAsia="仿宋_GB2312" w:cs="仿宋_GB2312"/>
          <w:i w:val="0"/>
          <w:color w:val="000000"/>
          <w:kern w:val="0"/>
          <w:sz w:val="32"/>
          <w:szCs w:val="32"/>
          <w:u w:val="none"/>
          <w:lang w:val="en-US" w:eastAsia="zh-CN" w:bidi="ar"/>
        </w:rPr>
        <w:sectPr>
          <w:pgSz w:w="11906" w:h="16838"/>
          <w:pgMar w:top="1417" w:right="1417" w:bottom="1417" w:left="1417" w:header="851" w:footer="992" w:gutter="0"/>
          <w:cols w:space="0" w:num="1"/>
          <w:rtlGutter w:val="0"/>
          <w:docGrid w:type="lines" w:linePitch="312" w:charSpace="0"/>
        </w:sectPr>
      </w:pPr>
    </w:p>
    <w:p>
      <w:pPr>
        <w:keepNext w:val="0"/>
        <w:keepLines w:val="0"/>
        <w:widowControl/>
        <w:suppressLineNumbers w:val="0"/>
        <w:jc w:val="left"/>
        <w:textAlignment w:val="center"/>
        <w:rPr>
          <w:rFonts w:hint="eastAsia" w:ascii="仿宋_GB2312" w:hAnsi="仿宋_GB2312" w:eastAsia="仿宋_GB2312" w:cs="仿宋_GB2312"/>
          <w:i w:val="0"/>
          <w:color w:val="auto"/>
          <w:kern w:val="0"/>
          <w:sz w:val="32"/>
          <w:szCs w:val="32"/>
          <w:u w:val="none"/>
          <w:lang w:val="en-US" w:eastAsia="zh-CN" w:bidi="ar"/>
        </w:rPr>
      </w:pPr>
      <w:r>
        <w:rPr>
          <w:rFonts w:hint="eastAsia" w:ascii="仿宋_GB2312" w:hAnsi="仿宋_GB2312" w:eastAsia="仿宋_GB2312" w:cs="仿宋_GB2312"/>
          <w:i w:val="0"/>
          <w:color w:val="auto"/>
          <w:kern w:val="0"/>
          <w:sz w:val="32"/>
          <w:szCs w:val="32"/>
          <w:u w:val="none"/>
          <w:lang w:val="en-US" w:eastAsia="zh-CN" w:bidi="ar"/>
        </w:rPr>
        <w:t>附件2</w:t>
      </w:r>
    </w:p>
    <w:tbl>
      <w:tblPr>
        <w:tblStyle w:val="5"/>
        <w:tblW w:w="1374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080"/>
        <w:gridCol w:w="2160"/>
        <w:gridCol w:w="1695"/>
        <w:gridCol w:w="2865"/>
        <w:gridCol w:w="59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40" w:hRule="atLeast"/>
        </w:trPr>
        <w:tc>
          <w:tcPr>
            <w:tcW w:w="13740" w:type="dxa"/>
            <w:gridSpan w:val="5"/>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32"/>
                <w:szCs w:val="32"/>
                <w:u w:val="none"/>
              </w:rPr>
            </w:pPr>
            <w:r>
              <w:rPr>
                <w:rFonts w:hint="eastAsia" w:ascii="宋体" w:hAnsi="宋体" w:eastAsia="宋体" w:cs="宋体"/>
                <w:b/>
                <w:bCs/>
                <w:i w:val="0"/>
                <w:iCs w:val="0"/>
                <w:color w:val="auto"/>
                <w:kern w:val="0"/>
                <w:sz w:val="32"/>
                <w:szCs w:val="32"/>
                <w:u w:val="none"/>
                <w:lang w:val="en-US" w:eastAsia="zh-CN" w:bidi="ar"/>
              </w:rPr>
              <w:t>项目最高限价表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70" w:hRule="atLeast"/>
        </w:trPr>
        <w:tc>
          <w:tcPr>
            <w:tcW w:w="4935" w:type="dxa"/>
            <w:gridSpan w:val="3"/>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4"/>
                <w:szCs w:val="24"/>
                <w:u w:val="none"/>
              </w:rPr>
            </w:pPr>
            <w:r>
              <w:rPr>
                <w:rStyle w:val="10"/>
                <w:color w:val="auto"/>
                <w:lang w:val="en-US" w:eastAsia="zh-CN" w:bidi="ar"/>
              </w:rPr>
              <w:t>项目名称</w:t>
            </w:r>
            <w:r>
              <w:rPr>
                <w:rStyle w:val="11"/>
                <w:color w:val="auto"/>
                <w:lang w:val="en-US" w:eastAsia="zh-CN" w:bidi="ar"/>
              </w:rPr>
              <w:t>：</w:t>
            </w:r>
          </w:p>
        </w:tc>
        <w:tc>
          <w:tcPr>
            <w:tcW w:w="8805"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color w:val="auto"/>
                <w:sz w:val="24"/>
                <w:szCs w:val="24"/>
                <w:u w:val="none"/>
              </w:rPr>
              <w:t>融水公司保障性住房项目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3240"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color w:val="auto"/>
                <w:kern w:val="0"/>
                <w:sz w:val="24"/>
                <w:szCs w:val="24"/>
                <w:u w:val="none"/>
                <w:lang w:val="en-US" w:eastAsia="zh-CN" w:bidi="ar"/>
              </w:rPr>
              <w:t>测绘项目</w:t>
            </w:r>
          </w:p>
        </w:tc>
        <w:tc>
          <w:tcPr>
            <w:tcW w:w="1695"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ascii="新宋体" w:hAnsi="新宋体" w:eastAsia="新宋体" w:cs="新宋体"/>
                <w:b/>
                <w:bCs/>
                <w:i w:val="0"/>
                <w:iCs w:val="0"/>
                <w:color w:val="auto"/>
                <w:sz w:val="28"/>
                <w:szCs w:val="28"/>
                <w:u w:val="none"/>
              </w:rPr>
            </w:pPr>
            <w:r>
              <w:rPr>
                <w:rFonts w:hint="eastAsia" w:ascii="新宋体" w:hAnsi="新宋体" w:eastAsia="新宋体" w:cs="新宋体"/>
                <w:b/>
                <w:bCs/>
                <w:i w:val="0"/>
                <w:iCs w:val="0"/>
                <w:color w:val="auto"/>
                <w:kern w:val="0"/>
                <w:sz w:val="28"/>
                <w:szCs w:val="28"/>
                <w:u w:val="none"/>
                <w:lang w:val="en-US" w:eastAsia="zh-CN" w:bidi="ar"/>
              </w:rPr>
              <w:t>单位</w:t>
            </w:r>
          </w:p>
        </w:tc>
        <w:tc>
          <w:tcPr>
            <w:tcW w:w="2865"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color w:val="auto"/>
                <w:kern w:val="0"/>
                <w:sz w:val="24"/>
                <w:szCs w:val="24"/>
                <w:u w:val="none"/>
                <w:lang w:val="en-US" w:eastAsia="zh-CN" w:bidi="ar"/>
              </w:rPr>
              <w:t>工程数量</w:t>
            </w:r>
          </w:p>
        </w:tc>
        <w:tc>
          <w:tcPr>
            <w:tcW w:w="5940"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color w:val="auto"/>
                <w:kern w:val="0"/>
                <w:sz w:val="24"/>
                <w:szCs w:val="24"/>
                <w:u w:val="none"/>
                <w:lang w:val="en-US" w:eastAsia="zh-CN" w:bidi="ar"/>
              </w:rPr>
              <w:t>最高限价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85" w:hRule="atLeast"/>
        </w:trPr>
        <w:tc>
          <w:tcPr>
            <w:tcW w:w="3240" w:type="dxa"/>
            <w:gridSpan w:val="2"/>
            <w:tcBorders>
              <w:top w:val="single" w:color="000000" w:sz="4" w:space="0"/>
              <w:left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color w:val="auto"/>
                <w:sz w:val="24"/>
                <w:szCs w:val="24"/>
                <w:u w:val="none"/>
                <w:lang w:val="en-US" w:eastAsia="zh-CN"/>
              </w:rPr>
              <w:t>地形测绘及数据编辑</w:t>
            </w:r>
          </w:p>
        </w:tc>
        <w:tc>
          <w:tcPr>
            <w:tcW w:w="1695" w:type="dxa"/>
            <w:tcBorders>
              <w:top w:val="single" w:color="000000" w:sz="4" w:space="0"/>
              <w:left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幅</w:t>
            </w:r>
          </w:p>
        </w:tc>
        <w:tc>
          <w:tcPr>
            <w:tcW w:w="2865"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结算数量以实际测绘数量（幅）确定</w:t>
            </w:r>
          </w:p>
        </w:tc>
        <w:tc>
          <w:tcPr>
            <w:tcW w:w="5940" w:type="dxa"/>
            <w:tcBorders>
              <w:top w:val="single" w:color="000000" w:sz="4" w:space="0"/>
              <w:left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i w:val="0"/>
                <w:iCs w:val="0"/>
                <w:color w:val="auto"/>
                <w:sz w:val="24"/>
                <w:szCs w:val="24"/>
                <w:u w:val="none"/>
                <w:lang w:val="en-US"/>
              </w:rPr>
            </w:pPr>
            <w:r>
              <w:rPr>
                <w:rFonts w:hint="eastAsia" w:ascii="宋体" w:hAnsi="宋体" w:eastAsia="宋体" w:cs="宋体"/>
                <w:i w:val="0"/>
                <w:iCs w:val="0"/>
                <w:color w:val="auto"/>
                <w:kern w:val="0"/>
                <w:sz w:val="24"/>
                <w:szCs w:val="24"/>
                <w:u w:val="none"/>
                <w:lang w:val="en-US" w:eastAsia="zh-CN" w:bidi="ar"/>
              </w:rPr>
              <w:t>11400元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60" w:hRule="atLeast"/>
        </w:trPr>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备注</w:t>
            </w:r>
          </w:p>
        </w:tc>
        <w:tc>
          <w:tcPr>
            <w:tcW w:w="12660" w:type="dxa"/>
            <w:gridSpan w:val="4"/>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按财政部、国家测绘局颁布的《测绘生产成本费用定额》《财建【2009】17号》文，计费结合测量实际情况对应内容计算。本项目经验收合格后据实结算，结算金额=项目计费单价×实际数量×（1-下浮率%），最终结算费用不超过最高限价11400元。</w:t>
            </w:r>
          </w:p>
        </w:tc>
      </w:tr>
    </w:tbl>
    <w:p>
      <w:pPr>
        <w:keepNext w:val="0"/>
        <w:keepLines w:val="0"/>
        <w:widowControl/>
        <w:suppressLineNumbers w:val="0"/>
        <w:jc w:val="center"/>
        <w:textAlignment w:val="center"/>
        <w:rPr>
          <w:rFonts w:hint="eastAsia" w:asciiTheme="minorEastAsia" w:hAnsiTheme="minorEastAsia" w:eastAsiaTheme="minorEastAsia" w:cstheme="minorEastAsia"/>
          <w:b/>
          <w:bCs/>
          <w:sz w:val="32"/>
          <w:szCs w:val="32"/>
          <w:lang w:val="en-US" w:eastAsia="zh-CN"/>
        </w:rPr>
      </w:pPr>
    </w:p>
    <w:sectPr>
      <w:pgSz w:w="16838" w:h="11906" w:orient="landscape"/>
      <w:pgMar w:top="1417" w:right="1417" w:bottom="1417" w:left="1417" w:header="851" w:footer="992" w:gutter="0"/>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FC"/>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_GBK">
    <w:panose1 w:val="03000509000000000000"/>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新宋体">
    <w:panose1 w:val="02010609030101010101"/>
    <w:charset w:val="86"/>
    <w:family w:val="modern"/>
    <w:pitch w:val="default"/>
    <w:sig w:usb0="00000003" w:usb1="288F0000" w:usb2="00000006" w:usb3="00000000" w:csb0="00040001" w:csb1="0000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
                            <w:rPr>
                              <w:sz w:val="24"/>
                              <w:szCs w:val="24"/>
                            </w:rPr>
                          </w:pPr>
                          <w:r>
                            <w:rPr>
                              <w:sz w:val="24"/>
                              <w:szCs w:val="24"/>
                            </w:rPr>
                            <w:t xml:space="preserve">— </w:t>
                          </w:r>
                          <w:r>
                            <w:rPr>
                              <w:sz w:val="24"/>
                              <w:szCs w:val="24"/>
                            </w:rPr>
                            <w:fldChar w:fldCharType="begin"/>
                          </w:r>
                          <w:r>
                            <w:rPr>
                              <w:sz w:val="24"/>
                              <w:szCs w:val="24"/>
                            </w:rPr>
                            <w:instrText xml:space="preserve"> PAGE  \* MERGEFORMAT </w:instrText>
                          </w:r>
                          <w:r>
                            <w:rPr>
                              <w:sz w:val="24"/>
                              <w:szCs w:val="24"/>
                            </w:rPr>
                            <w:fldChar w:fldCharType="separate"/>
                          </w:r>
                          <w:r>
                            <w:rPr>
                              <w:sz w:val="24"/>
                              <w:szCs w:val="24"/>
                            </w:rPr>
                            <w:t>1</w:t>
                          </w:r>
                          <w:r>
                            <w:rPr>
                              <w:sz w:val="24"/>
                              <w:szCs w:val="24"/>
                            </w:rPr>
                            <w:fldChar w:fldCharType="end"/>
                          </w:r>
                          <w:r>
                            <w:rPr>
                              <w:sz w:val="24"/>
                              <w:szCs w:val="24"/>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3"/>
                      <w:rPr>
                        <w:sz w:val="24"/>
                        <w:szCs w:val="24"/>
                      </w:rPr>
                    </w:pPr>
                    <w:r>
                      <w:rPr>
                        <w:sz w:val="24"/>
                        <w:szCs w:val="24"/>
                      </w:rPr>
                      <w:t xml:space="preserve">— </w:t>
                    </w:r>
                    <w:r>
                      <w:rPr>
                        <w:sz w:val="24"/>
                        <w:szCs w:val="24"/>
                      </w:rPr>
                      <w:fldChar w:fldCharType="begin"/>
                    </w:r>
                    <w:r>
                      <w:rPr>
                        <w:sz w:val="24"/>
                        <w:szCs w:val="24"/>
                      </w:rPr>
                      <w:instrText xml:space="preserve"> PAGE  \* MERGEFORMAT </w:instrText>
                    </w:r>
                    <w:r>
                      <w:rPr>
                        <w:sz w:val="24"/>
                        <w:szCs w:val="24"/>
                      </w:rPr>
                      <w:fldChar w:fldCharType="separate"/>
                    </w:r>
                    <w:r>
                      <w:rPr>
                        <w:sz w:val="24"/>
                        <w:szCs w:val="24"/>
                      </w:rPr>
                      <w:t>1</w:t>
                    </w:r>
                    <w:r>
                      <w:rPr>
                        <w:sz w:val="24"/>
                        <w:szCs w:val="24"/>
                      </w:rPr>
                      <w:fldChar w:fldCharType="end"/>
                    </w:r>
                    <w:r>
                      <w:rPr>
                        <w:sz w:val="24"/>
                        <w:szCs w:val="24"/>
                      </w:rPr>
                      <w:t xml:space="preserve"> —</w:t>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CAF20EC"/>
    <w:multiLevelType w:val="singleLevel"/>
    <w:tmpl w:val="5CAF20EC"/>
    <w:lvl w:ilvl="0" w:tentative="0">
      <w:start w:val="1"/>
      <w:numFmt w:val="chineseCounting"/>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975605"/>
    <w:rsid w:val="01F000C2"/>
    <w:rsid w:val="04E83F46"/>
    <w:rsid w:val="06581593"/>
    <w:rsid w:val="0662222F"/>
    <w:rsid w:val="0A384CB8"/>
    <w:rsid w:val="0AB82336"/>
    <w:rsid w:val="0FB171C2"/>
    <w:rsid w:val="11CE228F"/>
    <w:rsid w:val="11CF6ED7"/>
    <w:rsid w:val="12BA0AA4"/>
    <w:rsid w:val="130948BA"/>
    <w:rsid w:val="13F2560A"/>
    <w:rsid w:val="15B56688"/>
    <w:rsid w:val="15BA3E8A"/>
    <w:rsid w:val="175879D2"/>
    <w:rsid w:val="19CC2E41"/>
    <w:rsid w:val="19D10498"/>
    <w:rsid w:val="1C9A6792"/>
    <w:rsid w:val="1DD94CE5"/>
    <w:rsid w:val="1E00190F"/>
    <w:rsid w:val="225536FF"/>
    <w:rsid w:val="22E1627D"/>
    <w:rsid w:val="23A70CF1"/>
    <w:rsid w:val="23AE267F"/>
    <w:rsid w:val="25B46002"/>
    <w:rsid w:val="27D949B4"/>
    <w:rsid w:val="293E359A"/>
    <w:rsid w:val="2B3A578B"/>
    <w:rsid w:val="2D540410"/>
    <w:rsid w:val="2EE517C3"/>
    <w:rsid w:val="2FC15B49"/>
    <w:rsid w:val="32855FEF"/>
    <w:rsid w:val="3617436C"/>
    <w:rsid w:val="373A6AA7"/>
    <w:rsid w:val="39481744"/>
    <w:rsid w:val="3BE23CDB"/>
    <w:rsid w:val="400B0281"/>
    <w:rsid w:val="400C3A16"/>
    <w:rsid w:val="40402F89"/>
    <w:rsid w:val="40947E84"/>
    <w:rsid w:val="43434035"/>
    <w:rsid w:val="44D17C07"/>
    <w:rsid w:val="45531374"/>
    <w:rsid w:val="46317111"/>
    <w:rsid w:val="46B762E4"/>
    <w:rsid w:val="471D6B6F"/>
    <w:rsid w:val="47F636DE"/>
    <w:rsid w:val="495A215D"/>
    <w:rsid w:val="49B92007"/>
    <w:rsid w:val="4B765137"/>
    <w:rsid w:val="4BE44573"/>
    <w:rsid w:val="4C160A98"/>
    <w:rsid w:val="4FF65F63"/>
    <w:rsid w:val="507C7C3B"/>
    <w:rsid w:val="51DB3858"/>
    <w:rsid w:val="523F747B"/>
    <w:rsid w:val="533F5735"/>
    <w:rsid w:val="53E353C9"/>
    <w:rsid w:val="558B766D"/>
    <w:rsid w:val="55BF52D8"/>
    <w:rsid w:val="571141E6"/>
    <w:rsid w:val="574008F6"/>
    <w:rsid w:val="574D0C87"/>
    <w:rsid w:val="57A3090B"/>
    <w:rsid w:val="585E076F"/>
    <w:rsid w:val="59AA1D84"/>
    <w:rsid w:val="5A900A3F"/>
    <w:rsid w:val="5B632BF1"/>
    <w:rsid w:val="5BBC79FA"/>
    <w:rsid w:val="5FAB1742"/>
    <w:rsid w:val="62827D35"/>
    <w:rsid w:val="630613B2"/>
    <w:rsid w:val="64F1211D"/>
    <w:rsid w:val="65807724"/>
    <w:rsid w:val="66657416"/>
    <w:rsid w:val="67B63CB1"/>
    <w:rsid w:val="68572FB1"/>
    <w:rsid w:val="6B112A65"/>
    <w:rsid w:val="6BBB4773"/>
    <w:rsid w:val="6BD562DD"/>
    <w:rsid w:val="6DE71838"/>
    <w:rsid w:val="6E683DE6"/>
    <w:rsid w:val="6EA31B50"/>
    <w:rsid w:val="71897F94"/>
    <w:rsid w:val="72AE77BD"/>
    <w:rsid w:val="72B526A3"/>
    <w:rsid w:val="7376296B"/>
    <w:rsid w:val="75830E69"/>
    <w:rsid w:val="75C76AE3"/>
    <w:rsid w:val="75D07938"/>
    <w:rsid w:val="767E3533"/>
    <w:rsid w:val="76C769A3"/>
    <w:rsid w:val="776303B9"/>
    <w:rsid w:val="7C942BE9"/>
    <w:rsid w:val="7D41771A"/>
    <w:rsid w:val="7D70584A"/>
    <w:rsid w:val="7E1517C7"/>
    <w:rsid w:val="7EF75E5C"/>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7">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customStyle="1" w:styleId="2">
    <w:name w:val="目录 21"/>
    <w:basedOn w:val="1"/>
    <w:next w:val="1"/>
    <w:qFormat/>
    <w:uiPriority w:val="0"/>
    <w:pPr>
      <w:spacing w:before="100" w:beforeAutospacing="1" w:after="100" w:afterAutospacing="1"/>
      <w:ind w:left="420" w:leftChars="200"/>
    </w:pPr>
  </w:style>
  <w:style w:type="paragraph" w:styleId="3">
    <w:name w:val="footer"/>
    <w:basedOn w:val="1"/>
    <w:qFormat/>
    <w:uiPriority w:val="0"/>
    <w:pPr>
      <w:tabs>
        <w:tab w:val="center" w:pos="4153"/>
        <w:tab w:val="right" w:pos="8306"/>
      </w:tabs>
      <w:snapToGrid w:val="0"/>
      <w:jc w:val="left"/>
    </w:pPr>
    <w:rPr>
      <w:sz w:val="18"/>
    </w:rPr>
  </w:style>
  <w:style w:type="paragraph" w:styleId="4">
    <w:name w:val="Normal (Web)"/>
    <w:basedOn w:val="1"/>
    <w:qFormat/>
    <w:uiPriority w:val="0"/>
    <w:pPr>
      <w:spacing w:before="0" w:beforeAutospacing="1" w:after="0" w:afterAutospacing="1"/>
      <w:ind w:left="0" w:right="0"/>
      <w:jc w:val="left"/>
    </w:pPr>
    <w:rPr>
      <w:kern w:val="0"/>
      <w:sz w:val="24"/>
      <w:lang w:val="en-US" w:eastAsia="zh-CN" w:bidi="ar"/>
    </w:rPr>
  </w:style>
  <w:style w:type="table" w:styleId="6">
    <w:name w:val="Table Grid"/>
    <w:basedOn w:val="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8">
    <w:name w:val="_Style 1"/>
    <w:basedOn w:val="1"/>
    <w:qFormat/>
    <w:uiPriority w:val="34"/>
    <w:pPr>
      <w:ind w:firstLine="420" w:firstLineChars="200"/>
    </w:pPr>
  </w:style>
  <w:style w:type="character" w:customStyle="1" w:styleId="9">
    <w:name w:val="font01"/>
    <w:basedOn w:val="7"/>
    <w:qFormat/>
    <w:uiPriority w:val="0"/>
    <w:rPr>
      <w:rFonts w:hint="eastAsia" w:ascii="宋体" w:hAnsi="宋体" w:eastAsia="宋体" w:cs="宋体"/>
      <w:color w:val="000000"/>
      <w:sz w:val="20"/>
      <w:szCs w:val="20"/>
      <w:u w:val="none"/>
    </w:rPr>
  </w:style>
  <w:style w:type="character" w:customStyle="1" w:styleId="10">
    <w:name w:val="font31"/>
    <w:basedOn w:val="7"/>
    <w:qFormat/>
    <w:uiPriority w:val="0"/>
    <w:rPr>
      <w:rFonts w:hint="eastAsia" w:ascii="宋体" w:hAnsi="宋体" w:eastAsia="宋体" w:cs="宋体"/>
      <w:b/>
      <w:bCs/>
      <w:color w:val="000000"/>
      <w:sz w:val="24"/>
      <w:szCs w:val="24"/>
      <w:u w:val="none"/>
    </w:rPr>
  </w:style>
  <w:style w:type="character" w:customStyle="1" w:styleId="11">
    <w:name w:val="font41"/>
    <w:basedOn w:val="7"/>
    <w:qFormat/>
    <w:uiPriority w:val="0"/>
    <w:rPr>
      <w:rFonts w:hint="eastAsia" w:ascii="宋体" w:hAnsi="宋体" w:eastAsia="宋体" w:cs="宋体"/>
      <w:b/>
      <w:bCs/>
      <w:color w:val="000000"/>
      <w:sz w:val="24"/>
      <w:szCs w:val="24"/>
      <w:u w:val="non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4</TotalTime>
  <ScaleCrop>false</ScaleCrop>
  <LinksUpToDate>false</LinksUpToDate>
  <CharactersWithSpaces>0</CharactersWithSpaces>
  <Application>WPS Office_11.8.2.11739_F1E327BC-269C-435d-A152-05C5408002CA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2018-08-21T07:41:00Z</dcterms:created>
  <dc:creator>刘振成</dc:creator>
  <cp:lastModifiedBy>熊波</cp:lastModifiedBy>
  <dcterms:modified xsi:type="dcterms:W3CDTF">2024-05-16T08:33:32Z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2052-11.8.2.11739</vt:lpwstr>
  </property>
  <property fmtid="{D5CDD505-2E9C-101B-9397-08002B2CF9AE}" pid="3" name="ICV">
    <vt:lpwstr>D31DB7EDE08B4B168BAF47F1244DE85C</vt:lpwstr>
  </property>
</Properties>
</file>