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2527"/>
        <w:jc w:val="left"/>
        <w:rPr>
          <w:rFonts w:ascii="宋体"/>
          <w:b/>
          <w:bCs/>
          <w:color w:val="auto"/>
          <w:sz w:val="36"/>
        </w:rPr>
      </w:pPr>
      <w:r>
        <w:rPr>
          <w:rFonts w:hint="eastAsia" w:ascii="宋体"/>
          <w:b/>
          <w:bCs/>
          <w:color w:val="auto"/>
          <w:sz w:val="36"/>
        </w:rPr>
        <w:t>安 全 协 议</w:t>
      </w:r>
    </w:p>
    <w:p>
      <w:pPr>
        <w:pStyle w:val="2"/>
        <w:spacing w:line="360" w:lineRule="auto"/>
        <w:ind w:firstLine="482"/>
        <w:jc w:val="left"/>
        <w:rPr>
          <w:rFonts w:ascii="仿宋_GB2312" w:eastAsia="仿宋_GB2312"/>
          <w:b/>
          <w:bCs/>
          <w:color w:val="auto"/>
          <w:sz w:val="24"/>
          <w:lang w:val="en-US" w:eastAsia="zh-CN"/>
        </w:rPr>
      </w:pP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第一条</w:t>
      </w:r>
      <w:r>
        <w:rPr>
          <w:rFonts w:hint="eastAsia" w:ascii="仿宋_GB2312" w:hAnsi="宋体" w:eastAsia="仿宋_GB2312"/>
          <w:color w:val="auto"/>
          <w:sz w:val="28"/>
          <w:szCs w:val="28"/>
        </w:rPr>
        <w:t xml:space="preserve"> 为贯彻“安全第一</w:t>
      </w:r>
      <w:r>
        <w:rPr>
          <w:rFonts w:hint="eastAsia" w:ascii="仿宋_GB2312" w:hAnsi="宋体" w:eastAsia="仿宋_GB2312"/>
          <w:color w:val="auto"/>
          <w:sz w:val="28"/>
          <w:szCs w:val="28"/>
          <w:lang w:val="en-US" w:eastAsia="zh-CN"/>
        </w:rPr>
        <w:t xml:space="preserve"> </w:t>
      </w:r>
      <w:r>
        <w:rPr>
          <w:rFonts w:hint="eastAsia" w:ascii="仿宋_GB2312" w:hAnsi="宋体" w:eastAsia="仿宋_GB2312"/>
          <w:color w:val="auto"/>
          <w:sz w:val="28"/>
          <w:szCs w:val="28"/>
        </w:rPr>
        <w:t>预防为主</w:t>
      </w:r>
      <w:r>
        <w:rPr>
          <w:rFonts w:hint="eastAsia" w:ascii="仿宋_GB2312" w:hAnsi="宋体" w:eastAsia="仿宋_GB2312"/>
          <w:color w:val="auto"/>
          <w:sz w:val="28"/>
          <w:szCs w:val="28"/>
          <w:lang w:val="en-US" w:eastAsia="zh-CN"/>
        </w:rPr>
        <w:t xml:space="preserve"> 综合治理</w:t>
      </w:r>
      <w:r>
        <w:rPr>
          <w:rFonts w:hint="eastAsia" w:ascii="仿宋_GB2312" w:hAnsi="宋体" w:eastAsia="仿宋_GB2312"/>
          <w:color w:val="auto"/>
          <w:sz w:val="28"/>
          <w:szCs w:val="28"/>
        </w:rPr>
        <w:t>”</w:t>
      </w:r>
      <w:r>
        <w:rPr>
          <w:rFonts w:hint="eastAsia" w:ascii="仿宋_GB2312" w:hAnsi="宋体" w:eastAsia="仿宋_GB2312"/>
          <w:color w:val="auto"/>
          <w:sz w:val="28"/>
          <w:szCs w:val="28"/>
          <w:lang w:val="en-US" w:eastAsia="zh-CN"/>
        </w:rPr>
        <w:t>安全生产</w:t>
      </w:r>
      <w:r>
        <w:rPr>
          <w:rFonts w:hint="eastAsia" w:ascii="仿宋_GB2312" w:hAnsi="宋体" w:eastAsia="仿宋_GB2312"/>
          <w:color w:val="auto"/>
          <w:sz w:val="28"/>
          <w:szCs w:val="28"/>
        </w:rPr>
        <w:t>方针，明确双方的安全责任，确保</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中人身、设备安全，做到“</w:t>
      </w:r>
      <w:r>
        <w:rPr>
          <w:rFonts w:hint="eastAsia" w:ascii="仿宋_GB2312" w:hAnsi="宋体" w:eastAsia="仿宋_GB2312"/>
          <w:color w:val="auto"/>
          <w:sz w:val="28"/>
          <w:szCs w:val="28"/>
          <w:lang w:val="en-US" w:eastAsia="zh-CN"/>
        </w:rPr>
        <w:t>四</w:t>
      </w:r>
      <w:r>
        <w:rPr>
          <w:rFonts w:hint="eastAsia" w:ascii="仿宋_GB2312" w:hAnsi="宋体" w:eastAsia="仿宋_GB2312"/>
          <w:color w:val="auto"/>
          <w:sz w:val="28"/>
          <w:szCs w:val="28"/>
        </w:rPr>
        <w:t>不伤害”(不伤害自己</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不伤害他人</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不被他人伤害</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保护他人不受伤害)。根据中华人民共和国</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lang w:val="en-US" w:eastAsia="zh-CN"/>
        </w:rPr>
        <w:t>民法典</w:t>
      </w:r>
      <w:r>
        <w:rPr>
          <w:rFonts w:hint="eastAsia" w:ascii="仿宋_GB2312" w:hAnsi="宋体" w:eastAsia="仿宋_GB2312"/>
          <w:color w:val="auto"/>
          <w:sz w:val="28"/>
          <w:szCs w:val="28"/>
        </w:rPr>
        <w:t>》《安全生产法</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建筑法</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电力法</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消防法</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《建设工程安全生产管理条例</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电业安全工作规程</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以及中国南方电网有限责任公司</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lang w:val="en-US" w:eastAsia="zh-CN"/>
        </w:rPr>
        <w:t>电力安全工作规程</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安全管理规定</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安全监督工作规定</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电力事故（事件）调查规程（试行）》，经双方协商一致，在平等、自愿的原则上签订本协议。</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第二条</w:t>
      </w:r>
      <w:r>
        <w:rPr>
          <w:rFonts w:hint="eastAsia" w:ascii="仿宋_GB2312" w:hAnsi="宋体" w:eastAsia="仿宋_GB2312"/>
          <w:color w:val="auto"/>
          <w:sz w:val="28"/>
          <w:szCs w:val="28"/>
        </w:rPr>
        <w:t xml:space="preserve"> </w:t>
      </w:r>
      <w:r>
        <w:rPr>
          <w:rFonts w:hint="eastAsia" w:ascii="仿宋_GB2312" w:hAnsi="宋体" w:eastAsia="仿宋_GB2312"/>
          <w:color w:val="auto"/>
          <w:sz w:val="28"/>
          <w:szCs w:val="28"/>
          <w:lang w:val="en-US" w:eastAsia="zh-CN"/>
        </w:rPr>
        <w:t>开工</w:t>
      </w:r>
      <w:r>
        <w:rPr>
          <w:rFonts w:hint="eastAsia" w:ascii="仿宋_GB2312" w:hAnsi="宋体" w:eastAsia="仿宋_GB2312"/>
          <w:color w:val="auto"/>
          <w:sz w:val="28"/>
          <w:szCs w:val="28"/>
        </w:rPr>
        <w:t>前，甲方必须向乙方交待清楚</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范围、边界，如运行设备和检修设备。</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三</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乙方在</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中必须贯彻执行国家和行业有关安全生产的法律法规，技术标准、规程规范和制度。</w:t>
      </w:r>
    </w:p>
    <w:p>
      <w:pPr>
        <w:suppressAutoHyphens/>
        <w:adjustRightInd w:val="0"/>
        <w:snapToGrid w:val="0"/>
        <w:spacing w:line="360" w:lineRule="auto"/>
        <w:ind w:firstLine="560" w:firstLineChars="200"/>
        <w:rPr>
          <w:rFonts w:ascii="仿宋_GB2312" w:hAnsi="宋体" w:eastAsia="仿宋_GB2312"/>
          <w:color w:val="auto"/>
          <w:sz w:val="28"/>
          <w:szCs w:val="28"/>
        </w:rPr>
      </w:pPr>
      <w:r>
        <w:rPr>
          <w:rFonts w:hint="eastAsia" w:ascii="仿宋_GB2312" w:hAnsi="宋体" w:eastAsia="仿宋_GB2312"/>
          <w:color w:val="auto"/>
          <w:sz w:val="28"/>
          <w:szCs w:val="28"/>
        </w:rPr>
        <w:t>1</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乙方在</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全过程中要对存在可能导致事故事件发生的设备等物的不安全状态、人的不安全行为和管理上的缺陷开展事故隐患排查工作，有效防止因隐患引发的各类事故和电力安全事件。重大安全隐患在治理前要采取有效的控制措施。</w:t>
      </w:r>
    </w:p>
    <w:p>
      <w:pPr>
        <w:suppressAutoHyphens/>
        <w:adjustRightInd w:val="0"/>
        <w:snapToGrid w:val="0"/>
        <w:spacing w:line="360" w:lineRule="auto"/>
        <w:ind w:firstLine="560" w:firstLineChars="200"/>
        <w:rPr>
          <w:rFonts w:ascii="仿宋_GB2312" w:hAnsi="宋体" w:eastAsia="仿宋_GB2312"/>
          <w:color w:val="auto"/>
          <w:sz w:val="28"/>
          <w:szCs w:val="28"/>
        </w:rPr>
      </w:pPr>
      <w:r>
        <w:rPr>
          <w:rFonts w:hint="eastAsia" w:ascii="仿宋_GB2312" w:hAnsi="宋体" w:eastAsia="仿宋_GB2312"/>
          <w:color w:val="auto"/>
          <w:sz w:val="28"/>
          <w:szCs w:val="28"/>
        </w:rPr>
        <w:t>2</w:t>
      </w:r>
      <w:r>
        <w:rPr>
          <w:rFonts w:hint="eastAsia" w:ascii="仿宋_GB2312" w:hAnsi="宋体" w:eastAsia="仿宋_GB2312"/>
          <w:color w:val="auto"/>
          <w:sz w:val="28"/>
          <w:szCs w:val="28"/>
          <w:lang w:val="en-US" w:eastAsia="zh-CN"/>
        </w:rPr>
        <w:t>.</w:t>
      </w:r>
      <w:r>
        <w:rPr>
          <w:rFonts w:hint="eastAsia" w:ascii="仿宋_GB2312" w:hAnsi="宋体" w:eastAsia="仿宋_GB2312"/>
          <w:color w:val="auto"/>
          <w:sz w:val="28"/>
          <w:szCs w:val="28"/>
        </w:rPr>
        <w:t>甲方对</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全过程中承担监督管理的职责，在对乙方</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资质、人员持证等开展排查，并监督乙方对隐患进行及时有效治理。</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四</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当甲方发现乙方在</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中有不符合安全文明</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的行为和现象时，有权进行制止、纠正。</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五</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乙方应自备满足安全</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所需的安全防护用具和设施。</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六</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特种作业人员必须持有国家相关部门核发的合格有效的上岗作业资格证书。</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七</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前，乙方应组织人员对</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区域、作业环境及甲方提供的设施设备、工器具等进行检查，确认符合安全要求。一经开工，就表示乙方已确认</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现场、作业环境、设施设备、工器具符合安全要求并处于安全状态。</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八</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乙方人员严禁酒后进入生产区域或</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现场，甲方一经发现，立即责令其退出现场。</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九</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乙方人员严禁在生产区域内吸烟或其他违规、违法事件。</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第十条</w:t>
      </w:r>
      <w:r>
        <w:rPr>
          <w:rFonts w:hint="eastAsia" w:ascii="仿宋_GB2312" w:hAnsi="宋体" w:eastAsia="仿宋_GB2312"/>
          <w:color w:val="auto"/>
          <w:sz w:val="28"/>
          <w:szCs w:val="28"/>
        </w:rPr>
        <w:t xml:space="preserve"> 禁止乙方人员带领与</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无关人员进入生产区域，甲方一经发现，立即责令退出现场。</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第十</w:t>
      </w:r>
      <w:r>
        <w:rPr>
          <w:rFonts w:hint="eastAsia" w:ascii="仿宋_GB2312" w:hAnsi="宋体" w:eastAsia="仿宋_GB2312"/>
          <w:b/>
          <w:bCs/>
          <w:color w:val="auto"/>
          <w:sz w:val="28"/>
          <w:szCs w:val="28"/>
          <w:lang w:val="en-US" w:eastAsia="zh-CN"/>
        </w:rPr>
        <w:t>一</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未经甲方同意，乙方不得擅自使用甲方设备设施。</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十二</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乙方人员不准到与</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无关的生产场所闲逛，</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人员上下班、或搬运物品要按规定的路线行走。</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十三</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过程中需使用甲方的电、水、气源，应事先向甲方提出申请，不得私拉乱接。中断作业或遇故障时应立即切断有关电源开关、阀门。</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十四</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在无发生火灾的特殊情况下，禁止使用甲方的灭火器材。</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十五</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乙方必须接受和配合甲方的安全监督、检查，对甲方提出的安全整改意见必须及时整改；未按时整改的，甲方有权责令乙方停工，由此造成的损失由乙方负责承担。</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十六</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过程中发生人身伤亡、设备事故</w:t>
      </w:r>
      <w:r>
        <w:rPr>
          <w:rFonts w:hint="eastAsia" w:ascii="仿宋_GB2312" w:hAnsi="宋体" w:eastAsia="仿宋_GB2312"/>
          <w:color w:val="auto"/>
          <w:sz w:val="28"/>
          <w:szCs w:val="28"/>
          <w:lang w:val="en-US" w:eastAsia="zh-CN"/>
        </w:rPr>
        <w:t>事件</w:t>
      </w:r>
      <w:r>
        <w:rPr>
          <w:rFonts w:hint="eastAsia" w:ascii="仿宋_GB2312" w:hAnsi="宋体" w:eastAsia="仿宋_GB2312"/>
          <w:color w:val="auto"/>
          <w:sz w:val="28"/>
          <w:szCs w:val="28"/>
        </w:rPr>
        <w:t>或有危及生产运行的不安全情况，应立即停止</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，立即通报甲方，并保护现场，积极配合调查。发生人身死亡</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lang w:val="en-US" w:eastAsia="zh-CN"/>
        </w:rPr>
        <w:t>电力安全监管机构规定的电力安全事件</w:t>
      </w:r>
      <w:r>
        <w:rPr>
          <w:rFonts w:hint="eastAsia" w:ascii="仿宋_GB2312" w:hAnsi="宋体" w:eastAsia="仿宋_GB2312"/>
          <w:color w:val="auto"/>
          <w:sz w:val="28"/>
          <w:szCs w:val="28"/>
        </w:rPr>
        <w:t>，乙方立即会同甲方，通知当地政府</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公安部门</w:t>
      </w:r>
      <w:r>
        <w:rPr>
          <w:rFonts w:hint="eastAsia" w:ascii="仿宋_GB2312" w:hAnsi="宋体" w:eastAsia="仿宋_GB2312"/>
          <w:color w:val="auto"/>
          <w:sz w:val="28"/>
          <w:szCs w:val="28"/>
          <w:lang w:val="en-US" w:eastAsia="zh-CN"/>
        </w:rPr>
        <w:t>和电力安全监管机构</w:t>
      </w:r>
      <w:r>
        <w:rPr>
          <w:rFonts w:hint="eastAsia" w:ascii="仿宋_GB2312" w:hAnsi="宋体" w:eastAsia="仿宋_GB2312"/>
          <w:color w:val="auto"/>
          <w:sz w:val="28"/>
          <w:szCs w:val="28"/>
        </w:rPr>
        <w:t>。</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十七</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发生人身受伤事故时，在原因和责任未明确前，乙方应首先垫付医药费，确保受伤人员的及时治疗。  </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十八</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乙方在</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中有权拒绝甲方的违章指挥。乙方工作期间，要履行</w:t>
      </w:r>
      <w:r>
        <w:rPr>
          <w:rFonts w:hint="eastAsia" w:ascii="仿宋_GB2312" w:hAnsi="宋体" w:eastAsia="仿宋_GB2312"/>
          <w:color w:val="auto"/>
          <w:sz w:val="28"/>
          <w:szCs w:val="28"/>
          <w:lang w:eastAsia="zh-CN"/>
        </w:rPr>
        <w:t>开工</w:t>
      </w:r>
      <w:r>
        <w:rPr>
          <w:rFonts w:hint="eastAsia" w:ascii="仿宋_GB2312" w:hAnsi="宋体" w:eastAsia="仿宋_GB2312"/>
          <w:color w:val="auto"/>
          <w:sz w:val="28"/>
          <w:szCs w:val="28"/>
        </w:rPr>
        <w:t>工作场所、设备的隐患排查的义务，发现隐患后要立即告知甲方并配合开展隐患治理工作。</w:t>
      </w:r>
    </w:p>
    <w:p>
      <w:pPr>
        <w:suppressAutoHyphens/>
        <w:adjustRightInd w:val="0"/>
        <w:snapToGrid w:val="0"/>
        <w:spacing w:line="360" w:lineRule="auto"/>
        <w:ind w:firstLine="562" w:firstLineChars="200"/>
        <w:rPr>
          <w:rFonts w:ascii="仿宋_GB2312" w:hAnsi="宋体" w:eastAsia="仿宋_GB2312"/>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十九</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w:t>
      </w:r>
      <w:r>
        <w:rPr>
          <w:rFonts w:hint="eastAsia" w:ascii="仿宋_GB2312" w:hAnsi="宋体" w:eastAsia="仿宋_GB2312" w:cs="Times New Roman"/>
          <w:color w:val="auto"/>
          <w:sz w:val="28"/>
          <w:szCs w:val="28"/>
        </w:rPr>
        <w:t>由于甲方或乙方违反国家法律法规</w:t>
      </w:r>
      <w:r>
        <w:rPr>
          <w:rFonts w:hint="eastAsia" w:ascii="仿宋_GB2312" w:hAnsi="宋体" w:eastAsia="仿宋_GB2312" w:cs="Times New Roman"/>
          <w:color w:val="auto"/>
          <w:sz w:val="28"/>
          <w:szCs w:val="28"/>
          <w:lang w:eastAsia="zh-CN"/>
        </w:rPr>
        <w:t>、</w:t>
      </w:r>
      <w:r>
        <w:rPr>
          <w:rFonts w:hint="eastAsia" w:ascii="仿宋_GB2312" w:hAnsi="宋体" w:eastAsia="仿宋_GB2312" w:cs="Times New Roman"/>
          <w:color w:val="auto"/>
          <w:sz w:val="28"/>
          <w:szCs w:val="28"/>
        </w:rPr>
        <w:t>行业标准或本协议的有关规定造成事故的，由责任方赔偿因此造成</w:t>
      </w:r>
      <w:r>
        <w:rPr>
          <w:rFonts w:hint="eastAsia" w:ascii="仿宋_GB2312" w:hAnsi="宋体" w:eastAsia="仿宋_GB2312" w:cs="Times New Roman"/>
          <w:color w:val="auto"/>
          <w:sz w:val="28"/>
          <w:szCs w:val="28"/>
          <w:lang w:eastAsia="zh-CN"/>
        </w:rPr>
        <w:t>合同相</w:t>
      </w:r>
      <w:r>
        <w:rPr>
          <w:rFonts w:hint="eastAsia" w:ascii="仿宋_GB2312" w:hAnsi="宋体" w:eastAsia="仿宋_GB2312" w:cs="Times New Roman"/>
          <w:color w:val="auto"/>
          <w:sz w:val="28"/>
          <w:szCs w:val="28"/>
        </w:rPr>
        <w:t>对方</w:t>
      </w:r>
      <w:r>
        <w:rPr>
          <w:rFonts w:hint="eastAsia" w:ascii="仿宋_GB2312" w:hAnsi="宋体" w:eastAsia="仿宋_GB2312" w:cs="Times New Roman"/>
          <w:color w:val="auto"/>
          <w:sz w:val="28"/>
          <w:szCs w:val="28"/>
          <w:lang w:eastAsia="zh-CN"/>
        </w:rPr>
        <w:t>或受损第三人的</w:t>
      </w:r>
      <w:r>
        <w:rPr>
          <w:rFonts w:hint="eastAsia" w:ascii="仿宋_GB2312" w:hAnsi="宋体" w:eastAsia="仿宋_GB2312" w:cs="Times New Roman"/>
          <w:color w:val="auto"/>
          <w:sz w:val="28"/>
          <w:szCs w:val="28"/>
        </w:rPr>
        <w:t>全部经济损失。</w:t>
      </w:r>
      <w:r>
        <w:rPr>
          <w:rFonts w:hint="eastAsia" w:ascii="仿宋_GB2312" w:hAnsi="宋体" w:eastAsia="仿宋_GB2312"/>
          <w:color w:val="auto"/>
          <w:sz w:val="28"/>
          <w:szCs w:val="28"/>
        </w:rPr>
        <w:t>由于双方的责任造成的，根据事故调查结论和责任的主次，由双方所负责任大小按比例承担赔偿责任。</w:t>
      </w:r>
    </w:p>
    <w:p>
      <w:pPr>
        <w:suppressAutoHyphens/>
        <w:adjustRightInd w:val="0"/>
        <w:snapToGrid w:val="0"/>
        <w:spacing w:line="360" w:lineRule="auto"/>
        <w:ind w:firstLine="562" w:firstLineChars="200"/>
        <w:rPr>
          <w:rFonts w:hint="eastAsia" w:ascii="仿宋" w:hAnsi="仿宋" w:eastAsia="仿宋" w:cs="仿宋"/>
          <w:color w:val="auto"/>
          <w:sz w:val="28"/>
          <w:szCs w:val="28"/>
        </w:rPr>
      </w:pPr>
      <w:r>
        <w:rPr>
          <w:rFonts w:hint="eastAsia" w:ascii="仿宋_GB2312" w:hAnsi="宋体" w:eastAsia="仿宋_GB2312"/>
          <w:b/>
          <w:bCs/>
          <w:color w:val="auto"/>
          <w:sz w:val="28"/>
          <w:szCs w:val="28"/>
        </w:rPr>
        <w:t>第</w:t>
      </w:r>
      <w:r>
        <w:rPr>
          <w:rFonts w:hint="eastAsia" w:ascii="仿宋_GB2312" w:hAnsi="宋体" w:eastAsia="仿宋_GB2312"/>
          <w:b/>
          <w:bCs/>
          <w:color w:val="auto"/>
          <w:sz w:val="28"/>
          <w:szCs w:val="28"/>
          <w:lang w:val="en-US" w:eastAsia="zh-CN"/>
        </w:rPr>
        <w:t>二十</w:t>
      </w:r>
      <w:r>
        <w:rPr>
          <w:rFonts w:hint="eastAsia" w:ascii="仿宋_GB2312" w:hAnsi="宋体" w:eastAsia="仿宋_GB2312"/>
          <w:b/>
          <w:bCs/>
          <w:color w:val="auto"/>
          <w:sz w:val="28"/>
          <w:szCs w:val="28"/>
        </w:rPr>
        <w:t>条</w:t>
      </w:r>
      <w:r>
        <w:rPr>
          <w:rFonts w:hint="eastAsia" w:ascii="仿宋_GB2312" w:hAnsi="宋体" w:eastAsia="仿宋_GB2312"/>
          <w:color w:val="auto"/>
          <w:sz w:val="28"/>
          <w:szCs w:val="28"/>
        </w:rPr>
        <w:t xml:space="preserve"> 双方必须遵守本协议的规定，发生违反本协议的条款即是安全违约。</w:t>
      </w:r>
      <w:r>
        <w:rPr>
          <w:rFonts w:hint="eastAsia" w:ascii="仿宋" w:hAnsi="仿宋" w:eastAsia="仿宋" w:cs="仿宋"/>
          <w:color w:val="auto"/>
          <w:sz w:val="28"/>
          <w:szCs w:val="28"/>
        </w:rPr>
        <w:t xml:space="preserve"> </w:t>
      </w:r>
    </w:p>
    <w:p>
      <w:pPr>
        <w:rPr>
          <w:rFonts w:hint="eastAsia" w:ascii="仿宋_GB2312" w:hAnsi="宋体" w:eastAsia="仿宋_GB2312"/>
          <w:b/>
          <w:bCs/>
          <w:color w:val="auto"/>
          <w:sz w:val="24"/>
        </w:rPr>
      </w:pPr>
    </w:p>
    <w:p>
      <w:pPr>
        <w:rPr>
          <w:rFonts w:hint="eastAsia" w:ascii="仿宋_GB2312" w:hAnsi="宋体" w:eastAsia="仿宋_GB2312"/>
          <w:b/>
          <w:bCs/>
          <w:color w:val="auto"/>
          <w:sz w:val="24"/>
        </w:rPr>
      </w:pPr>
    </w:p>
    <w:p>
      <w:pPr>
        <w:rPr>
          <w:rFonts w:hint="eastAsia" w:ascii="仿宋_GB2312" w:hAnsi="宋体" w:eastAsia="仿宋_GB2312"/>
          <w:b/>
          <w:bCs/>
          <w:color w:val="auto"/>
          <w:sz w:val="24"/>
        </w:rPr>
      </w:pPr>
    </w:p>
    <w:p>
      <w:pPr>
        <w:spacing w:line="500" w:lineRule="exact"/>
        <w:ind w:firstLine="240" w:firstLineChars="1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甲方（盖章）</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乙方（盖章）：</w:t>
      </w:r>
    </w:p>
    <w:p>
      <w:pPr>
        <w:spacing w:line="500" w:lineRule="exact"/>
        <w:jc w:val="both"/>
        <w:rPr>
          <w:rFonts w:hint="eastAsia" w:ascii="宋体" w:hAnsi="宋体" w:cs="宋体"/>
          <w:sz w:val="24"/>
          <w:szCs w:val="24"/>
          <w:highlight w:val="yellow"/>
          <w:u w:val="none"/>
          <w:lang w:val="en-US" w:eastAsia="zh-CN"/>
        </w:rPr>
      </w:pPr>
      <w:r>
        <w:rPr>
          <w:rFonts w:hint="eastAsia" w:ascii="宋体" w:hAnsi="宋体" w:cs="宋体"/>
          <w:sz w:val="22"/>
          <w:szCs w:val="22"/>
          <w:u w:val="none"/>
        </w:rPr>
        <w:t>南方电网国际</w:t>
      </w:r>
      <w:r>
        <w:rPr>
          <w:rFonts w:hint="eastAsia" w:ascii="宋体" w:hAnsi="宋体" w:cs="宋体"/>
          <w:sz w:val="22"/>
          <w:szCs w:val="22"/>
          <w:u w:val="none"/>
          <w:lang w:val="en-US" w:eastAsia="zh-CN"/>
        </w:rPr>
        <w:t>贸易</w:t>
      </w:r>
      <w:r>
        <w:rPr>
          <w:rFonts w:hint="eastAsia" w:ascii="宋体" w:hAnsi="宋体" w:cs="宋体"/>
          <w:sz w:val="22"/>
          <w:szCs w:val="22"/>
          <w:u w:val="none"/>
          <w:lang w:eastAsia="zh-CN"/>
        </w:rPr>
        <w:t>（</w:t>
      </w:r>
      <w:r>
        <w:rPr>
          <w:rFonts w:hint="eastAsia" w:ascii="宋体" w:hAnsi="宋体" w:cs="宋体"/>
          <w:sz w:val="22"/>
          <w:szCs w:val="22"/>
          <w:u w:val="none"/>
          <w:lang w:val="en-US" w:eastAsia="zh-CN"/>
        </w:rPr>
        <w:t>广州</w:t>
      </w:r>
      <w:r>
        <w:rPr>
          <w:rFonts w:hint="eastAsia" w:ascii="宋体" w:hAnsi="宋体" w:cs="宋体"/>
          <w:sz w:val="22"/>
          <w:szCs w:val="22"/>
          <w:u w:val="none"/>
          <w:lang w:eastAsia="zh-CN"/>
        </w:rPr>
        <w:t>）</w:t>
      </w:r>
      <w:r>
        <w:rPr>
          <w:rFonts w:hint="eastAsia" w:ascii="宋体" w:hAnsi="宋体" w:cs="宋体"/>
          <w:sz w:val="22"/>
          <w:szCs w:val="22"/>
          <w:u w:val="none"/>
        </w:rPr>
        <w:t>有限责任公司</w:t>
      </w:r>
      <w:r>
        <w:rPr>
          <w:rFonts w:hint="eastAsia" w:ascii="宋体" w:hAnsi="宋体" w:cs="宋体"/>
          <w:sz w:val="22"/>
          <w:szCs w:val="22"/>
          <w:u w:val="none"/>
          <w:lang w:val="en-US" w:eastAsia="zh-CN"/>
        </w:rPr>
        <w:t xml:space="preserve"> </w:t>
      </w:r>
      <w:r>
        <w:rPr>
          <w:rFonts w:hint="eastAsia" w:ascii="宋体" w:hAnsi="宋体" w:cs="宋体"/>
          <w:sz w:val="24"/>
          <w:szCs w:val="24"/>
          <w:u w:val="none"/>
          <w:lang w:val="en-US" w:eastAsia="zh-CN"/>
        </w:rPr>
        <w:t xml:space="preserve">     </w:t>
      </w:r>
      <w:r>
        <w:rPr>
          <w:rFonts w:hint="eastAsia" w:ascii="宋体" w:hAnsi="宋体" w:cs="宋体"/>
          <w:sz w:val="24"/>
          <w:szCs w:val="24"/>
          <w:highlight w:val="none"/>
          <w:u w:val="none"/>
          <w:lang w:val="en-US" w:eastAsia="zh-CN"/>
        </w:rPr>
        <w:t>xxx有限公司</w:t>
      </w:r>
    </w:p>
    <w:p>
      <w:pPr>
        <w:spacing w:line="500" w:lineRule="exact"/>
        <w:ind w:firstLine="4498" w:firstLineChars="1600"/>
        <w:jc w:val="both"/>
        <w:rPr>
          <w:rFonts w:hint="default" w:ascii="宋体" w:hAnsi="宋体" w:eastAsia="仿宋_GB2312" w:cs="宋体"/>
          <w:b/>
          <w:bCs/>
          <w:sz w:val="28"/>
          <w:szCs w:val="28"/>
          <w:u w:val="none"/>
          <w:lang w:val="en-US" w:eastAsia="zh-CN"/>
        </w:rPr>
      </w:pPr>
    </w:p>
    <w:p>
      <w:pPr>
        <w:spacing w:line="500" w:lineRule="exact"/>
        <w:ind w:firstLine="240" w:firstLineChars="1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p>
    <w:p>
      <w:pPr>
        <w:snapToGrid w:val="0"/>
        <w:ind w:firstLine="240" w:firstLineChars="1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法定代表人</w:t>
      </w:r>
    </w:p>
    <w:p>
      <w:pPr>
        <w:snapToGrid w:val="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（或委托代理人）：             </w:t>
      </w:r>
    </w:p>
    <w:p>
      <w:pPr>
        <w:spacing w:line="500" w:lineRule="exact"/>
        <w:jc w:val="left"/>
        <w:rPr>
          <w:rFonts w:hint="eastAsia" w:ascii="宋体" w:hAnsi="宋体" w:eastAsia="宋体" w:cs="宋体"/>
          <w:color w:val="000000"/>
          <w:sz w:val="24"/>
          <w:szCs w:val="24"/>
          <w:highlight w:val="none"/>
        </w:rPr>
      </w:pP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 xml:space="preserve"> 年</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月</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日</w:t>
      </w:r>
      <w:r>
        <w:rPr>
          <w:rFonts w:hint="eastAsia" w:ascii="宋体" w:hAnsi="宋体" w:eastAsia="宋体" w:cs="宋体"/>
          <w:color w:val="000000"/>
          <w:sz w:val="24"/>
          <w:szCs w:val="24"/>
          <w:highlight w:val="none"/>
        </w:rPr>
        <w:t xml:space="preserve">         </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 xml:space="preserve"> 年</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月</w:t>
      </w:r>
      <w:r>
        <w:rPr>
          <w:rFonts w:hint="eastAsia" w:ascii="宋体" w:hAnsi="宋体" w:eastAsia="宋体"/>
          <w:kern w:val="2"/>
          <w:sz w:val="24"/>
          <w:szCs w:val="24"/>
          <w:lang w:val="en-US" w:eastAsia="zh-CN"/>
        </w:rPr>
        <w:t xml:space="preserve">      </w:t>
      </w:r>
      <w:r>
        <w:rPr>
          <w:rFonts w:hint="eastAsia" w:ascii="宋体" w:hAnsi="宋体" w:eastAsia="宋体"/>
          <w:kern w:val="2"/>
          <w:sz w:val="24"/>
          <w:szCs w:val="24"/>
        </w:rPr>
        <w:t>日</w:t>
      </w:r>
    </w:p>
    <w:p>
      <w:pPr>
        <w:rPr>
          <w:rFonts w:hint="eastAsia" w:ascii="仿宋_GB2312" w:hAnsi="宋体" w:eastAsia="仿宋_GB2312"/>
          <w:b/>
          <w:bCs/>
          <w:color w:val="auto"/>
          <w:sz w:val="24"/>
        </w:rPr>
      </w:pPr>
      <w:r>
        <w:rPr>
          <w:rFonts w:hint="eastAsia" w:ascii="仿宋_GB2312" w:hAnsi="宋体" w:eastAsia="仿宋_GB2312"/>
          <w:b/>
          <w:bCs/>
          <w:color w:val="auto"/>
          <w:sz w:val="24"/>
        </w:rPr>
        <w:br w:type="page"/>
      </w:r>
      <w:bookmarkStart w:id="0" w:name="_GoBack"/>
      <w:bookmarkEnd w:id="0"/>
    </w:p>
    <w:p>
      <w:pPr>
        <w:rPr>
          <w:rFonts w:hint="eastAsia" w:ascii="仿宋_GB2312" w:hAnsi="宋体" w:eastAsia="仿宋_GB2312"/>
          <w:color w:val="auto"/>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4F03FF"/>
    <w:rsid w:val="03AB52F4"/>
    <w:rsid w:val="0A6E6795"/>
    <w:rsid w:val="0D216C3F"/>
    <w:rsid w:val="0F382FB7"/>
    <w:rsid w:val="16092F9D"/>
    <w:rsid w:val="1C041672"/>
    <w:rsid w:val="1C3A05AD"/>
    <w:rsid w:val="20827111"/>
    <w:rsid w:val="218203CE"/>
    <w:rsid w:val="2555724D"/>
    <w:rsid w:val="28AD5F7D"/>
    <w:rsid w:val="29EF6037"/>
    <w:rsid w:val="2C113C8C"/>
    <w:rsid w:val="2FB07E5D"/>
    <w:rsid w:val="31CE322C"/>
    <w:rsid w:val="35F055C1"/>
    <w:rsid w:val="437F3DFE"/>
    <w:rsid w:val="465867EA"/>
    <w:rsid w:val="46747741"/>
    <w:rsid w:val="47CE6092"/>
    <w:rsid w:val="4DCC7476"/>
    <w:rsid w:val="5323153E"/>
    <w:rsid w:val="574F03FF"/>
    <w:rsid w:val="5E871366"/>
    <w:rsid w:val="628B3DE8"/>
    <w:rsid w:val="668B6F08"/>
    <w:rsid w:val="6ED61A69"/>
    <w:rsid w:val="76A20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2021-03-02T07:58:00Z</dcterms:created>
  <dc:creator>xuanhaizhen</dc:creator>
  <cp:lastModifiedBy>李君飞</cp:lastModifiedBy>
  <dcterms:modified xsi:type="dcterms:W3CDTF">2024-05-20T08:58:02Z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C32FA29AAD894FD2B782F13F7088DFB8</vt:lpwstr>
  </property>
</Properties>
</file>