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sz w:val="30"/>
          <w:szCs w:val="30"/>
          <w:highlight w:val="none"/>
          <w:lang w:val="en-US" w:eastAsia="zh-CN"/>
        </w:rPr>
      </w:pPr>
      <w:r>
        <w:rPr>
          <w:rFonts w:hint="eastAsia" w:ascii="黑体" w:hAnsi="黑体" w:eastAsia="黑体" w:cs="黑体"/>
          <w:b/>
          <w:color w:val="auto"/>
          <w:sz w:val="52"/>
          <w:shd w:val="clear" w:color="auto" w:fill="auto"/>
        </w:rPr>
        <w:drawing>
          <wp:anchor distT="0" distB="0" distL="114300" distR="114300" simplePos="0" relativeHeight="251659264" behindDoc="1" locked="0" layoutInCell="1" allowOverlap="1">
            <wp:simplePos x="0" y="0"/>
            <wp:positionH relativeFrom="column">
              <wp:posOffset>-1152525</wp:posOffset>
            </wp:positionH>
            <wp:positionV relativeFrom="paragraph">
              <wp:posOffset>-914400</wp:posOffset>
            </wp:positionV>
            <wp:extent cx="7578090" cy="2736850"/>
            <wp:effectExtent l="0" t="0" r="3810" b="6350"/>
            <wp:wrapTight wrapText="bothSides">
              <wp:wrapPolygon>
                <wp:start x="0" y="0"/>
                <wp:lineTo x="0" y="21500"/>
                <wp:lineTo x="21557" y="21500"/>
                <wp:lineTo x="21557"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pic:cNvPicPr>
                  </pic:nvPicPr>
                  <pic:blipFill>
                    <a:blip r:embed="rId5"/>
                    <a:stretch>
                      <a:fillRect/>
                    </a:stretch>
                  </pic:blipFill>
                  <pic:spPr>
                    <a:xfrm>
                      <a:off x="0" y="0"/>
                      <a:ext cx="7578090" cy="2736850"/>
                    </a:xfrm>
                    <a:prstGeom prst="rect">
                      <a:avLst/>
                    </a:prstGeom>
                    <a:noFill/>
                    <a:ln>
                      <a:noFill/>
                    </a:ln>
                  </pic:spPr>
                </pic:pic>
              </a:graphicData>
            </a:graphic>
          </wp:anchor>
        </w:drawing>
      </w:r>
    </w:p>
    <w:p>
      <w:pPr>
        <w:widowControl/>
        <w:spacing w:before="0" w:beforeLines="0" w:line="240" w:lineRule="auto"/>
        <w:jc w:val="center"/>
        <w:rPr>
          <w:rFonts w:hint="default" w:ascii="黑体" w:hAnsi="黑体" w:eastAsia="黑体" w:cs="黑体"/>
          <w:b/>
          <w:color w:val="auto"/>
          <w:sz w:val="52"/>
          <w:shd w:val="clear" w:color="auto" w:fill="auto"/>
          <w:lang w:val="en-US" w:eastAsia="zh-CN"/>
        </w:rPr>
      </w:pPr>
      <w:r>
        <w:rPr>
          <w:rFonts w:hint="default" w:ascii="黑体" w:hAnsi="黑体" w:eastAsia="黑体" w:cs="黑体"/>
          <w:b/>
          <w:color w:val="auto"/>
          <w:sz w:val="52"/>
          <w:shd w:val="clear" w:color="auto" w:fill="auto"/>
          <w:lang w:val="en-US" w:eastAsia="zh-CN"/>
        </w:rPr>
        <w:t>202</w:t>
      </w:r>
      <w:r>
        <w:rPr>
          <w:rFonts w:hint="eastAsia" w:ascii="黑体" w:hAnsi="黑体" w:eastAsia="黑体" w:cs="黑体"/>
          <w:b/>
          <w:color w:val="auto"/>
          <w:sz w:val="52"/>
          <w:shd w:val="clear" w:color="auto" w:fill="auto"/>
          <w:lang w:val="en-US" w:eastAsia="zh-CN"/>
        </w:rPr>
        <w:t>4</w:t>
      </w:r>
      <w:r>
        <w:rPr>
          <w:rFonts w:hint="default" w:ascii="黑体" w:hAnsi="黑体" w:eastAsia="黑体" w:cs="黑体"/>
          <w:b/>
          <w:color w:val="auto"/>
          <w:sz w:val="52"/>
          <w:shd w:val="clear" w:color="auto" w:fill="auto"/>
          <w:lang w:val="en-US" w:eastAsia="zh-CN"/>
        </w:rPr>
        <w:t>年</w:t>
      </w:r>
      <w:r>
        <w:rPr>
          <w:rFonts w:hint="eastAsia" w:ascii="黑体" w:hAnsi="黑体" w:eastAsia="黑体" w:cs="黑体"/>
          <w:b/>
          <w:color w:val="auto"/>
          <w:sz w:val="52"/>
          <w:shd w:val="clear" w:color="auto" w:fill="auto"/>
          <w:lang w:val="en-US" w:eastAsia="zh-CN"/>
        </w:rPr>
        <w:t>南方电网数字平台科技（广东）有限公司ISO27001信息安全管理体系年审、ISO20000信息技术服务管理体系</w:t>
      </w:r>
      <w:r>
        <w:rPr>
          <w:rFonts w:hint="default" w:ascii="黑体" w:hAnsi="黑体" w:eastAsia="黑体" w:cs="黑体"/>
          <w:b/>
          <w:color w:val="auto"/>
          <w:sz w:val="52"/>
          <w:shd w:val="clear" w:color="auto" w:fill="auto"/>
          <w:lang w:val="en-US" w:eastAsia="zh-CN"/>
        </w:rPr>
        <w:t>再认证</w:t>
      </w:r>
      <w:r>
        <w:rPr>
          <w:rFonts w:hint="eastAsia" w:ascii="黑体" w:hAnsi="黑体" w:eastAsia="黑体" w:cs="黑体"/>
          <w:b/>
          <w:color w:val="auto"/>
          <w:sz w:val="52"/>
          <w:shd w:val="clear" w:color="auto" w:fill="auto"/>
          <w:lang w:val="en-US" w:eastAsia="zh-CN"/>
        </w:rPr>
        <w:t>与培训服务采购</w:t>
      </w:r>
    </w:p>
    <w:p>
      <w:pPr>
        <w:widowControl/>
        <w:spacing w:before="0" w:beforeLines="0" w:line="240" w:lineRule="auto"/>
        <w:jc w:val="center"/>
        <w:rPr>
          <w:rFonts w:hint="default" w:ascii="黑体" w:hAnsi="黑体" w:eastAsia="黑体" w:cs="黑体"/>
          <w:b/>
          <w:color w:val="auto"/>
          <w:sz w:val="52"/>
          <w:shd w:val="clear" w:color="auto" w:fill="auto"/>
          <w:lang w:val="en-US" w:eastAsia="zh-CN"/>
        </w:rPr>
      </w:pPr>
      <w:r>
        <w:rPr>
          <w:rFonts w:hint="default" w:ascii="黑体" w:hAnsi="黑体" w:eastAsia="黑体" w:cs="黑体"/>
          <w:b/>
          <w:color w:val="auto"/>
          <w:sz w:val="52"/>
          <w:shd w:val="clear" w:color="auto" w:fill="auto"/>
          <w:lang w:val="en-US" w:eastAsia="zh-CN"/>
        </w:rPr>
        <w:t>项目技术规范书</w:t>
      </w:r>
    </w:p>
    <w:p>
      <w:pPr>
        <w:pStyle w:val="12"/>
        <w:shd w:val="clear"/>
        <w:jc w:val="both"/>
        <w:rPr>
          <w:rFonts w:hint="default" w:ascii="Times New Roman" w:hAnsi="Times New Roman" w:eastAsia="宋体" w:cs="Times New Roman"/>
          <w:sz w:val="30"/>
          <w:szCs w:val="30"/>
          <w:highlight w:val="none"/>
        </w:rPr>
      </w:pPr>
    </w:p>
    <w:p>
      <w:pPr>
        <w:bidi w:val="0"/>
        <w:jc w:val="both"/>
        <w:rPr>
          <w:rFonts w:hint="eastAsia" w:ascii="仿宋" w:hAnsi="仿宋" w:eastAsia="仿宋" w:cs="仿宋"/>
          <w:sz w:val="32"/>
          <w:szCs w:val="32"/>
          <w:highlight w:val="none"/>
        </w:rPr>
      </w:pPr>
    </w:p>
    <w:p>
      <w:pPr>
        <w:pStyle w:val="2"/>
        <w:rPr>
          <w:rFonts w:hint="eastAsia" w:ascii="仿宋" w:hAnsi="仿宋" w:eastAsia="仿宋" w:cs="仿宋"/>
          <w:sz w:val="32"/>
          <w:szCs w:val="32"/>
          <w:highlight w:val="none"/>
        </w:rPr>
      </w:pPr>
    </w:p>
    <w:p>
      <w:pPr>
        <w:pStyle w:val="3"/>
        <w:rPr>
          <w:rFonts w:hint="eastAsia" w:ascii="仿宋" w:hAnsi="仿宋" w:eastAsia="仿宋" w:cs="仿宋"/>
          <w:sz w:val="32"/>
          <w:szCs w:val="32"/>
          <w:highlight w:val="none"/>
        </w:rPr>
      </w:pPr>
    </w:p>
    <w:p>
      <w:pPr>
        <w:rPr>
          <w:rFonts w:hint="eastAsia" w:ascii="仿宋" w:hAnsi="仿宋" w:eastAsia="仿宋" w:cs="仿宋"/>
          <w:sz w:val="32"/>
          <w:szCs w:val="32"/>
          <w:highlight w:val="none"/>
        </w:rPr>
      </w:pPr>
    </w:p>
    <w:p>
      <w:pPr>
        <w:pStyle w:val="2"/>
        <w:rPr>
          <w:rFonts w:hint="eastAsia"/>
        </w:rPr>
      </w:pPr>
      <w:bookmarkStart w:id="66" w:name="_GoBack"/>
      <w:bookmarkEnd w:id="66"/>
    </w:p>
    <w:p>
      <w:pPr>
        <w:pStyle w:val="15"/>
        <w:keepNext w:val="0"/>
        <w:keepLines w:val="0"/>
        <w:pageBreakBefore w:val="0"/>
        <w:widowControl/>
        <w:kinsoku/>
        <w:wordWrap/>
        <w:bidi w:val="0"/>
        <w:jc w:val="center"/>
        <w:rPr>
          <w:rFonts w:hint="eastAsia" w:ascii="黑体" w:hAnsi="黑体" w:eastAsia="黑体" w:cs="Times New Roman"/>
          <w:b/>
          <w:sz w:val="36"/>
          <w:lang w:val="en-US" w:eastAsia="zh-CN"/>
        </w:rPr>
      </w:pPr>
      <w:r>
        <w:rPr>
          <w:rFonts w:hint="eastAsia" w:ascii="黑体" w:hAnsi="黑体" w:eastAsia="黑体" w:cs="Times New Roman"/>
          <w:b/>
          <w:sz w:val="36"/>
          <w:lang w:val="en-US" w:eastAsia="zh-CN"/>
        </w:rPr>
        <w:t>南方电网数字平台科技（广东）有限公司</w:t>
      </w:r>
    </w:p>
    <w:p>
      <w:pPr>
        <w:pStyle w:val="15"/>
        <w:keepNext w:val="0"/>
        <w:keepLines w:val="0"/>
        <w:pageBreakBefore w:val="0"/>
        <w:widowControl/>
        <w:kinsoku/>
        <w:wordWrap/>
        <w:bidi w:val="0"/>
        <w:jc w:val="center"/>
        <w:rPr>
          <w:rFonts w:hint="default" w:ascii="Times New Roman" w:hAnsi="Times New Roman" w:eastAsia="宋体" w:cs="Times New Roman"/>
          <w:caps/>
          <w:kern w:val="0"/>
          <w:sz w:val="24"/>
          <w:szCs w:val="24"/>
          <w:highlight w:val="none"/>
        </w:rPr>
      </w:pPr>
      <w:r>
        <w:rPr>
          <w:rFonts w:hint="eastAsia" w:ascii="黑体" w:hAnsi="黑体" w:eastAsia="黑体" w:cs="Times New Roman"/>
          <w:b/>
          <w:sz w:val="36"/>
          <w:lang w:val="en-US" w:eastAsia="zh-CN"/>
        </w:rPr>
        <w:t>2024年5月</w:t>
      </w:r>
    </w:p>
    <w:p>
      <w:pPr>
        <w:keepNext w:val="0"/>
        <w:keepLines w:val="0"/>
        <w:pageBreakBefore w:val="0"/>
        <w:widowControl w:val="0"/>
        <w:numPr>
          <w:ilvl w:val="0"/>
          <w:numId w:val="1"/>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0" w:name="_Toc14117"/>
      <w:bookmarkStart w:id="1" w:name="_Toc5103"/>
      <w:r>
        <w:rPr>
          <w:rFonts w:hint="eastAsia" w:ascii="黑体" w:hAnsi="黑体" w:eastAsia="黑体" w:cs="黑体"/>
          <w:b/>
          <w:bCs/>
          <w:sz w:val="32"/>
          <w:highlight w:val="none"/>
          <w:lang w:val="en-US" w:eastAsia="zh-CN"/>
        </w:rPr>
        <w:t>项目背景</w:t>
      </w:r>
      <w:bookmarkEnd w:id="0"/>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default"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为进一步加强对南方电网数字平台科技（广东）有限公司管理水平，为市场投标提供基础能力证明和支持，现需对ISO27001信息安全管理体系年审、ISO20000信息技术服务管理体系</w:t>
      </w:r>
      <w:r>
        <w:rPr>
          <w:rFonts w:hint="default" w:ascii="仿宋" w:hAnsi="仿宋" w:eastAsia="仿宋" w:cs="仿宋"/>
          <w:color w:val="auto"/>
          <w:sz w:val="32"/>
          <w:highlight w:val="none"/>
          <w:lang w:val="en-US" w:eastAsia="zh-CN"/>
        </w:rPr>
        <w:t>再认证</w:t>
      </w:r>
      <w:r>
        <w:rPr>
          <w:rFonts w:hint="eastAsia" w:ascii="仿宋" w:hAnsi="仿宋" w:eastAsia="仿宋" w:cs="仿宋"/>
          <w:color w:val="auto"/>
          <w:sz w:val="32"/>
          <w:highlight w:val="none"/>
          <w:lang w:val="en-US" w:eastAsia="zh-CN"/>
        </w:rPr>
        <w:t>与培训</w:t>
      </w:r>
      <w:r>
        <w:rPr>
          <w:rFonts w:hint="default" w:ascii="仿宋" w:hAnsi="仿宋" w:eastAsia="仿宋" w:cs="仿宋"/>
          <w:color w:val="auto"/>
          <w:sz w:val="32"/>
          <w:highlight w:val="none"/>
          <w:lang w:val="en-US" w:eastAsia="zh-CN"/>
        </w:rPr>
        <w:t>服务</w:t>
      </w:r>
      <w:r>
        <w:rPr>
          <w:rFonts w:hint="eastAsia" w:ascii="仿宋" w:hAnsi="仿宋" w:eastAsia="仿宋" w:cs="仿宋"/>
          <w:color w:val="auto"/>
          <w:sz w:val="32"/>
          <w:highlight w:val="none"/>
          <w:lang w:val="en-US" w:eastAsia="zh-CN"/>
        </w:rPr>
        <w:t xml:space="preserve">进行采购。 </w:t>
      </w:r>
    </w:p>
    <w:p>
      <w:pPr>
        <w:keepNext w:val="0"/>
        <w:keepLines w:val="0"/>
        <w:pageBreakBefore w:val="0"/>
        <w:widowControl w:val="0"/>
        <w:numPr>
          <w:ilvl w:val="0"/>
          <w:numId w:val="1"/>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2" w:name="_Toc26867"/>
      <w:r>
        <w:rPr>
          <w:rFonts w:hint="eastAsia" w:ascii="黑体" w:hAnsi="黑体" w:eastAsia="黑体" w:cs="黑体"/>
          <w:b/>
          <w:bCs/>
          <w:sz w:val="32"/>
          <w:highlight w:val="none"/>
          <w:lang w:val="en-US" w:eastAsia="zh-CN"/>
        </w:rPr>
        <w:t>服务</w:t>
      </w:r>
      <w:bookmarkEnd w:id="1"/>
      <w:r>
        <w:rPr>
          <w:rFonts w:hint="eastAsia" w:ascii="黑体" w:hAnsi="黑体" w:eastAsia="黑体" w:cs="黑体"/>
          <w:b/>
          <w:bCs/>
          <w:sz w:val="32"/>
          <w:highlight w:val="none"/>
          <w:lang w:val="en-US" w:eastAsia="zh-CN"/>
        </w:rPr>
        <w:t>要求</w:t>
      </w:r>
      <w:bookmarkEnd w:id="2"/>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color w:val="auto"/>
          <w:kern w:val="2"/>
          <w:sz w:val="32"/>
          <w:szCs w:val="32"/>
          <w:highlight w:val="none"/>
          <w:lang w:val="en-US" w:eastAsia="zh-CN" w:bidi="ar-SA"/>
        </w:rPr>
      </w:pPr>
      <w:bookmarkStart w:id="3" w:name="_Toc24596"/>
      <w:r>
        <w:rPr>
          <w:rFonts w:hint="eastAsia" w:ascii="仿宋" w:hAnsi="仿宋" w:eastAsia="仿宋" w:cs="仿宋"/>
          <w:b/>
          <w:color w:val="auto"/>
          <w:kern w:val="2"/>
          <w:sz w:val="32"/>
          <w:szCs w:val="32"/>
          <w:highlight w:val="none"/>
          <w:lang w:val="en-US" w:eastAsia="zh-CN" w:bidi="ar-SA"/>
        </w:rPr>
        <w:t>（一）服务目标</w:t>
      </w:r>
      <w:bookmarkEnd w:id="3"/>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协助采购人通过</w:t>
      </w:r>
      <w:r>
        <w:rPr>
          <w:rFonts w:hint="default" w:ascii="仿宋" w:hAnsi="仿宋" w:eastAsia="仿宋" w:cs="仿宋"/>
          <w:color w:val="auto"/>
          <w:sz w:val="32"/>
          <w:highlight w:val="none"/>
          <w:lang w:val="en-US" w:eastAsia="zh-CN"/>
        </w:rPr>
        <w:t>202</w:t>
      </w:r>
      <w:r>
        <w:rPr>
          <w:rFonts w:hint="eastAsia" w:ascii="仿宋" w:hAnsi="仿宋" w:eastAsia="仿宋" w:cs="仿宋"/>
          <w:color w:val="auto"/>
          <w:sz w:val="32"/>
          <w:highlight w:val="none"/>
          <w:lang w:val="en-US" w:eastAsia="zh-CN"/>
        </w:rPr>
        <w:t>4</w:t>
      </w:r>
      <w:r>
        <w:rPr>
          <w:rFonts w:hint="default" w:ascii="仿宋" w:hAnsi="仿宋" w:eastAsia="仿宋" w:cs="仿宋"/>
          <w:color w:val="auto"/>
          <w:sz w:val="32"/>
          <w:highlight w:val="none"/>
          <w:lang w:val="en-US" w:eastAsia="zh-CN"/>
        </w:rPr>
        <w:t>年</w:t>
      </w:r>
      <w:r>
        <w:rPr>
          <w:rFonts w:hint="eastAsia" w:ascii="仿宋" w:hAnsi="仿宋" w:eastAsia="仿宋" w:cs="仿宋"/>
          <w:color w:val="auto"/>
          <w:sz w:val="32"/>
          <w:highlight w:val="none"/>
          <w:lang w:val="en-US" w:eastAsia="zh-CN"/>
        </w:rPr>
        <w:t>ISO27001信息安全管理体系年审、ISO20000信息技术服务管理体系</w:t>
      </w:r>
      <w:r>
        <w:rPr>
          <w:rFonts w:hint="default" w:ascii="仿宋" w:hAnsi="仿宋" w:eastAsia="仿宋" w:cs="仿宋"/>
          <w:color w:val="auto"/>
          <w:sz w:val="32"/>
          <w:highlight w:val="none"/>
          <w:lang w:val="en-US" w:eastAsia="zh-CN"/>
        </w:rPr>
        <w:t>再认证</w:t>
      </w:r>
      <w:r>
        <w:rPr>
          <w:rFonts w:hint="eastAsia" w:ascii="仿宋" w:hAnsi="仿宋" w:eastAsia="仿宋" w:cs="仿宋"/>
          <w:color w:val="auto"/>
          <w:sz w:val="32"/>
          <w:highlight w:val="none"/>
          <w:lang w:val="en-US" w:eastAsia="zh-CN"/>
        </w:rPr>
        <w:t>，成功取得ISO20000信息技术服务管理体系认证证书，完成ISO27001信息安全管理体系年审工作证书维持有效。体系覆盖人数约870人（具体以社保人数为准），认证证书应具有CNSA标识，合同签订主体为南方电网数字平台科技（广东）有限公司。</w:t>
      </w:r>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val="0"/>
          <w:bCs w:val="0"/>
          <w:caps/>
          <w:color w:val="auto"/>
          <w:kern w:val="2"/>
          <w:sz w:val="32"/>
          <w:szCs w:val="32"/>
          <w:highlight w:val="none"/>
          <w:lang w:val="en-US" w:eastAsia="zh-CN" w:bidi="ar-SA"/>
        </w:rPr>
      </w:pPr>
      <w:bookmarkStart w:id="4" w:name="_Toc25344"/>
      <w:r>
        <w:rPr>
          <w:rFonts w:hint="eastAsia" w:ascii="楷体" w:hAnsi="楷体" w:eastAsia="楷体" w:cs="楷体"/>
          <w:b/>
          <w:bCs/>
          <w:sz w:val="32"/>
          <w:highlight w:val="none"/>
          <w:lang w:val="en-US" w:eastAsia="zh-CN"/>
        </w:rPr>
        <w:t>（二）</w:t>
      </w:r>
      <w:r>
        <w:rPr>
          <w:rFonts w:hint="eastAsia" w:ascii="仿宋" w:hAnsi="仿宋" w:eastAsia="仿宋" w:cs="仿宋"/>
          <w:b/>
          <w:color w:val="auto"/>
          <w:kern w:val="2"/>
          <w:sz w:val="32"/>
          <w:szCs w:val="32"/>
          <w:highlight w:val="none"/>
          <w:lang w:val="en-US" w:eastAsia="zh-CN" w:bidi="ar-SA"/>
        </w:rPr>
        <w:t>服务内容</w:t>
      </w:r>
      <w:bookmarkEnd w:id="4"/>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sz w:val="32"/>
          <w:highlight w:val="none"/>
          <w:lang w:val="en-US" w:eastAsia="zh-CN"/>
        </w:rPr>
      </w:pPr>
      <w:bookmarkStart w:id="5" w:name="_Toc19941"/>
      <w:r>
        <w:rPr>
          <w:rFonts w:hint="eastAsia" w:ascii="仿宋" w:hAnsi="仿宋" w:eastAsia="仿宋" w:cs="仿宋"/>
          <w:color w:val="auto"/>
          <w:sz w:val="32"/>
          <w:highlight w:val="none"/>
          <w:lang w:val="en-US" w:eastAsia="zh-CN"/>
        </w:rPr>
        <w:t>1．对采购人进行ISO27001信息安全管理体系、ISO20000信息技术服务管理体系认证服务范围培训。</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2.协助、指导采购人组织各部门相关人员调研管理需求，建立组织级、部门内、部门间的管理流程，同时针对内部流程实施落地工作。</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3.协助、指导采购人进行体系文件修编、内审、管理评审和外审。</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4.协助、指导采购人完成再认证及年度监督审核认证，并对检查出的问题制定纠正和预防措施，并根据运行情况对体系文件和记录表单作必要修正。</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6.提供团队支撑现场指导、认证服务。</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default"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7.为采购人提供ISO27001信息安全管理体系年审、ISO20000信息技术服务管理体系</w:t>
      </w:r>
      <w:r>
        <w:rPr>
          <w:rFonts w:hint="default" w:ascii="仿宋" w:hAnsi="仿宋" w:eastAsia="仿宋" w:cs="仿宋"/>
          <w:color w:val="auto"/>
          <w:sz w:val="32"/>
          <w:highlight w:val="none"/>
          <w:lang w:val="en-US" w:eastAsia="zh-CN"/>
        </w:rPr>
        <w:t>再认证</w:t>
      </w:r>
      <w:r>
        <w:rPr>
          <w:rFonts w:hint="eastAsia" w:ascii="仿宋" w:hAnsi="仿宋" w:eastAsia="仿宋" w:cs="仿宋"/>
          <w:color w:val="auto"/>
          <w:sz w:val="32"/>
          <w:highlight w:val="none"/>
          <w:lang w:val="en-US" w:eastAsia="zh-CN"/>
        </w:rPr>
        <w:t>培训服务，组织准备认证材料进行审查工作。</w:t>
      </w:r>
    </w:p>
    <w:bookmarkEnd w:id="5"/>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color w:val="auto"/>
          <w:kern w:val="2"/>
          <w:sz w:val="32"/>
          <w:szCs w:val="32"/>
          <w:highlight w:val="none"/>
          <w:lang w:val="en-US" w:eastAsia="zh-CN" w:bidi="ar-SA"/>
        </w:rPr>
      </w:pPr>
      <w:bookmarkStart w:id="6" w:name="_Toc14206"/>
      <w:bookmarkStart w:id="7" w:name="_Toc21270"/>
      <w:r>
        <w:rPr>
          <w:rFonts w:hint="eastAsia" w:ascii="仿宋" w:hAnsi="仿宋" w:eastAsia="仿宋" w:cs="仿宋"/>
          <w:b/>
          <w:color w:val="auto"/>
          <w:kern w:val="2"/>
          <w:sz w:val="32"/>
          <w:szCs w:val="32"/>
          <w:highlight w:val="none"/>
          <w:lang w:val="en-US" w:eastAsia="zh-CN" w:bidi="ar-SA"/>
        </w:rPr>
        <w:t>（三）交付物及时间要求</w:t>
      </w:r>
      <w:bookmarkEnd w:id="6"/>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0" w:firstLineChars="200"/>
        <w:jc w:val="left"/>
        <w:textAlignment w:val="auto"/>
        <w:outlineLvl w:val="1"/>
        <w:rPr>
          <w:rFonts w:hint="eastAsia" w:ascii="仿宋" w:hAnsi="仿宋" w:eastAsia="仿宋" w:cs="仿宋"/>
          <w:b w:val="0"/>
          <w:bCs/>
          <w:color w:val="auto"/>
          <w:sz w:val="32"/>
          <w:szCs w:val="32"/>
          <w:highlight w:val="none"/>
          <w:lang w:val="en-US" w:eastAsia="zh-CN"/>
        </w:rPr>
      </w:pPr>
      <w:r>
        <w:rPr>
          <w:rFonts w:hint="eastAsia" w:ascii="仿宋" w:hAnsi="仿宋" w:eastAsia="仿宋" w:cs="仿宋"/>
          <w:sz w:val="32"/>
          <w:highlight w:val="none"/>
        </w:rPr>
        <w:t>1</w:t>
      </w:r>
      <w:r>
        <w:rPr>
          <w:rFonts w:hint="eastAsia" w:ascii="仿宋" w:hAnsi="仿宋" w:eastAsia="仿宋" w:cs="仿宋"/>
          <w:sz w:val="32"/>
          <w:highlight w:val="none"/>
          <w:lang w:eastAsia="zh-CN"/>
        </w:rPr>
        <w:t>．</w:t>
      </w:r>
      <w:r>
        <w:rPr>
          <w:rFonts w:hint="eastAsia" w:ascii="仿宋" w:hAnsi="仿宋" w:eastAsia="仿宋" w:cs="仿宋"/>
          <w:color w:val="auto"/>
          <w:sz w:val="32"/>
          <w:szCs w:val="32"/>
          <w:highlight w:val="none"/>
          <w:u w:val="single"/>
          <w:lang w:val="en-US" w:eastAsia="zh-CN"/>
        </w:rPr>
        <w:t xml:space="preserve"> 2024年06月01日</w:t>
      </w:r>
      <w:r>
        <w:rPr>
          <w:rFonts w:hint="eastAsia" w:ascii="仿宋" w:hAnsi="仿宋" w:eastAsia="仿宋" w:cs="仿宋"/>
          <w:color w:val="auto"/>
          <w:sz w:val="32"/>
          <w:szCs w:val="32"/>
          <w:highlight w:val="none"/>
          <w:lang w:val="en-US" w:eastAsia="zh-CN"/>
        </w:rPr>
        <w:t>前</w:t>
      </w:r>
      <w:r>
        <w:rPr>
          <w:rFonts w:hint="eastAsia" w:ascii="仿宋" w:hAnsi="仿宋" w:eastAsia="仿宋" w:cs="仿宋"/>
          <w:color w:val="auto"/>
          <w:sz w:val="32"/>
          <w:szCs w:val="32"/>
          <w:highlight w:val="none"/>
          <w:lang w:eastAsia="zh-CN"/>
        </w:rPr>
        <w:t>，完成</w:t>
      </w:r>
      <w:r>
        <w:rPr>
          <w:rFonts w:hint="eastAsia" w:ascii="仿宋" w:hAnsi="仿宋" w:eastAsia="仿宋" w:cs="仿宋"/>
          <w:color w:val="auto"/>
          <w:sz w:val="32"/>
          <w:szCs w:val="32"/>
          <w:highlight w:val="none"/>
          <w:u w:val="single"/>
          <w:lang w:val="en-US" w:eastAsia="zh-CN"/>
        </w:rPr>
        <w:t xml:space="preserve"> 协助、指导公司ISO27001信息安全管理体系年审、ISO20000信息技术服务管理体系</w:t>
      </w:r>
      <w:r>
        <w:rPr>
          <w:rFonts w:hint="default" w:ascii="仿宋" w:hAnsi="仿宋" w:eastAsia="仿宋" w:cs="仿宋"/>
          <w:color w:val="auto"/>
          <w:sz w:val="32"/>
          <w:szCs w:val="32"/>
          <w:highlight w:val="none"/>
          <w:u w:val="single"/>
          <w:lang w:val="en-US" w:eastAsia="zh-CN"/>
        </w:rPr>
        <w:t>再认证</w:t>
      </w:r>
      <w:r>
        <w:rPr>
          <w:rFonts w:hint="eastAsia" w:ascii="仿宋" w:hAnsi="仿宋" w:eastAsia="仿宋" w:cs="仿宋"/>
          <w:color w:val="auto"/>
          <w:sz w:val="32"/>
          <w:szCs w:val="32"/>
          <w:highlight w:val="none"/>
          <w:u w:val="single"/>
          <w:lang w:val="en-US" w:eastAsia="zh-CN"/>
        </w:rPr>
        <w:t xml:space="preserve">相关管理体系文件及认证审查的相关资料收集 </w:t>
      </w:r>
      <w:r>
        <w:rPr>
          <w:rFonts w:hint="eastAsia" w:ascii="仿宋" w:hAnsi="仿宋" w:eastAsia="仿宋" w:cs="仿宋"/>
          <w:color w:val="auto"/>
          <w:sz w:val="32"/>
          <w:szCs w:val="32"/>
          <w:highlight w:val="none"/>
          <w:lang w:eastAsia="zh-CN"/>
        </w:rPr>
        <w:t>。交付物：</w:t>
      </w:r>
      <w:r>
        <w:rPr>
          <w:rFonts w:hint="eastAsia" w:ascii="仿宋" w:hAnsi="仿宋" w:eastAsia="仿宋" w:cs="仿宋"/>
          <w:color w:val="auto"/>
          <w:sz w:val="32"/>
          <w:szCs w:val="32"/>
          <w:highlight w:val="none"/>
          <w:u w:val="single"/>
          <w:lang w:val="en-US" w:eastAsia="zh-CN"/>
        </w:rPr>
        <w:t xml:space="preserve"> 管理体系文件一套，2024年外审资料一套，ISO20000体系证书 </w:t>
      </w:r>
      <w:r>
        <w:rPr>
          <w:rFonts w:hint="eastAsia" w:ascii="仿宋" w:hAnsi="仿宋" w:eastAsia="仿宋" w:cs="仿宋"/>
          <w:color w:val="auto"/>
          <w:sz w:val="32"/>
          <w:szCs w:val="32"/>
          <w:highlight w:val="none"/>
          <w:lang w:eastAsia="zh-CN"/>
        </w:rPr>
        <w:t>。</w:t>
      </w:r>
    </w:p>
    <w:bookmarkEnd w:id="7"/>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color w:val="auto"/>
          <w:kern w:val="2"/>
          <w:sz w:val="32"/>
          <w:szCs w:val="32"/>
          <w:highlight w:val="none"/>
          <w:lang w:val="en-US" w:eastAsia="zh-CN" w:bidi="ar-SA"/>
        </w:rPr>
      </w:pPr>
      <w:bookmarkStart w:id="8" w:name="_Toc8116"/>
      <w:r>
        <w:rPr>
          <w:rFonts w:hint="eastAsia" w:ascii="仿宋" w:hAnsi="仿宋" w:eastAsia="仿宋" w:cs="仿宋"/>
          <w:b/>
          <w:color w:val="auto"/>
          <w:kern w:val="2"/>
          <w:sz w:val="32"/>
          <w:szCs w:val="32"/>
          <w:highlight w:val="none"/>
          <w:lang w:val="en-US" w:eastAsia="zh-CN" w:bidi="ar-SA"/>
        </w:rPr>
        <w:t>（四）其它要求</w:t>
      </w:r>
      <w:bookmarkEnd w:id="8"/>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谈判对象针对本章节提出的要求提供详细服务工作方案进行应答描述，方案中需包含（但不限于）以下章节：总体服务思路、服务目标及重点、详细服务内容、服务工作计划、预期成果及交付物。</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9" w:name="_Toc32183"/>
      <w:bookmarkStart w:id="10" w:name="_Toc7001"/>
      <w:bookmarkStart w:id="11" w:name="_Toc18891"/>
      <w:bookmarkStart w:id="12" w:name="_Toc28835"/>
      <w:bookmarkStart w:id="13" w:name="_Toc27556"/>
      <w:bookmarkStart w:id="14" w:name="_Toc702"/>
      <w:bookmarkStart w:id="15" w:name="_Toc28539"/>
      <w:bookmarkStart w:id="16" w:name="_Toc17589"/>
      <w:bookmarkStart w:id="17" w:name="_Toc17068"/>
      <w:bookmarkStart w:id="18" w:name="_Toc13312"/>
      <w:bookmarkStart w:id="19" w:name="_Toc17314"/>
      <w:bookmarkStart w:id="20" w:name="_Toc25432"/>
      <w:bookmarkStart w:id="21" w:name="_Toc30634"/>
      <w:bookmarkStart w:id="22" w:name="_Toc25651"/>
      <w:bookmarkStart w:id="23" w:name="_Toc3751"/>
      <w:bookmarkStart w:id="24" w:name="_Toc22227"/>
      <w:bookmarkStart w:id="25" w:name="_Toc22606"/>
      <w:bookmarkStart w:id="26" w:name="_Toc32449"/>
      <w:bookmarkStart w:id="27" w:name="_Toc12693"/>
      <w:bookmarkStart w:id="28" w:name="_Toc22850"/>
      <w:bookmarkStart w:id="29" w:name="_Toc7979"/>
      <w:bookmarkStart w:id="30" w:name="_Toc27155"/>
      <w:bookmarkStart w:id="31" w:name="_Toc29982"/>
      <w:bookmarkStart w:id="32" w:name="_Toc7463"/>
      <w:bookmarkStart w:id="33" w:name="_Toc20114"/>
      <w:bookmarkStart w:id="34" w:name="_Toc3895"/>
      <w:bookmarkStart w:id="35" w:name="_Toc32075"/>
      <w:r>
        <w:rPr>
          <w:rFonts w:hint="eastAsia" w:ascii="黑体" w:hAnsi="黑体" w:eastAsia="黑体" w:cs="黑体"/>
          <w:b/>
          <w:bCs/>
          <w:sz w:val="32"/>
          <w:highlight w:val="none"/>
          <w:lang w:val="en-US" w:eastAsia="zh-CN"/>
        </w:rPr>
        <w:t>三、团队能力</w:t>
      </w:r>
      <w:bookmarkEnd w:id="9"/>
    </w:p>
    <w:p>
      <w:pPr>
        <w:pStyle w:val="2"/>
        <w:spacing w:line="360" w:lineRule="auto"/>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项目团队组成、负责人及项目组成员具体要求如下，谈判对象应提供本单位项目团队所有人员有关介绍及证明材料，证明材料包括但不限于人员的身份证明、劳动合同、社保证明、教育背景相关证明材料、参与项目履历及职业资质等：</w:t>
      </w:r>
    </w:p>
    <w:tbl>
      <w:tblPr>
        <w:tblStyle w:val="9"/>
        <w:tblW w:w="96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03"/>
        <w:gridCol w:w="879"/>
        <w:gridCol w:w="791"/>
        <w:gridCol w:w="1257"/>
        <w:gridCol w:w="3511"/>
        <w:gridCol w:w="25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4"/>
                <w:szCs w:val="24"/>
                <w:highlight w:val="none"/>
                <w:u w:val="none"/>
                <w:lang w:val="en-US" w:eastAsia="zh-CN" w:bidi="ar"/>
              </w:rPr>
            </w:pPr>
            <w:r>
              <w:rPr>
                <w:rFonts w:hint="eastAsia" w:ascii="仿宋" w:hAnsi="仿宋" w:eastAsia="仿宋" w:cs="仿宋"/>
                <w:b/>
                <w:i w:val="0"/>
                <w:color w:val="000000"/>
                <w:kern w:val="0"/>
                <w:sz w:val="24"/>
                <w:szCs w:val="24"/>
                <w:highlight w:val="none"/>
                <w:u w:val="none"/>
                <w:lang w:val="en-US" w:eastAsia="zh-CN" w:bidi="ar"/>
              </w:rPr>
              <w:t>序号</w:t>
            </w:r>
          </w:p>
        </w:tc>
        <w:tc>
          <w:tcPr>
            <w:tcW w:w="8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4"/>
                <w:szCs w:val="24"/>
                <w:highlight w:val="none"/>
                <w:u w:val="none"/>
                <w:lang w:val="en-US" w:eastAsia="zh-CN" w:bidi="ar"/>
              </w:rPr>
            </w:pPr>
            <w:r>
              <w:rPr>
                <w:rFonts w:hint="eastAsia" w:ascii="仿宋" w:hAnsi="仿宋" w:eastAsia="仿宋" w:cs="仿宋"/>
                <w:b/>
                <w:i w:val="0"/>
                <w:color w:val="000000"/>
                <w:kern w:val="0"/>
                <w:sz w:val="24"/>
                <w:szCs w:val="24"/>
                <w:highlight w:val="none"/>
                <w:u w:val="none"/>
                <w:lang w:val="en-US" w:eastAsia="zh-CN" w:bidi="ar"/>
              </w:rPr>
              <w:t>团队角色</w:t>
            </w: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4"/>
                <w:szCs w:val="24"/>
                <w:highlight w:val="none"/>
                <w:u w:val="none"/>
                <w:lang w:val="en-US" w:eastAsia="zh-CN" w:bidi="ar"/>
              </w:rPr>
            </w:pPr>
            <w:r>
              <w:rPr>
                <w:rFonts w:hint="eastAsia" w:ascii="仿宋" w:hAnsi="仿宋" w:eastAsia="仿宋" w:cs="仿宋"/>
                <w:b/>
                <w:i w:val="0"/>
                <w:color w:val="000000"/>
                <w:kern w:val="0"/>
                <w:sz w:val="24"/>
                <w:szCs w:val="24"/>
                <w:highlight w:val="none"/>
                <w:u w:val="none"/>
                <w:lang w:val="en-US" w:eastAsia="zh-CN" w:bidi="ar"/>
              </w:rPr>
              <w:t>人数</w:t>
            </w:r>
          </w:p>
        </w:tc>
        <w:tc>
          <w:tcPr>
            <w:tcW w:w="12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4"/>
                <w:szCs w:val="24"/>
                <w:highlight w:val="none"/>
                <w:u w:val="none"/>
                <w:lang w:val="en-US" w:eastAsia="zh-CN" w:bidi="ar"/>
              </w:rPr>
            </w:pPr>
            <w:r>
              <w:rPr>
                <w:rFonts w:hint="eastAsia" w:ascii="仿宋" w:hAnsi="仿宋" w:eastAsia="仿宋" w:cs="仿宋"/>
                <w:b/>
                <w:i w:val="0"/>
                <w:color w:val="000000"/>
                <w:kern w:val="0"/>
                <w:sz w:val="24"/>
                <w:szCs w:val="24"/>
                <w:highlight w:val="none"/>
                <w:u w:val="none"/>
                <w:lang w:val="en-US" w:eastAsia="zh-CN" w:bidi="ar"/>
              </w:rPr>
              <w:t>教育背景</w:t>
            </w:r>
          </w:p>
        </w:tc>
        <w:tc>
          <w:tcPr>
            <w:tcW w:w="3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kern w:val="0"/>
                <w:sz w:val="24"/>
                <w:szCs w:val="24"/>
                <w:highlight w:val="none"/>
                <w:u w:val="none"/>
                <w:lang w:val="en-US" w:eastAsia="zh-CN" w:bidi="ar"/>
              </w:rPr>
            </w:pPr>
            <w:r>
              <w:rPr>
                <w:rFonts w:hint="eastAsia" w:ascii="仿宋" w:hAnsi="仿宋" w:eastAsia="仿宋" w:cs="仿宋"/>
                <w:b/>
                <w:i w:val="0"/>
                <w:color w:val="000000"/>
                <w:kern w:val="0"/>
                <w:sz w:val="24"/>
                <w:szCs w:val="24"/>
                <w:highlight w:val="none"/>
                <w:u w:val="none"/>
                <w:lang w:val="en-US" w:eastAsia="zh-CN" w:bidi="ar"/>
              </w:rPr>
              <w:t>经验要求</w:t>
            </w:r>
          </w:p>
        </w:tc>
        <w:tc>
          <w:tcPr>
            <w:tcW w:w="25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i w:val="0"/>
                <w:color w:val="000000"/>
                <w:kern w:val="0"/>
                <w:sz w:val="24"/>
                <w:szCs w:val="24"/>
                <w:highlight w:val="none"/>
                <w:u w:val="none"/>
                <w:lang w:val="en-US" w:eastAsia="zh-CN" w:bidi="ar"/>
              </w:rPr>
            </w:pPr>
            <w:r>
              <w:rPr>
                <w:rFonts w:hint="eastAsia" w:ascii="仿宋" w:hAnsi="仿宋" w:eastAsia="仿宋" w:cs="仿宋"/>
                <w:b/>
                <w:i w:val="0"/>
                <w:color w:val="000000"/>
                <w:kern w:val="0"/>
                <w:sz w:val="24"/>
                <w:szCs w:val="24"/>
                <w:highlight w:val="none"/>
                <w:u w:val="none"/>
                <w:lang w:val="en-US" w:eastAsia="zh-CN" w:bidi="ar"/>
              </w:rPr>
              <w:t>资质要求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07"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1</w:t>
            </w:r>
          </w:p>
        </w:tc>
        <w:tc>
          <w:tcPr>
            <w:tcW w:w="8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项目负责人</w:t>
            </w: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1人</w:t>
            </w:r>
          </w:p>
        </w:tc>
        <w:tc>
          <w:tcPr>
            <w:tcW w:w="12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4"/>
                <w:szCs w:val="24"/>
                <w:highlight w:val="none"/>
                <w:u w:val="none"/>
                <w:lang w:val="en-US"/>
              </w:rPr>
            </w:pPr>
            <w:r>
              <w:rPr>
                <w:rFonts w:hint="eastAsia" w:ascii="仿宋" w:hAnsi="仿宋" w:eastAsia="仿宋" w:cs="仿宋"/>
                <w:i w:val="0"/>
                <w:color w:val="auto"/>
                <w:kern w:val="0"/>
                <w:sz w:val="24"/>
                <w:szCs w:val="24"/>
                <w:highlight w:val="none"/>
                <w:u w:val="none"/>
                <w:lang w:val="en-US" w:eastAsia="zh-CN" w:bidi="ar"/>
              </w:rPr>
              <w:t>不低于大学本科学历</w:t>
            </w:r>
          </w:p>
        </w:tc>
        <w:tc>
          <w:tcPr>
            <w:tcW w:w="3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4"/>
                <w:szCs w:val="24"/>
                <w:highlight w:val="none"/>
                <w:u w:val="none"/>
                <w:lang w:val="en-US"/>
              </w:rPr>
            </w:pPr>
            <w:r>
              <w:rPr>
                <w:rFonts w:hint="eastAsia" w:ascii="仿宋" w:hAnsi="仿宋" w:eastAsia="仿宋" w:cs="仿宋"/>
                <w:i w:val="0"/>
                <w:color w:val="auto"/>
                <w:kern w:val="0"/>
                <w:sz w:val="24"/>
                <w:szCs w:val="24"/>
                <w:highlight w:val="none"/>
                <w:u w:val="none"/>
                <w:lang w:val="en-US" w:eastAsia="zh-CN" w:bidi="ar"/>
              </w:rPr>
              <w:t>1.3年内，具有至少3项ISO管理体系认证服务项目经验且委托方成功通过ISO管理体系资质认证或年度审查</w:t>
            </w:r>
          </w:p>
        </w:tc>
        <w:tc>
          <w:tcPr>
            <w:tcW w:w="25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numPr>
                <w:ilvl w:val="0"/>
                <w:numId w:val="2"/>
              </w:numPr>
              <w:suppressLineNumbers w:val="0"/>
              <w:jc w:val="left"/>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不低于大学本科学历和具备国家注册审核员证书（有效期内）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2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2</w:t>
            </w:r>
          </w:p>
        </w:tc>
        <w:tc>
          <w:tcPr>
            <w:tcW w:w="8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项目组成员</w:t>
            </w: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不少于2人</w:t>
            </w:r>
          </w:p>
        </w:tc>
        <w:tc>
          <w:tcPr>
            <w:tcW w:w="12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不低于大学本科学历</w:t>
            </w:r>
          </w:p>
        </w:tc>
        <w:tc>
          <w:tcPr>
            <w:tcW w:w="3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4"/>
                <w:szCs w:val="24"/>
                <w:highlight w:val="none"/>
                <w:u w:val="none"/>
                <w:lang w:val="en-US"/>
              </w:rPr>
            </w:pPr>
            <w:r>
              <w:rPr>
                <w:rFonts w:hint="eastAsia" w:ascii="仿宋" w:hAnsi="仿宋" w:eastAsia="仿宋" w:cs="仿宋"/>
                <w:i w:val="0"/>
                <w:color w:val="auto"/>
                <w:kern w:val="0"/>
                <w:sz w:val="24"/>
                <w:szCs w:val="24"/>
                <w:highlight w:val="none"/>
                <w:u w:val="none"/>
                <w:lang w:val="en-US" w:eastAsia="zh-CN" w:bidi="ar"/>
              </w:rPr>
              <w:t>1.3年内，每人具有至少1项ISO管理体系认证服务项目经验。</w:t>
            </w:r>
          </w:p>
        </w:tc>
        <w:tc>
          <w:tcPr>
            <w:tcW w:w="25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numPr>
                <w:ilvl w:val="0"/>
                <w:numId w:val="3"/>
              </w:numPr>
              <w:suppressLineNumbers w:val="0"/>
              <w:jc w:val="left"/>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1"/>
                <w:szCs w:val="21"/>
                <w:highlight w:val="none"/>
                <w:u w:val="none"/>
                <w:lang w:val="en-US" w:eastAsia="zh-CN" w:bidi="ar"/>
              </w:rPr>
              <w:t>国家注册审核员证书（有效期内）</w:t>
            </w:r>
          </w:p>
        </w:tc>
      </w:t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tbl>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36" w:name="_Toc2221"/>
      <w:r>
        <w:rPr>
          <w:rFonts w:hint="eastAsia" w:ascii="黑体" w:hAnsi="黑体" w:eastAsia="黑体" w:cs="黑体"/>
          <w:b/>
          <w:bCs/>
          <w:sz w:val="32"/>
          <w:highlight w:val="none"/>
          <w:lang w:val="en-US" w:eastAsia="zh-CN"/>
        </w:rPr>
        <w:t>四、项目保证</w:t>
      </w:r>
      <w:bookmarkEnd w:id="35"/>
      <w:bookmarkEnd w:id="36"/>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default" w:ascii="仿宋" w:hAnsi="仿宋" w:eastAsia="仿宋" w:cs="仿宋"/>
          <w:b/>
          <w:color w:val="auto"/>
          <w:kern w:val="2"/>
          <w:sz w:val="32"/>
          <w:szCs w:val="32"/>
          <w:highlight w:val="none"/>
          <w:lang w:val="en-US" w:eastAsia="zh-CN" w:bidi="ar-SA"/>
        </w:rPr>
      </w:pPr>
      <w:bookmarkStart w:id="37" w:name="_Toc32253"/>
      <w:bookmarkStart w:id="38" w:name="_Toc7205"/>
      <w:bookmarkStart w:id="39" w:name="_Toc25549"/>
      <w:bookmarkStart w:id="40" w:name="_Toc14492"/>
      <w:bookmarkStart w:id="41" w:name="_Toc8923"/>
      <w:bookmarkStart w:id="42" w:name="_Toc8060"/>
      <w:bookmarkStart w:id="43" w:name="_Toc12820"/>
      <w:bookmarkStart w:id="44" w:name="_Toc2894"/>
      <w:bookmarkStart w:id="45" w:name="_Toc5768"/>
      <w:bookmarkStart w:id="46" w:name="_Toc10612"/>
      <w:bookmarkStart w:id="47" w:name="_Toc2852"/>
      <w:bookmarkStart w:id="48" w:name="_Toc21928"/>
      <w:bookmarkStart w:id="49" w:name="_Toc23692"/>
      <w:bookmarkStart w:id="50" w:name="_Toc31474"/>
      <w:bookmarkStart w:id="51" w:name="_Toc9388"/>
      <w:bookmarkStart w:id="52" w:name="_Toc30559"/>
      <w:bookmarkStart w:id="53" w:name="_Toc31455"/>
      <w:bookmarkStart w:id="54" w:name="_Toc19559"/>
      <w:bookmarkStart w:id="55" w:name="_Toc1562"/>
      <w:bookmarkStart w:id="56" w:name="_Toc10112"/>
      <w:bookmarkStart w:id="57" w:name="_Toc3915"/>
      <w:bookmarkStart w:id="58" w:name="_Toc657"/>
      <w:bookmarkStart w:id="59" w:name="_Toc7133"/>
      <w:bookmarkStart w:id="60" w:name="_Toc17458"/>
      <w:bookmarkStart w:id="61" w:name="_Toc14340"/>
      <w:bookmarkStart w:id="62" w:name="_Toc8633"/>
      <w:r>
        <w:rPr>
          <w:rFonts w:hint="eastAsia" w:ascii="仿宋" w:hAnsi="仿宋" w:eastAsia="仿宋" w:cs="仿宋"/>
          <w:b/>
          <w:color w:val="auto"/>
          <w:kern w:val="2"/>
          <w:sz w:val="32"/>
          <w:szCs w:val="32"/>
          <w:highlight w:val="none"/>
          <w:lang w:val="en-US" w:eastAsia="zh-CN" w:bidi="ar-SA"/>
        </w:rPr>
        <w:t>（一）实施保证</w:t>
      </w:r>
      <w:bookmarkEnd w:id="37"/>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1.项目过程中有明确的实施方案、项目进度计划及保密承诺。在要求服务周期内，完成合同约定的研究任务，提交满足本技术约定的技术服务成果。</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2.谈判对象应按要求组织项目团队，项目团队应保持稳定，未经采购人同意，不得更换项目经理和项目组成员。任何人员变更必须提前1个月，书面通知采购人，经采购人同意后方可变更。</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3.谈判对象应提供审核现场提供支撑服务，资质评估审核期间，谈判对象必须提供驻场支撑服务，其他时间段，根据采购人需求提供驻场支撑服务。</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4.谈判对象应承诺，在证书有效期内，应免费为采购人提供证书变更服务。</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5.谈判对象应承诺，实施评估的过程中产生的交通、住宿等差旅费用自理。</w:t>
      </w:r>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color w:val="auto"/>
          <w:kern w:val="2"/>
          <w:sz w:val="32"/>
          <w:szCs w:val="32"/>
          <w:highlight w:val="none"/>
          <w:lang w:val="en-US" w:eastAsia="zh-CN" w:bidi="ar-SA"/>
        </w:rPr>
      </w:pPr>
      <w:bookmarkStart w:id="63" w:name="_Toc3049"/>
      <w:r>
        <w:rPr>
          <w:rFonts w:hint="eastAsia" w:ascii="仿宋" w:hAnsi="仿宋" w:eastAsia="仿宋" w:cs="仿宋"/>
          <w:b/>
          <w:color w:val="auto"/>
          <w:kern w:val="2"/>
          <w:sz w:val="32"/>
          <w:szCs w:val="32"/>
          <w:highlight w:val="none"/>
          <w:lang w:val="en-US" w:eastAsia="zh-CN" w:bidi="ar-SA"/>
        </w:rPr>
        <w:t>（二）质量保证</w:t>
      </w:r>
      <w:bookmarkEnd w:id="63"/>
    </w:p>
    <w:p>
      <w:pPr>
        <w:keepNext w:val="0"/>
        <w:keepLines w:val="0"/>
        <w:pageBreakBefore w:val="0"/>
        <w:widowControl w:val="0"/>
        <w:numPr>
          <w:ilvl w:val="0"/>
          <w:numId w:val="0"/>
        </w:numPr>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谈判对象应为采购人提供专业的认证服务团队，确保采购人在服务期内顺利完成ISO27001信息安全管理体系年审、ISO20000信息技术服务管理体系</w:t>
      </w:r>
      <w:r>
        <w:rPr>
          <w:rFonts w:hint="default" w:ascii="仿宋" w:hAnsi="仿宋" w:eastAsia="仿宋" w:cs="仿宋"/>
          <w:kern w:val="0"/>
          <w:sz w:val="32"/>
          <w:szCs w:val="32"/>
          <w:highlight w:val="none"/>
          <w:lang w:val="en-US" w:eastAsia="zh-CN"/>
        </w:rPr>
        <w:t>再认证</w:t>
      </w:r>
      <w:r>
        <w:rPr>
          <w:rFonts w:hint="eastAsia" w:ascii="仿宋" w:hAnsi="仿宋" w:eastAsia="仿宋" w:cs="仿宋"/>
          <w:kern w:val="0"/>
          <w:sz w:val="32"/>
          <w:szCs w:val="32"/>
          <w:highlight w:val="none"/>
          <w:lang w:val="en-US" w:eastAsia="zh-CN"/>
        </w:rPr>
        <w:t>工作。</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3" w:firstLineChars="200"/>
        <w:textAlignment w:val="auto"/>
        <w:outlineLvl w:val="1"/>
        <w:rPr>
          <w:rFonts w:hint="eastAsia" w:ascii="仿宋" w:hAnsi="仿宋" w:eastAsia="仿宋" w:cs="仿宋"/>
          <w:kern w:val="0"/>
          <w:sz w:val="32"/>
          <w:szCs w:val="32"/>
          <w:highlight w:val="none"/>
          <w:lang w:val="en-US" w:eastAsia="zh-CN"/>
        </w:rPr>
      </w:pPr>
      <w:bookmarkStart w:id="64" w:name="_Toc18241"/>
      <w:r>
        <w:rPr>
          <w:rFonts w:hint="eastAsia" w:ascii="仿宋" w:hAnsi="仿宋" w:eastAsia="仿宋" w:cs="仿宋"/>
          <w:b/>
          <w:color w:val="auto"/>
          <w:kern w:val="2"/>
          <w:sz w:val="32"/>
          <w:szCs w:val="32"/>
          <w:highlight w:val="none"/>
          <w:lang w:val="en-US" w:eastAsia="zh-CN" w:bidi="ar-SA"/>
        </w:rPr>
        <w:t>（三）保密及知识产权保证</w:t>
      </w:r>
      <w:bookmarkEnd w:id="64"/>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谈判对象应对在实施咨询过程中获知的采购人相关秘密信息严格保密，妥善保管不得向第三方透露。咨询过程中产生的咨询成果（包括但不限于咨询文档）的知识产权归采购人所有。项目结束时，所有项目文档必须移交采购人，不得留存，不得向第三方泄露。否则，采购人有权依法追究其法律责任。</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3" w:firstLineChars="200"/>
        <w:textAlignment w:val="auto"/>
        <w:outlineLvl w:val="1"/>
        <w:rPr>
          <w:rFonts w:hint="eastAsia" w:ascii="仿宋" w:hAnsi="仿宋" w:eastAsia="仿宋" w:cs="仿宋"/>
          <w:b/>
          <w:color w:val="auto"/>
          <w:kern w:val="2"/>
          <w:sz w:val="32"/>
          <w:szCs w:val="32"/>
          <w:highlight w:val="none"/>
          <w:lang w:val="en-US" w:eastAsia="zh-CN" w:bidi="ar-SA"/>
        </w:rPr>
      </w:pPr>
      <w:bookmarkStart w:id="65" w:name="_Toc6610"/>
      <w:r>
        <w:rPr>
          <w:rFonts w:hint="eastAsia" w:ascii="仿宋" w:hAnsi="仿宋" w:eastAsia="仿宋" w:cs="仿宋"/>
          <w:b/>
          <w:color w:val="auto"/>
          <w:kern w:val="2"/>
          <w:sz w:val="32"/>
          <w:szCs w:val="32"/>
          <w:highlight w:val="none"/>
          <w:lang w:val="en-US" w:eastAsia="zh-CN" w:bidi="ar-SA"/>
        </w:rPr>
        <w:t>（四）服务保证及质保保证</w:t>
      </w:r>
      <w:bookmarkEnd w:id="65"/>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1.谈判对象应承诺在服务期和质保期内应提供及时的指导、协助认证服务，针对采购人提出的咨询需求，谈判对象回复时间应在3个小时内进行回复。</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2.认证通过后，在资质有效期内认证公司应提供售后服务，期间提供现场和远程（包括但不限于电话、电邮、传真、即时通信等方式）的售后服务和技术支持（每年现场不少于3次的现场服务），以协助解决项目中的问题和风险，通告质量管理领域的培训、产品发布、技术交流等活动的信息。如在资质有效期内，谈判对象因服务质量导致采购人损失或拒不服务的，采购人有权依法追究其法律责任。</w:t>
      </w:r>
    </w:p>
    <w:p>
      <w:pPr>
        <w:spacing w:afterLines="0"/>
        <w:ind w:firstLine="640" w:firstLineChars="200"/>
        <w:rPr>
          <w:rFonts w:hint="eastAsia" w:ascii="仿宋" w:hAnsi="仿宋" w:eastAsia="仿宋" w:cs="仿宋"/>
          <w:color w:val="auto"/>
          <w:ker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Pr>
        <w:rPr>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F091C"/>
    <w:multiLevelType w:val="singleLevel"/>
    <w:tmpl w:val="8C8F091C"/>
    <w:lvl w:ilvl="0" w:tentative="0">
      <w:start w:val="1"/>
      <w:numFmt w:val="decimal"/>
      <w:lvlText w:val="%1."/>
      <w:lvlJc w:val="left"/>
      <w:pPr>
        <w:tabs>
          <w:tab w:val="left" w:pos="312"/>
        </w:tabs>
      </w:pPr>
    </w:lvl>
  </w:abstractNum>
  <w:abstractNum w:abstractNumId="1">
    <w:nsid w:val="A31208F9"/>
    <w:multiLevelType w:val="singleLevel"/>
    <w:tmpl w:val="A31208F9"/>
    <w:lvl w:ilvl="0" w:tentative="0">
      <w:start w:val="1"/>
      <w:numFmt w:val="chineseCounting"/>
      <w:suff w:val="nothing"/>
      <w:lvlText w:val="%1、"/>
      <w:lvlJc w:val="left"/>
      <w:rPr>
        <w:rFonts w:hint="eastAsia"/>
      </w:rPr>
    </w:lvl>
  </w:abstractNum>
  <w:abstractNum w:abstractNumId="2">
    <w:nsid w:val="C4C3C190"/>
    <w:multiLevelType w:val="singleLevel"/>
    <w:tmpl w:val="C4C3C190"/>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2N2I0ZDJkNjY4NDQ3YzVhZDYyZThlZDhlMTAyYzMifQ=="/>
    <w:docVar w:name="KSO_WPS_MARK_KEY" w:val="de43ca9e-c46d-4563-bfff-a79a3b468a9a"/>
  </w:docVars>
  <w:rsids>
    <w:rsidRoot w:val="6105315D"/>
    <w:rsid w:val="014E3F48"/>
    <w:rsid w:val="04824022"/>
    <w:rsid w:val="04CC7269"/>
    <w:rsid w:val="063535BE"/>
    <w:rsid w:val="08510275"/>
    <w:rsid w:val="0A89660C"/>
    <w:rsid w:val="0B372290"/>
    <w:rsid w:val="0DCC2E6B"/>
    <w:rsid w:val="11B62D5B"/>
    <w:rsid w:val="12700DEF"/>
    <w:rsid w:val="12941941"/>
    <w:rsid w:val="132210E9"/>
    <w:rsid w:val="15CB4A18"/>
    <w:rsid w:val="17E45B88"/>
    <w:rsid w:val="1A406455"/>
    <w:rsid w:val="1B375CC0"/>
    <w:rsid w:val="1B47265E"/>
    <w:rsid w:val="1F893B80"/>
    <w:rsid w:val="21523549"/>
    <w:rsid w:val="22A961C1"/>
    <w:rsid w:val="23266F80"/>
    <w:rsid w:val="24A27578"/>
    <w:rsid w:val="25792FF7"/>
    <w:rsid w:val="25985723"/>
    <w:rsid w:val="25D11905"/>
    <w:rsid w:val="2DAF34FC"/>
    <w:rsid w:val="302428C3"/>
    <w:rsid w:val="3082613C"/>
    <w:rsid w:val="31727C62"/>
    <w:rsid w:val="32851872"/>
    <w:rsid w:val="32A64F84"/>
    <w:rsid w:val="33FA2982"/>
    <w:rsid w:val="3AF843AC"/>
    <w:rsid w:val="3BEB68F8"/>
    <w:rsid w:val="3E4B7337"/>
    <w:rsid w:val="3F0A75EB"/>
    <w:rsid w:val="3F55172E"/>
    <w:rsid w:val="3FE636C5"/>
    <w:rsid w:val="40E733B8"/>
    <w:rsid w:val="41053ABB"/>
    <w:rsid w:val="44CD58F0"/>
    <w:rsid w:val="44EA211C"/>
    <w:rsid w:val="47E70599"/>
    <w:rsid w:val="49303C2F"/>
    <w:rsid w:val="497417A2"/>
    <w:rsid w:val="49CC040B"/>
    <w:rsid w:val="4CD65B37"/>
    <w:rsid w:val="4F304095"/>
    <w:rsid w:val="4F5F5DAD"/>
    <w:rsid w:val="53A90A11"/>
    <w:rsid w:val="54447BD0"/>
    <w:rsid w:val="54A73895"/>
    <w:rsid w:val="5A301BC0"/>
    <w:rsid w:val="5C50785D"/>
    <w:rsid w:val="5CCF604B"/>
    <w:rsid w:val="5CD93BD8"/>
    <w:rsid w:val="5DAD1ABB"/>
    <w:rsid w:val="5E884A50"/>
    <w:rsid w:val="5FCB0620"/>
    <w:rsid w:val="609B0E37"/>
    <w:rsid w:val="6105315D"/>
    <w:rsid w:val="61E424C4"/>
    <w:rsid w:val="61F422E4"/>
    <w:rsid w:val="62846BCD"/>
    <w:rsid w:val="63467B6E"/>
    <w:rsid w:val="6527253A"/>
    <w:rsid w:val="65A031EE"/>
    <w:rsid w:val="65B81A3F"/>
    <w:rsid w:val="67461774"/>
    <w:rsid w:val="690B2341"/>
    <w:rsid w:val="6B5064D8"/>
    <w:rsid w:val="6C7A2DCB"/>
    <w:rsid w:val="6C8B2450"/>
    <w:rsid w:val="6D263CB2"/>
    <w:rsid w:val="6D6B6F2D"/>
    <w:rsid w:val="6DF25D65"/>
    <w:rsid w:val="70CE5CCD"/>
    <w:rsid w:val="739844CE"/>
    <w:rsid w:val="73DC6FD6"/>
    <w:rsid w:val="74A40DB8"/>
    <w:rsid w:val="74E65F09"/>
    <w:rsid w:val="775D58F5"/>
    <w:rsid w:val="778479BC"/>
    <w:rsid w:val="77BB1348"/>
    <w:rsid w:val="7CC86647"/>
    <w:rsid w:val="7CDC4829"/>
    <w:rsid w:val="7DA27B45"/>
    <w:rsid w:val="7E836F28"/>
    <w:rsid w:val="7FB52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customStyle="1" w:styleId="11">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2">
    <w:name w:val="封面标题"/>
    <w:basedOn w:val="1"/>
    <w:qFormat/>
    <w:uiPriority w:val="0"/>
    <w:pPr>
      <w:jc w:val="center"/>
    </w:pPr>
    <w:rPr>
      <w:rFonts w:eastAsia="黑体"/>
      <w:sz w:val="48"/>
      <w:szCs w:val="20"/>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 w:type="paragraph" w:customStyle="1" w:styleId="15">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6"/>
    <w:qFormat/>
    <w:uiPriority w:val="0"/>
    <w:pPr>
      <w:widowControl w:val="0"/>
      <w:jc w:val="both"/>
    </w:pPr>
    <w:rPr>
      <w:kern w:val="2"/>
      <w:sz w:val="21"/>
      <w:szCs w:val="24"/>
      <w:lang w:val="en-US" w:eastAsia="zh-CN" w:bidi="ar-SA"/>
    </w:rPr>
  </w:style>
  <w:style w:type="paragraph" w:customStyle="1" w:styleId="16">
    <w:name w:val="图表目录1"/>
    <w:basedOn w:val="15"/>
    <w:next w:val="15"/>
    <w:qFormat/>
    <w:uiPriority w:val="0"/>
    <w:pPr>
      <w:ind w:left="200" w:leftChars="200" w:hanging="200" w:hanging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2602</Words>
  <Characters>2939</Characters>
  <Lines>0</Lines>
  <Paragraphs>0</Paragraphs>
  <TotalTime>4</TotalTime>
  <ScaleCrop>false</ScaleCrop>
  <LinksUpToDate>false</LinksUpToDate>
  <CharactersWithSpaces>3003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2023-03-20T10:07:00Z</dcterms:created>
  <dc:creator>段怡20:24:42</dc:creator>
  <cp:lastModifiedBy>wangjq</cp:lastModifiedBy>
  <dcterms:modified xsi:type="dcterms:W3CDTF">2024-05-08T09:36:24Z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B1F3C667D87A44E19EDB498FA7059732</vt:lpwstr>
  </property>
</Properties>
</file>