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24" w:beforeLines="200" w:line="360" w:lineRule="auto"/>
        <w:jc w:val="center"/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</w:pPr>
      <w:bookmarkStart w:id="0" w:name="_Toc131168595"/>
      <w:bookmarkStart w:id="1" w:name="_Toc183578143"/>
      <w:bookmarkStart w:id="2" w:name="_Toc131133981"/>
      <w:bookmarkStart w:id="3" w:name="_Toc131134327"/>
      <w:bookmarkStart w:id="4" w:name="_Toc131134226"/>
      <w:bookmarkStart w:id="5" w:name="_Toc114028927"/>
      <w:bookmarkStart w:id="6" w:name="SectionMark0"/>
      <w:r>
        <w:rPr>
          <w:rFonts w:ascii="微软雅黑" w:hAnsi="微软雅黑" w:eastAsia="微软雅黑"/>
          <w:b/>
          <w:i w:val="0"/>
          <w:iCs w:val="0"/>
          <w:sz w:val="5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-1141095</wp:posOffset>
            </wp:positionH>
            <wp:positionV relativeFrom="paragraph">
              <wp:posOffset>-914400</wp:posOffset>
            </wp:positionV>
            <wp:extent cx="7578090" cy="2736850"/>
            <wp:effectExtent l="0" t="0" r="3810" b="6350"/>
            <wp:wrapTight wrapText="bothSides">
              <wp:wrapPolygon>
                <wp:start x="21592" y="-2"/>
                <wp:lineTo x="0" y="0"/>
                <wp:lineTo x="0" y="21599"/>
                <wp:lineTo x="21592" y="21601"/>
                <wp:lineTo x="8" y="21601"/>
                <wp:lineTo x="21600" y="21599"/>
                <wp:lineTo x="21600" y="0"/>
                <wp:lineTo x="8" y="-2"/>
                <wp:lineTo x="21592" y="-2"/>
              </wp:wrapPolygon>
            </wp:wrapTight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7809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/>
          <w:b/>
          <w:i w:val="0"/>
          <w:iCs w:val="0"/>
          <w:sz w:val="52"/>
          <w:szCs w:val="22"/>
          <w:lang w:val="en-US" w:eastAsia="zh-CN"/>
        </w:rPr>
        <w:t>2024</w:t>
      </w:r>
      <w:r>
        <w:rPr>
          <w:rFonts w:hint="eastAsia" w:ascii="黑体" w:hAnsi="黑体" w:eastAsia="黑体"/>
          <w:b/>
          <w:i w:val="0"/>
          <w:iCs w:val="0"/>
          <w:sz w:val="52"/>
          <w:szCs w:val="22"/>
        </w:rPr>
        <w:t>年</w:t>
      </w:r>
      <w:r>
        <w:rPr>
          <w:rFonts w:hint="eastAsia" w:ascii="黑体" w:hAnsi="黑体" w:eastAsia="黑体"/>
          <w:b/>
          <w:i w:val="0"/>
          <w:iCs w:val="0"/>
          <w:sz w:val="52"/>
          <w:szCs w:val="22"/>
          <w:lang w:eastAsia="zh-CN"/>
        </w:rPr>
        <w:t>南</w:t>
      </w:r>
      <w:r>
        <w:rPr>
          <w:rFonts w:hint="eastAsia" w:ascii="黑体" w:hAnsi="黑体" w:eastAsia="黑体"/>
          <w:b/>
          <w:i w:val="0"/>
          <w:iCs w:val="0"/>
          <w:sz w:val="52"/>
          <w:szCs w:val="22"/>
          <w:lang w:val="en-US" w:eastAsia="zh-CN"/>
        </w:rPr>
        <w:t>方电网数字平台科技（广东）有限公司</w:t>
      </w:r>
      <w:r>
        <w:rPr>
          <w:rFonts w:hint="eastAsia" w:ascii="黑体" w:hAnsi="黑体" w:eastAsia="黑体" w:cs="Times New Roman"/>
          <w:b/>
          <w:i w:val="0"/>
          <w:iCs w:val="0"/>
          <w:sz w:val="52"/>
          <w:szCs w:val="22"/>
          <w:lang w:val="en-US" w:eastAsia="zh-CN"/>
        </w:rPr>
        <w:t>公共药品采购项目</w:t>
      </w:r>
    </w:p>
    <w:p>
      <w:pPr>
        <w:spacing w:before="624" w:beforeLines="200" w:line="360" w:lineRule="auto"/>
        <w:jc w:val="center"/>
        <w:rPr>
          <w:rFonts w:hint="eastAsia" w:ascii="黑体" w:hAnsi="黑体" w:eastAsia="黑体" w:cs="Times New Roman"/>
          <w:b/>
          <w:i w:val="0"/>
          <w:iCs w:val="0"/>
          <w:sz w:val="52"/>
          <w:szCs w:val="22"/>
          <w:lang w:val="en-US" w:eastAsia="zh-CN"/>
        </w:rPr>
      </w:pPr>
      <w:r>
        <w:rPr>
          <w:rFonts w:hint="eastAsia" w:ascii="黑体" w:hAnsi="黑体" w:eastAsia="黑体" w:cs="Times New Roman"/>
          <w:b/>
          <w:i w:val="0"/>
          <w:iCs w:val="0"/>
          <w:sz w:val="52"/>
          <w:szCs w:val="22"/>
          <w:lang w:val="en-US" w:eastAsia="zh-CN"/>
        </w:rPr>
        <w:t>技术规范书</w:t>
      </w:r>
    </w:p>
    <w:p>
      <w:pPr>
        <w:spacing w:before="624" w:beforeLines="200" w:line="360" w:lineRule="auto"/>
        <w:ind w:firstLine="2168" w:firstLineChars="600"/>
        <w:jc w:val="both"/>
        <w:rPr>
          <w:rFonts w:hint="eastAsia" w:ascii="黑体" w:hAnsi="黑体" w:eastAsia="黑体"/>
          <w:b/>
          <w:i w:val="0"/>
          <w:iCs w:val="0"/>
          <w:sz w:val="36"/>
        </w:rPr>
      </w:pPr>
      <w:r>
        <w:rPr>
          <w:rFonts w:hint="eastAsia" w:ascii="黑体" w:hAnsi="黑体" w:eastAsia="黑体"/>
          <w:b/>
          <w:i w:val="0"/>
          <w:iCs w:val="0"/>
          <w:sz w:val="36"/>
          <w:lang w:eastAsia="zh-CN"/>
        </w:rPr>
        <w:t>批准</w:t>
      </w:r>
      <w:r>
        <w:rPr>
          <w:rFonts w:hint="eastAsia" w:ascii="黑体" w:hAnsi="黑体" w:eastAsia="黑体"/>
          <w:b/>
          <w:i w:val="0"/>
          <w:iCs w:val="0"/>
          <w:sz w:val="36"/>
        </w:rPr>
        <w:t>：</w:t>
      </w:r>
    </w:p>
    <w:p>
      <w:pPr>
        <w:spacing w:before="624" w:beforeLines="200" w:line="360" w:lineRule="auto"/>
        <w:ind w:firstLine="2168" w:firstLineChars="600"/>
        <w:jc w:val="left"/>
        <w:rPr>
          <w:rFonts w:hint="eastAsia" w:ascii="黑体" w:hAnsi="黑体" w:eastAsia="黑体"/>
          <w:b/>
          <w:i w:val="0"/>
          <w:iCs w:val="0"/>
          <w:sz w:val="36"/>
        </w:rPr>
      </w:pPr>
      <w:r>
        <w:rPr>
          <w:rFonts w:hint="eastAsia" w:ascii="黑体" w:hAnsi="黑体" w:eastAsia="黑体"/>
          <w:b/>
          <w:i w:val="0"/>
          <w:iCs w:val="0"/>
          <w:sz w:val="36"/>
          <w:lang w:eastAsia="zh-CN"/>
        </w:rPr>
        <w:t>审核</w:t>
      </w:r>
      <w:r>
        <w:rPr>
          <w:rFonts w:hint="eastAsia" w:ascii="黑体" w:hAnsi="黑体" w:eastAsia="黑体"/>
          <w:b/>
          <w:i w:val="0"/>
          <w:iCs w:val="0"/>
          <w:sz w:val="36"/>
        </w:rPr>
        <w:t>：</w:t>
      </w:r>
    </w:p>
    <w:p>
      <w:pPr>
        <w:spacing w:before="624" w:beforeLines="200" w:line="360" w:lineRule="auto"/>
        <w:ind w:firstLine="2168" w:firstLineChars="600"/>
        <w:jc w:val="left"/>
        <w:rPr>
          <w:rFonts w:hint="eastAsia" w:ascii="黑体" w:hAnsi="黑体" w:eastAsia="黑体"/>
          <w:b/>
          <w:i w:val="0"/>
          <w:iCs w:val="0"/>
          <w:sz w:val="36"/>
        </w:rPr>
      </w:pPr>
      <w:r>
        <w:rPr>
          <w:rFonts w:hint="eastAsia" w:ascii="黑体" w:hAnsi="黑体" w:eastAsia="黑体"/>
          <w:b/>
          <w:i w:val="0"/>
          <w:iCs w:val="0"/>
          <w:sz w:val="36"/>
          <w:lang w:eastAsia="zh-CN"/>
        </w:rPr>
        <w:t>编制：</w:t>
      </w:r>
    </w:p>
    <w:p>
      <w:pPr>
        <w:spacing w:before="624" w:beforeLines="200" w:line="360" w:lineRule="auto"/>
        <w:jc w:val="center"/>
        <w:rPr>
          <w:rFonts w:hint="eastAsia" w:ascii="黑体" w:hAnsi="黑体" w:eastAsia="黑体"/>
          <w:b/>
          <w:i w:val="0"/>
          <w:iCs w:val="0"/>
          <w:sz w:val="36"/>
          <w:lang w:eastAsia="zh-CN"/>
        </w:rPr>
      </w:pPr>
      <w:r>
        <w:rPr>
          <w:rFonts w:hint="eastAsia" w:ascii="黑体" w:hAnsi="黑体" w:eastAsia="黑体"/>
          <w:b/>
          <w:i w:val="0"/>
          <w:iCs w:val="0"/>
          <w:sz w:val="36"/>
          <w:lang w:eastAsia="zh-CN"/>
        </w:rPr>
        <w:t>南方电网数字平台科技（广东）有限公司</w:t>
      </w:r>
    </w:p>
    <w:p>
      <w:pPr>
        <w:spacing w:line="360" w:lineRule="auto"/>
        <w:jc w:val="center"/>
        <w:rPr>
          <w:rFonts w:hint="eastAsia" w:ascii="黑体" w:hAnsi="黑体" w:eastAsia="黑体"/>
          <w:b/>
          <w:i w:val="0"/>
          <w:iCs w:val="0"/>
          <w:sz w:val="36"/>
        </w:rPr>
      </w:pPr>
      <w:r>
        <w:rPr>
          <w:rFonts w:hint="eastAsia" w:ascii="黑体" w:hAnsi="黑体" w:eastAsia="黑体"/>
          <w:b/>
          <w:i w:val="0"/>
          <w:iCs w:val="0"/>
          <w:sz w:val="36"/>
        </w:rPr>
        <w:t>20</w:t>
      </w:r>
      <w:r>
        <w:rPr>
          <w:rFonts w:hint="eastAsia" w:ascii="黑体" w:hAnsi="黑体" w:eastAsia="黑体"/>
          <w:b/>
          <w:i w:val="0"/>
          <w:iCs w:val="0"/>
          <w:sz w:val="36"/>
          <w:lang w:val="en-US" w:eastAsia="zh-CN"/>
        </w:rPr>
        <w:t>24</w:t>
      </w:r>
      <w:r>
        <w:rPr>
          <w:rFonts w:hint="eastAsia" w:ascii="黑体" w:hAnsi="黑体" w:eastAsia="黑体"/>
          <w:b/>
          <w:i w:val="0"/>
          <w:iCs w:val="0"/>
          <w:sz w:val="36"/>
        </w:rPr>
        <w:t>年</w:t>
      </w:r>
      <w:r>
        <w:rPr>
          <w:rFonts w:hint="eastAsia" w:ascii="黑体" w:hAnsi="黑体" w:eastAsia="黑体"/>
          <w:b/>
          <w:i w:val="0"/>
          <w:iCs w:val="0"/>
          <w:sz w:val="36"/>
          <w:lang w:val="en-US" w:eastAsia="zh-CN"/>
        </w:rPr>
        <w:t>4</w:t>
      </w:r>
      <w:r>
        <w:rPr>
          <w:rFonts w:hint="eastAsia" w:ascii="黑体" w:hAnsi="黑体" w:eastAsia="黑体"/>
          <w:b/>
          <w:i w:val="0"/>
          <w:iCs w:val="0"/>
          <w:sz w:val="36"/>
        </w:rPr>
        <w:t xml:space="preserve">月  </w:t>
      </w:r>
      <w:bookmarkEnd w:id="0"/>
      <w:bookmarkEnd w:id="1"/>
      <w:bookmarkEnd w:id="2"/>
      <w:bookmarkEnd w:id="3"/>
      <w:bookmarkEnd w:id="4"/>
      <w:bookmarkEnd w:id="5"/>
    </w:p>
    <w:p>
      <w:pPr>
        <w:pageBreakBefore/>
        <w:rPr>
          <w:rFonts w:hint="eastAsia" w:ascii="宋体" w:hAnsi="宋体" w:cs="宋体"/>
          <w:b/>
          <w:spacing w:val="24"/>
          <w:position w:val="-6"/>
          <w:sz w:val="36"/>
          <w:szCs w:val="36"/>
        </w:rPr>
      </w:pPr>
    </w:p>
    <w:bookmarkEnd w:id="6"/>
    <w:p>
      <w:pPr>
        <w:adjustRightInd w:val="0"/>
        <w:spacing w:line="360" w:lineRule="auto"/>
        <w:jc w:val="center"/>
        <w:textAlignment w:val="baseline"/>
        <w:rPr>
          <w:rFonts w:hint="eastAsia" w:ascii="宋体" w:hAnsi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</w:rPr>
        <w:t>目录</w:t>
      </w:r>
    </w:p>
    <w:p>
      <w:pPr>
        <w:pStyle w:val="19"/>
        <w:tabs>
          <w:tab w:val="right" w:leader="dot" w:pos="8306"/>
        </w:tabs>
      </w:pPr>
      <w:r>
        <w:rPr>
          <w:rFonts w:hint="eastAsia" w:ascii="宋体" w:hAnsi="宋体" w:cs="宋体"/>
          <w:kern w:val="0"/>
          <w:sz w:val="24"/>
        </w:rPr>
        <w:fldChar w:fldCharType="begin"/>
      </w:r>
      <w:r>
        <w:rPr>
          <w:rFonts w:hint="eastAsia" w:ascii="宋体" w:hAnsi="宋体" w:cs="宋体"/>
          <w:kern w:val="0"/>
          <w:sz w:val="24"/>
        </w:rPr>
        <w:instrText xml:space="preserve"> TOC \o "1-1" \h \z \u </w:instrText>
      </w:r>
      <w:r>
        <w:rPr>
          <w:rFonts w:hint="eastAsia" w:ascii="宋体" w:hAnsi="宋体" w:cs="宋体"/>
          <w:kern w:val="0"/>
          <w:sz w:val="24"/>
        </w:rPr>
        <w:fldChar w:fldCharType="separate"/>
      </w: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_Toc5983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cs="宋体"/>
          <w:kern w:val="0"/>
          <w:szCs w:val="24"/>
        </w:rPr>
        <w:t>1 总则</w:t>
      </w:r>
      <w:r>
        <w:tab/>
      </w:r>
      <w:r>
        <w:fldChar w:fldCharType="begin"/>
      </w:r>
      <w:r>
        <w:instrText xml:space="preserve"> PAGEREF _Toc5983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9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_Toc6524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cs="宋体"/>
          <w:kern w:val="0"/>
          <w:szCs w:val="24"/>
        </w:rPr>
        <w:t>2 工作范围</w:t>
      </w:r>
      <w:r>
        <w:tab/>
      </w:r>
      <w:r>
        <w:fldChar w:fldCharType="begin"/>
      </w:r>
      <w:r>
        <w:instrText xml:space="preserve"> PAGEREF _Toc6524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9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_Toc20347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cs="宋体"/>
          <w:kern w:val="0"/>
          <w:szCs w:val="24"/>
        </w:rPr>
        <w:t xml:space="preserve">3 </w:t>
      </w:r>
      <w:r>
        <w:rPr>
          <w:rFonts w:hint="eastAsia" w:ascii="宋体" w:hAnsi="宋体" w:cs="宋体"/>
          <w:kern w:val="0"/>
          <w:szCs w:val="24"/>
          <w:highlight w:val="none"/>
        </w:rPr>
        <w:t>技术要求</w:t>
      </w:r>
      <w:r>
        <w:tab/>
      </w:r>
      <w:r>
        <w:fldChar w:fldCharType="begin"/>
      </w:r>
      <w:r>
        <w:instrText xml:space="preserve"> PAGEREF _Toc20347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9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_Toc13285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eastAsia="宋体" w:cs="宋体"/>
          <w:bCs/>
          <w:kern w:val="0"/>
          <w:szCs w:val="24"/>
        </w:rPr>
        <w:t xml:space="preserve">4 </w:t>
      </w:r>
      <w:r>
        <w:rPr>
          <w:rFonts w:hint="eastAsia" w:ascii="宋体" w:hAnsi="宋体" w:eastAsia="宋体" w:cs="宋体"/>
          <w:bCs/>
          <w:kern w:val="0"/>
          <w:szCs w:val="24"/>
          <w:lang w:val="en-US" w:eastAsia="zh-CN"/>
        </w:rPr>
        <w:t>到货周期</w:t>
      </w:r>
      <w:r>
        <w:tab/>
      </w:r>
      <w:r>
        <w:fldChar w:fldCharType="begin"/>
      </w:r>
      <w:r>
        <w:instrText xml:space="preserve"> PAGEREF _Toc13285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9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_Toc289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/>
          <w:kern w:val="0"/>
          <w:szCs w:val="24"/>
        </w:rPr>
        <w:t>5 售后服务</w:t>
      </w:r>
      <w:r>
        <w:tab/>
      </w:r>
      <w:r>
        <w:fldChar w:fldCharType="begin"/>
      </w:r>
      <w:r>
        <w:instrText xml:space="preserve"> PAGEREF _Toc289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9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_Toc16628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cs="宋体"/>
          <w:kern w:val="0"/>
          <w:szCs w:val="24"/>
        </w:rPr>
        <w:t>6 质量保证</w:t>
      </w:r>
      <w:r>
        <w:tab/>
      </w:r>
      <w:r>
        <w:fldChar w:fldCharType="begin"/>
      </w:r>
      <w:r>
        <w:instrText xml:space="preserve"> PAGEREF _Toc16628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adjustRightInd w:val="0"/>
        <w:spacing w:line="360" w:lineRule="auto"/>
        <w:textAlignment w:val="baseline"/>
      </w:pP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29"/>
        <w:rPr>
          <w:rFonts w:hint="eastAsia"/>
        </w:rPr>
        <w:sectPr>
          <w:footerReference r:id="rId3" w:type="default"/>
          <w:footerReference r:id="rId4" w:type="even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</w:p>
    <w:p>
      <w:pPr>
        <w:pStyle w:val="3"/>
        <w:numPr>
          <w:ilvl w:val="0"/>
          <w:numId w:val="2"/>
        </w:numPr>
        <w:spacing w:before="0" w:after="0" w:line="360" w:lineRule="auto"/>
        <w:rPr>
          <w:rFonts w:hint="eastAsia" w:ascii="黑体" w:hAnsi="黑体" w:eastAsia="黑体" w:cs="黑体"/>
          <w:kern w:val="0"/>
          <w:sz w:val="24"/>
          <w:szCs w:val="24"/>
        </w:rPr>
      </w:pPr>
      <w:bookmarkStart w:id="7" w:name="_Toc5983"/>
      <w:r>
        <w:rPr>
          <w:rFonts w:hint="eastAsia" w:ascii="黑体" w:hAnsi="黑体" w:eastAsia="黑体" w:cs="黑体"/>
          <w:kern w:val="0"/>
          <w:sz w:val="24"/>
          <w:szCs w:val="24"/>
        </w:rPr>
        <w:t>总则</w:t>
      </w:r>
      <w:bookmarkEnd w:id="7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Chars="0" w:firstLine="480" w:firstLineChars="200"/>
        <w:textAlignment w:val="auto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为适应南方电网数字平台科技（广东）有限公司发展需要，规范本项目零星采购技术要求，特制定本技术条件书。</w:t>
      </w:r>
      <w:r>
        <w:rPr>
          <w:rFonts w:hint="eastAsia" w:ascii="宋体" w:hAnsi="宋体" w:cs="宋体"/>
          <w:sz w:val="24"/>
        </w:rPr>
        <w:t>本技术条件书未尽事宜, 由</w:t>
      </w:r>
      <w:r>
        <w:rPr>
          <w:rFonts w:hint="eastAsia" w:ascii="宋体" w:hAnsi="宋体" w:cs="宋体"/>
          <w:sz w:val="24"/>
          <w:lang w:val="en-US" w:eastAsia="zh-CN"/>
        </w:rPr>
        <w:t>采购方</w:t>
      </w:r>
      <w:r>
        <w:rPr>
          <w:rFonts w:hint="eastAsia" w:ascii="宋体" w:hAnsi="宋体" w:cs="宋体"/>
          <w:sz w:val="24"/>
        </w:rPr>
        <w:t>、</w:t>
      </w:r>
      <w:r>
        <w:rPr>
          <w:rFonts w:hint="eastAsia" w:ascii="宋体" w:hAnsi="宋体" w:cs="宋体"/>
          <w:sz w:val="24"/>
          <w:lang w:val="en-US" w:eastAsia="zh-CN"/>
        </w:rPr>
        <w:t>报价方</w:t>
      </w:r>
      <w:r>
        <w:rPr>
          <w:rFonts w:hint="eastAsia" w:ascii="宋体" w:hAnsi="宋体" w:cs="宋体"/>
          <w:sz w:val="24"/>
        </w:rPr>
        <w:t>双方协商确定。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项目概述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Chars="0" w:firstLine="480" w:firstLineChars="200"/>
        <w:textAlignment w:val="auto"/>
        <w:outlineLvl w:val="1"/>
        <w:rPr>
          <w:rFonts w:hint="eastAsia" w:ascii="宋体" w:hAnsi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为满足公司目前的药品储备需求，确保药品供应的稳定性与安全性，现明确药品需求清单，包括治疗领域、药品类型、以及用量，需采购相关药品共28项</w:t>
      </w:r>
      <w:r>
        <w:rPr>
          <w:rFonts w:hint="eastAsia" w:ascii="宋体" w:hAnsi="宋体" w:cs="宋体"/>
          <w:sz w:val="24"/>
          <w:szCs w:val="24"/>
          <w:lang w:eastAsia="zh-CN"/>
        </w:rPr>
        <w:t>。</w:t>
      </w:r>
    </w:p>
    <w:p>
      <w:pPr>
        <w:pStyle w:val="3"/>
        <w:numPr>
          <w:ilvl w:val="0"/>
          <w:numId w:val="2"/>
        </w:numPr>
        <w:spacing w:before="0" w:after="0" w:line="360" w:lineRule="auto"/>
        <w:rPr>
          <w:rFonts w:hint="eastAsia" w:ascii="黑体" w:hAnsi="黑体" w:eastAsia="黑体" w:cs="黑体"/>
          <w:kern w:val="0"/>
          <w:sz w:val="24"/>
          <w:szCs w:val="24"/>
        </w:rPr>
      </w:pPr>
      <w:bookmarkStart w:id="8" w:name="_Toc6524"/>
      <w:bookmarkStart w:id="9" w:name="_Toc317067398"/>
      <w:bookmarkStart w:id="10" w:name="_Toc317690117"/>
      <w:bookmarkStart w:id="11" w:name="_Toc317689829"/>
      <w:r>
        <w:rPr>
          <w:rFonts w:hint="eastAsia" w:ascii="黑体" w:hAnsi="黑体" w:eastAsia="黑体" w:cs="黑体"/>
          <w:kern w:val="0"/>
          <w:sz w:val="24"/>
          <w:szCs w:val="24"/>
        </w:rPr>
        <w:t>工作范围</w:t>
      </w:r>
      <w:bookmarkEnd w:id="8"/>
      <w:bookmarkEnd w:id="9"/>
      <w:bookmarkEnd w:id="10"/>
      <w:bookmarkEnd w:id="11"/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Chars="0" w:firstLine="480" w:firstLineChars="200"/>
        <w:textAlignment w:val="auto"/>
        <w:outlineLvl w:val="1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b w:val="0"/>
          <w:sz w:val="24"/>
          <w:szCs w:val="24"/>
          <w:lang w:val="en-US" w:eastAsia="zh-CN"/>
        </w:rPr>
        <w:t>从药品</w:t>
      </w:r>
      <w:r>
        <w:rPr>
          <w:rFonts w:hint="eastAsia" w:ascii="宋体" w:hAnsi="宋体" w:cs="宋体"/>
          <w:b w:val="0"/>
          <w:sz w:val="24"/>
          <w:szCs w:val="24"/>
        </w:rPr>
        <w:t>厂家至采购人指定交货点的运输和</w:t>
      </w:r>
      <w:r>
        <w:rPr>
          <w:rFonts w:hint="eastAsia" w:ascii="宋体" w:hAnsi="宋体" w:cs="宋体"/>
          <w:b w:val="0"/>
          <w:sz w:val="24"/>
          <w:szCs w:val="24"/>
          <w:lang w:val="en-US" w:eastAsia="zh-CN"/>
        </w:rPr>
        <w:t>配货</w:t>
      </w:r>
      <w:r>
        <w:rPr>
          <w:rFonts w:hint="eastAsia" w:ascii="宋体" w:hAnsi="宋体" w:cs="宋体"/>
          <w:b w:val="0"/>
          <w:sz w:val="24"/>
          <w:szCs w:val="24"/>
        </w:rPr>
        <w:t>全部由报价人完成</w:t>
      </w:r>
      <w:r>
        <w:rPr>
          <w:rFonts w:hint="eastAsia" w:ascii="宋体" w:hAnsi="宋体" w:cs="宋体"/>
          <w:b w:val="0"/>
          <w:sz w:val="24"/>
          <w:szCs w:val="24"/>
          <w:lang w:eastAsia="zh-CN"/>
        </w:rPr>
        <w:t>。</w:t>
      </w:r>
    </w:p>
    <w:p>
      <w:pPr>
        <w:pStyle w:val="3"/>
        <w:numPr>
          <w:ilvl w:val="0"/>
          <w:numId w:val="2"/>
        </w:numPr>
        <w:spacing w:before="0" w:after="0" w:line="360" w:lineRule="auto"/>
        <w:rPr>
          <w:rFonts w:hint="eastAsia" w:ascii="黑体" w:hAnsi="黑体" w:eastAsia="黑体" w:cs="黑体"/>
          <w:kern w:val="0"/>
          <w:sz w:val="24"/>
          <w:szCs w:val="24"/>
          <w:highlight w:val="none"/>
        </w:rPr>
      </w:pPr>
      <w:bookmarkStart w:id="12" w:name="_Toc20347"/>
      <w:r>
        <w:rPr>
          <w:rFonts w:hint="eastAsia" w:ascii="黑体" w:hAnsi="黑体" w:eastAsia="黑体" w:cs="黑体"/>
          <w:kern w:val="0"/>
          <w:sz w:val="24"/>
          <w:szCs w:val="24"/>
          <w:highlight w:val="none"/>
        </w:rPr>
        <w:t>技术要求</w:t>
      </w:r>
      <w:bookmarkEnd w:id="12"/>
      <w:bookmarkStart w:id="36" w:name="_GoBack"/>
      <w:bookmarkEnd w:id="36"/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Chars="0" w:firstLine="480" w:firstLineChars="200"/>
        <w:textAlignment w:val="auto"/>
        <w:outlineLvl w:val="1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物资清单及规格型号要求如下：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Chars="0" w:firstLine="480" w:firstLineChars="200"/>
        <w:textAlignment w:val="auto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所送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货物</w:t>
      </w:r>
      <w:r>
        <w:rPr>
          <w:rFonts w:hint="eastAsia" w:ascii="宋体" w:hAnsi="宋体" w:eastAsia="宋体" w:cs="宋体"/>
          <w:sz w:val="24"/>
          <w:szCs w:val="24"/>
        </w:rPr>
        <w:t>需按照甲方的实际需求进行配送。</w:t>
      </w:r>
    </w:p>
    <w:tbl>
      <w:tblPr>
        <w:tblStyle w:val="21"/>
        <w:tblW w:w="10892" w:type="dxa"/>
        <w:tblInd w:w="-9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"/>
        <w:gridCol w:w="2458"/>
        <w:gridCol w:w="2244"/>
        <w:gridCol w:w="787"/>
        <w:gridCol w:w="655"/>
        <w:gridCol w:w="1292"/>
        <w:gridCol w:w="992"/>
        <w:gridCol w:w="177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万科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智慧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数量（汇总）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白云山复方穿心莲片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100片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0.2%碘伏消毒液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100ML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卫立克，OTC奥美拉挫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10MG*14粒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健胃整肠丸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50粒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蒙脱石散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3G*15袋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三九胃泰颗粒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20G*6包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藿香正气口服液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10毫升*10支 盒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阿莫西林胶囊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0.5G*12粒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聚乙烯醇滴眼液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0.8*10支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医用棉签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50支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酒精消毒片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50片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京制牛黄解毒片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0.6克*8片*10瓶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蓝芩口服液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10ML*9支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抗病毒口服液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10ML*10支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清喉利咽颗粒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慢 5G*8袋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华素片，西地碘含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1.5MG*30片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布洛芬缓释胶囊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0.3克*12粒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头孢克肟胶囊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100MG*12粒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复方氨酚烷胺片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12粒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小柴胡颗粒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10G*10袋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金嗓子喉片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2G*6片*2板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咽炎片（999）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0.26G*12片*4板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四季感冒片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0.5G*36片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感冒灵颗粒（999）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10G*9袋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云南白药气雾剂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85克+30克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纱布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5cm*7cm*2片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棉花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25g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25" w:hRule="atLeast"/>
        </w:trPr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水银体温计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三角型棒式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pStyle w:val="29"/>
        <w:rPr>
          <w:rFonts w:hint="eastAsia"/>
        </w:rPr>
      </w:pPr>
    </w:p>
    <w:p>
      <w:pPr>
        <w:pStyle w:val="3"/>
        <w:numPr>
          <w:ilvl w:val="0"/>
          <w:numId w:val="2"/>
        </w:numPr>
        <w:spacing w:before="0" w:after="0" w:line="360" w:lineRule="auto"/>
        <w:rPr>
          <w:rFonts w:hint="eastAsia" w:ascii="黑体" w:hAnsi="黑体" w:eastAsia="黑体" w:cs="黑体"/>
          <w:b/>
          <w:bCs/>
          <w:kern w:val="0"/>
          <w:sz w:val="24"/>
          <w:szCs w:val="24"/>
        </w:rPr>
      </w:pPr>
      <w:bookmarkStart w:id="13" w:name="_Toc13285"/>
      <w:bookmarkStart w:id="14" w:name="_Toc931"/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到货周期</w:t>
      </w:r>
      <w:bookmarkEnd w:id="13"/>
      <w:bookmarkEnd w:id="14"/>
    </w:p>
    <w:p>
      <w:pPr>
        <w:pStyle w:val="29"/>
        <w:ind w:firstLine="420" w:firstLineChars="0"/>
        <w:rPr>
          <w:rFonts w:hint="eastAsia"/>
        </w:rPr>
      </w:pPr>
      <w:r>
        <w:rPr>
          <w:rFonts w:hint="eastAsia" w:ascii="宋体" w:hAnsi="宋体" w:eastAsia="宋体" w:cs="宋体"/>
          <w:bCs w:val="0"/>
          <w:spacing w:val="0"/>
          <w:kern w:val="2"/>
          <w:sz w:val="24"/>
          <w:szCs w:val="24"/>
          <w:lang w:val="en-US" w:eastAsia="zh-CN" w:bidi="ar-SA"/>
        </w:rPr>
        <w:t>要求</w:t>
      </w:r>
      <w:r>
        <w:rPr>
          <w:rFonts w:hint="eastAsia" w:ascii="宋体" w:hAnsi="宋体" w:cs="宋体"/>
          <w:bCs w:val="0"/>
          <w:spacing w:val="0"/>
          <w:kern w:val="2"/>
          <w:sz w:val="24"/>
          <w:szCs w:val="24"/>
          <w:lang w:val="en-US" w:eastAsia="zh-CN" w:bidi="ar-SA"/>
        </w:rPr>
        <w:t>自收到成交通知后7日</w:t>
      </w:r>
      <w:r>
        <w:rPr>
          <w:rFonts w:hint="eastAsia" w:ascii="宋体" w:hAnsi="宋体" w:eastAsia="宋体" w:cs="宋体"/>
          <w:bCs w:val="0"/>
          <w:spacing w:val="0"/>
          <w:kern w:val="2"/>
          <w:sz w:val="24"/>
          <w:szCs w:val="24"/>
          <w:lang w:val="en-US" w:eastAsia="zh-CN" w:bidi="ar-SA"/>
        </w:rPr>
        <w:t>内到货。</w:t>
      </w:r>
    </w:p>
    <w:p>
      <w:pPr>
        <w:pStyle w:val="29"/>
        <w:rPr>
          <w:rFonts w:hint="eastAsia"/>
        </w:rPr>
      </w:pPr>
    </w:p>
    <w:p>
      <w:pPr>
        <w:pStyle w:val="3"/>
        <w:numPr>
          <w:ilvl w:val="0"/>
          <w:numId w:val="2"/>
        </w:numPr>
        <w:spacing w:before="0" w:after="0" w:line="360" w:lineRule="auto"/>
        <w:rPr>
          <w:rFonts w:hint="eastAsia" w:ascii="黑体" w:hAnsi="黑体" w:eastAsia="黑体" w:cs="黑体"/>
          <w:kern w:val="0"/>
          <w:sz w:val="24"/>
          <w:szCs w:val="24"/>
        </w:rPr>
      </w:pPr>
      <w:bookmarkStart w:id="15" w:name="_Toc221610059"/>
      <w:bookmarkEnd w:id="15"/>
      <w:bookmarkStart w:id="16" w:name="_Toc221617188"/>
      <w:bookmarkEnd w:id="16"/>
      <w:bookmarkStart w:id="17" w:name="_Toc221610057"/>
      <w:bookmarkEnd w:id="17"/>
      <w:bookmarkStart w:id="18" w:name="_Toc221610058"/>
      <w:bookmarkEnd w:id="18"/>
      <w:bookmarkStart w:id="19" w:name="_Toc221610060"/>
      <w:bookmarkEnd w:id="19"/>
      <w:bookmarkStart w:id="20" w:name="_Toc221617189"/>
      <w:bookmarkEnd w:id="20"/>
      <w:bookmarkStart w:id="21" w:name="_Toc221619634"/>
      <w:bookmarkEnd w:id="21"/>
      <w:bookmarkStart w:id="22" w:name="_Toc221619631"/>
      <w:bookmarkEnd w:id="22"/>
      <w:bookmarkStart w:id="23" w:name="_Toc221617186"/>
      <w:bookmarkEnd w:id="23"/>
      <w:bookmarkStart w:id="24" w:name="_Toc221617187"/>
      <w:bookmarkEnd w:id="24"/>
      <w:bookmarkStart w:id="25" w:name="_Toc221619633"/>
      <w:bookmarkEnd w:id="25"/>
      <w:bookmarkStart w:id="26" w:name="_Toc221619632"/>
      <w:bookmarkEnd w:id="26"/>
      <w:bookmarkStart w:id="27" w:name="_Toc58225921"/>
      <w:bookmarkStart w:id="28" w:name="_Toc289"/>
      <w:bookmarkStart w:id="29" w:name="_Toc187218714"/>
      <w:r>
        <w:rPr>
          <w:rFonts w:hint="eastAsia" w:ascii="黑体" w:hAnsi="黑体" w:eastAsia="黑体" w:cs="黑体"/>
          <w:kern w:val="0"/>
          <w:sz w:val="24"/>
          <w:szCs w:val="24"/>
        </w:rPr>
        <w:t>售后服务</w:t>
      </w:r>
      <w:bookmarkEnd w:id="27"/>
      <w:bookmarkEnd w:id="28"/>
    </w:p>
    <w:p>
      <w:pPr>
        <w:tabs>
          <w:tab w:val="left" w:pos="1148"/>
        </w:tabs>
        <w:spacing w:line="360" w:lineRule="auto"/>
        <w:ind w:firstLine="480"/>
        <w:jc w:val="left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在</w:t>
      </w:r>
      <w:r>
        <w:rPr>
          <w:rFonts w:hint="eastAsia" w:ascii="宋体" w:hAnsi="宋体" w:cs="宋体"/>
          <w:sz w:val="24"/>
          <w:lang w:val="en-US" w:eastAsia="zh-CN"/>
        </w:rPr>
        <w:t>药品运输过程中由于包装不当、运输方式不当或其他供货方的责任导致损坏，供货方需要无偿更换同等质量和数量的药品给采购方。</w:t>
      </w:r>
    </w:p>
    <w:p>
      <w:pPr>
        <w:pStyle w:val="3"/>
        <w:numPr>
          <w:ilvl w:val="0"/>
          <w:numId w:val="2"/>
        </w:numPr>
        <w:spacing w:before="0" w:after="0" w:line="360" w:lineRule="auto"/>
        <w:rPr>
          <w:rFonts w:hint="eastAsia" w:ascii="黑体" w:hAnsi="黑体" w:eastAsia="黑体" w:cs="黑体"/>
          <w:kern w:val="0"/>
          <w:sz w:val="24"/>
          <w:szCs w:val="24"/>
        </w:rPr>
      </w:pPr>
      <w:bookmarkStart w:id="30" w:name="_Toc317690130"/>
      <w:bookmarkStart w:id="31" w:name="_Toc20893"/>
      <w:bookmarkStart w:id="32" w:name="_Toc317067408"/>
      <w:bookmarkStart w:id="33" w:name="_Toc317689842"/>
      <w:bookmarkStart w:id="34" w:name="_Toc16628"/>
      <w:bookmarkStart w:id="35" w:name="_Toc58225922"/>
      <w:r>
        <w:rPr>
          <w:rFonts w:hint="eastAsia" w:ascii="黑体" w:hAnsi="黑体" w:eastAsia="黑体" w:cs="黑体"/>
          <w:kern w:val="0"/>
          <w:sz w:val="24"/>
          <w:szCs w:val="24"/>
        </w:rPr>
        <w:t>质量保证</w:t>
      </w:r>
      <w:bookmarkEnd w:id="30"/>
      <w:bookmarkEnd w:id="31"/>
      <w:bookmarkEnd w:id="32"/>
      <w:bookmarkEnd w:id="33"/>
      <w:bookmarkEnd w:id="34"/>
      <w:bookmarkEnd w:id="35"/>
    </w:p>
    <w:bookmarkEnd w:id="29"/>
    <w:p>
      <w:pPr>
        <w:pStyle w:val="4"/>
        <w:numPr>
          <w:ilvl w:val="1"/>
          <w:numId w:val="2"/>
        </w:numPr>
        <w:adjustRightInd/>
        <w:spacing w:before="0" w:after="0"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货</w:t>
      </w:r>
      <w:r>
        <w:rPr>
          <w:rFonts w:hint="eastAsia" w:ascii="宋体" w:hAnsi="宋体" w:eastAsia="宋体" w:cs="宋体"/>
          <w:sz w:val="24"/>
          <w:szCs w:val="24"/>
        </w:rPr>
        <w:t>方所提供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的药品</w:t>
      </w:r>
      <w:r>
        <w:rPr>
          <w:rFonts w:hint="eastAsia" w:ascii="宋体" w:hAnsi="宋体" w:eastAsia="宋体" w:cs="宋体"/>
          <w:sz w:val="24"/>
          <w:szCs w:val="24"/>
        </w:rPr>
        <w:t>必须满足国家药品监督管理部门制定的质量、安全和有效性标准。</w:t>
      </w:r>
    </w:p>
    <w:p>
      <w:pPr>
        <w:pStyle w:val="4"/>
        <w:numPr>
          <w:ilvl w:val="1"/>
          <w:numId w:val="2"/>
        </w:numPr>
        <w:adjustRightInd/>
        <w:spacing w:before="0" w:after="0"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供货方应确保药品来源合法，通过正规的供应链渠道采购药品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</w:rPr>
        <w:t>不使用假冒伪劣、证照不全等不合法不合规不达标的药品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</w:rPr>
        <w:t>供货方不得提供任何形式的假药、劣质药或者没有完整合法证明文件的药品。</w:t>
      </w:r>
    </w:p>
    <w:p>
      <w:pPr>
        <w:pStyle w:val="4"/>
        <w:numPr>
          <w:ilvl w:val="1"/>
          <w:numId w:val="2"/>
        </w:numPr>
        <w:adjustRightInd/>
        <w:spacing w:before="0" w:after="0"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如供货方提供的药品被发现有质量问题或不符合合同规定，供货方必须无条件接受甲方的退换货要求，并承担相关费用。</w:t>
      </w:r>
    </w:p>
    <w:p>
      <w:pPr>
        <w:rPr>
          <w:rFonts w:hint="eastAsia" w:ascii="宋体" w:hAnsi="宋体" w:cs="宋体"/>
        </w:rPr>
      </w:pPr>
    </w:p>
    <w:sectPr>
      <w:footerReference r:id="rId5" w:type="default"/>
      <w:pgSz w:w="11907" w:h="16840"/>
      <w:pgMar w:top="1701" w:right="1021" w:bottom="1418" w:left="1588" w:header="720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720" w:num="1"/>
      <w:docGrid w:linePitch="38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framePr w:wrap="around" w:vAnchor="text" w:hAnchor="margin" w:xAlign="outside" w:y="1"/>
      <w:ind w:firstLine="360"/>
      <w:rPr>
        <w:rStyle w:val="24"/>
        <w:rFonts w:hint="eastAsia"/>
      </w:rPr>
    </w:pPr>
  </w:p>
  <w:p>
    <w:pPr>
      <w:pStyle w:val="17"/>
      <w:ind w:firstLine="36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jc w:val="both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ind w:firstLine="360"/>
      <w:jc w:val="center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7"/>
                            <w:ind w:firstLine="360"/>
                            <w:jc w:val="center"/>
                          </w:pPr>
                          <w:r>
                            <w:rPr>
                              <w:rFonts w:hint="eastAsia"/>
                              <w:kern w:val="0"/>
                              <w:szCs w:val="21"/>
                            </w:rPr>
                            <w:t xml:space="preserve">第 </w: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kern w:val="0"/>
                              <w:szCs w:val="21"/>
                            </w:rPr>
                            <w:instrText xml:space="preserve"> PAGE </w:instrTex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kern w:val="0"/>
                              <w:szCs w:val="21"/>
                            </w:rPr>
                            <w:t>5</w: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kern w:val="0"/>
                              <w:szCs w:val="21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ind w:firstLine="360"/>
                      <w:jc w:val="center"/>
                    </w:pPr>
                    <w:r>
                      <w:rPr>
                        <w:rFonts w:hint="eastAsia"/>
                        <w:kern w:val="0"/>
                        <w:szCs w:val="21"/>
                      </w:rPr>
                      <w:t xml:space="preserve">第 </w:t>
                    </w:r>
                    <w:r>
                      <w:rPr>
                        <w:kern w:val="0"/>
                        <w:szCs w:val="21"/>
                      </w:rPr>
                      <w:fldChar w:fldCharType="begin"/>
                    </w:r>
                    <w:r>
                      <w:rPr>
                        <w:kern w:val="0"/>
                        <w:szCs w:val="21"/>
                      </w:rPr>
                      <w:instrText xml:space="preserve"> PAGE </w:instrText>
                    </w:r>
                    <w:r>
                      <w:rPr>
                        <w:kern w:val="0"/>
                        <w:szCs w:val="21"/>
                      </w:rPr>
                      <w:fldChar w:fldCharType="separate"/>
                    </w:r>
                    <w:r>
                      <w:rPr>
                        <w:kern w:val="0"/>
                        <w:szCs w:val="21"/>
                      </w:rPr>
                      <w:t>5</w:t>
                    </w:r>
                    <w:r>
                      <w:rPr>
                        <w:kern w:val="0"/>
                        <w:szCs w:val="21"/>
                      </w:rPr>
                      <w:fldChar w:fldCharType="end"/>
                    </w:r>
                    <w:r>
                      <w:rPr>
                        <w:rFonts w:hint="eastAsia"/>
                        <w:kern w:val="0"/>
                        <w:szCs w:val="21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3D51EF"/>
    <w:multiLevelType w:val="multilevel"/>
    <w:tmpl w:val="303D51EF"/>
    <w:lvl w:ilvl="0" w:tentative="0">
      <w:start w:val="1"/>
      <w:numFmt w:val="decimal"/>
      <w:suff w:val="space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suff w:val="space"/>
      <w:lvlText w:val="%1.%2"/>
      <w:lvlJc w:val="left"/>
      <w:pPr>
        <w:ind w:left="227" w:hanging="227"/>
      </w:pPr>
      <w:rPr>
        <w:rFonts w:hint="eastAsia"/>
        <w:sz w:val="24"/>
        <w:szCs w:val="21"/>
      </w:rPr>
    </w:lvl>
    <w:lvl w:ilvl="2" w:tentative="0">
      <w:start w:val="1"/>
      <w:numFmt w:val="decimal"/>
      <w:suff w:val="space"/>
      <w:lvlText w:val="%1.%2.%3"/>
      <w:lvlJc w:val="left"/>
      <w:pPr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2716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50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42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507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85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282"/>
        </w:tabs>
        <w:ind w:left="5102" w:hanging="1700"/>
      </w:pPr>
      <w:rPr>
        <w:rFonts w:hint="eastAsia"/>
      </w:rPr>
    </w:lvl>
  </w:abstractNum>
  <w:abstractNum w:abstractNumId="1">
    <w:nsid w:val="6CEA2025"/>
    <w:multiLevelType w:val="multilevel"/>
    <w:tmpl w:val="6CEA2025"/>
    <w:lvl w:ilvl="0" w:tentative="0">
      <w:start w:val="1"/>
      <w:numFmt w:val="none"/>
      <w:pStyle w:val="35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pStyle w:val="43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42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41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47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48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32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E3ZjRkOTE1NDY0N2M1Y2I4NGYwZjA3ODE1MzZmZWMifQ=="/>
  </w:docVars>
  <w:rsids>
    <w:rsidRoot w:val="00D95485"/>
    <w:rsid w:val="0000491B"/>
    <w:rsid w:val="00011B3E"/>
    <w:rsid w:val="00027568"/>
    <w:rsid w:val="000277AF"/>
    <w:rsid w:val="000304EE"/>
    <w:rsid w:val="00034483"/>
    <w:rsid w:val="000430AB"/>
    <w:rsid w:val="00053CF8"/>
    <w:rsid w:val="000735EF"/>
    <w:rsid w:val="00082452"/>
    <w:rsid w:val="00093D4F"/>
    <w:rsid w:val="000B3279"/>
    <w:rsid w:val="000B6A96"/>
    <w:rsid w:val="000C1707"/>
    <w:rsid w:val="000C2285"/>
    <w:rsid w:val="000D2B88"/>
    <w:rsid w:val="000D5553"/>
    <w:rsid w:val="000D5876"/>
    <w:rsid w:val="000E1DB9"/>
    <w:rsid w:val="000E2E10"/>
    <w:rsid w:val="000E59CC"/>
    <w:rsid w:val="000F79EB"/>
    <w:rsid w:val="001266BD"/>
    <w:rsid w:val="00137317"/>
    <w:rsid w:val="001453A8"/>
    <w:rsid w:val="001863BC"/>
    <w:rsid w:val="001945CC"/>
    <w:rsid w:val="001A57F7"/>
    <w:rsid w:val="001B19EA"/>
    <w:rsid w:val="001B47FD"/>
    <w:rsid w:val="001C1ECE"/>
    <w:rsid w:val="001D3623"/>
    <w:rsid w:val="001E0220"/>
    <w:rsid w:val="001F0793"/>
    <w:rsid w:val="002033C7"/>
    <w:rsid w:val="00204545"/>
    <w:rsid w:val="00207944"/>
    <w:rsid w:val="00216CE3"/>
    <w:rsid w:val="00223E06"/>
    <w:rsid w:val="002406F5"/>
    <w:rsid w:val="00241BA1"/>
    <w:rsid w:val="00246C56"/>
    <w:rsid w:val="00260A2F"/>
    <w:rsid w:val="00270012"/>
    <w:rsid w:val="00274E8B"/>
    <w:rsid w:val="00281994"/>
    <w:rsid w:val="002879EE"/>
    <w:rsid w:val="00293A25"/>
    <w:rsid w:val="002B39EA"/>
    <w:rsid w:val="002C6544"/>
    <w:rsid w:val="002E195B"/>
    <w:rsid w:val="002E4660"/>
    <w:rsid w:val="0030280C"/>
    <w:rsid w:val="00303643"/>
    <w:rsid w:val="003258F8"/>
    <w:rsid w:val="00373528"/>
    <w:rsid w:val="003B109D"/>
    <w:rsid w:val="003B1E8E"/>
    <w:rsid w:val="003C38CB"/>
    <w:rsid w:val="00414442"/>
    <w:rsid w:val="00416210"/>
    <w:rsid w:val="00433A13"/>
    <w:rsid w:val="0043522F"/>
    <w:rsid w:val="004378E6"/>
    <w:rsid w:val="00463930"/>
    <w:rsid w:val="004A1972"/>
    <w:rsid w:val="004B422B"/>
    <w:rsid w:val="004C1528"/>
    <w:rsid w:val="004D793C"/>
    <w:rsid w:val="004F357F"/>
    <w:rsid w:val="00503EC8"/>
    <w:rsid w:val="00504B76"/>
    <w:rsid w:val="00513E72"/>
    <w:rsid w:val="0053214F"/>
    <w:rsid w:val="00543FB5"/>
    <w:rsid w:val="005501B9"/>
    <w:rsid w:val="005522A5"/>
    <w:rsid w:val="0056265D"/>
    <w:rsid w:val="00563D62"/>
    <w:rsid w:val="005742FA"/>
    <w:rsid w:val="00575472"/>
    <w:rsid w:val="00586EE8"/>
    <w:rsid w:val="005A03FE"/>
    <w:rsid w:val="005A2C9F"/>
    <w:rsid w:val="005B7F19"/>
    <w:rsid w:val="005C163E"/>
    <w:rsid w:val="005C214E"/>
    <w:rsid w:val="005F235F"/>
    <w:rsid w:val="006037F2"/>
    <w:rsid w:val="006179B0"/>
    <w:rsid w:val="006256DA"/>
    <w:rsid w:val="00630C3F"/>
    <w:rsid w:val="00633991"/>
    <w:rsid w:val="00640634"/>
    <w:rsid w:val="006516B3"/>
    <w:rsid w:val="00662A32"/>
    <w:rsid w:val="00684605"/>
    <w:rsid w:val="006865D9"/>
    <w:rsid w:val="006B0707"/>
    <w:rsid w:val="006C21A1"/>
    <w:rsid w:val="00723E2D"/>
    <w:rsid w:val="00726B0D"/>
    <w:rsid w:val="00741658"/>
    <w:rsid w:val="00750C68"/>
    <w:rsid w:val="00767790"/>
    <w:rsid w:val="00787235"/>
    <w:rsid w:val="00796E25"/>
    <w:rsid w:val="007A7896"/>
    <w:rsid w:val="007B38EA"/>
    <w:rsid w:val="007D033E"/>
    <w:rsid w:val="007D6095"/>
    <w:rsid w:val="008010D5"/>
    <w:rsid w:val="00812523"/>
    <w:rsid w:val="00812A3F"/>
    <w:rsid w:val="00817ED3"/>
    <w:rsid w:val="00835F5B"/>
    <w:rsid w:val="008463E2"/>
    <w:rsid w:val="00846A78"/>
    <w:rsid w:val="00847800"/>
    <w:rsid w:val="0085072F"/>
    <w:rsid w:val="00860086"/>
    <w:rsid w:val="0086797C"/>
    <w:rsid w:val="008B546E"/>
    <w:rsid w:val="008B59C4"/>
    <w:rsid w:val="008B6CF2"/>
    <w:rsid w:val="008D7018"/>
    <w:rsid w:val="008E0719"/>
    <w:rsid w:val="008E1595"/>
    <w:rsid w:val="008E5F07"/>
    <w:rsid w:val="008E7CD9"/>
    <w:rsid w:val="00912138"/>
    <w:rsid w:val="0091511F"/>
    <w:rsid w:val="009201D7"/>
    <w:rsid w:val="009221A7"/>
    <w:rsid w:val="009301D8"/>
    <w:rsid w:val="00932229"/>
    <w:rsid w:val="00972FB3"/>
    <w:rsid w:val="00973A35"/>
    <w:rsid w:val="00987F81"/>
    <w:rsid w:val="009A56FC"/>
    <w:rsid w:val="009B5DC7"/>
    <w:rsid w:val="009D508A"/>
    <w:rsid w:val="009F0EF1"/>
    <w:rsid w:val="009F39FA"/>
    <w:rsid w:val="00A00BFD"/>
    <w:rsid w:val="00A17DAC"/>
    <w:rsid w:val="00A30A80"/>
    <w:rsid w:val="00A3515B"/>
    <w:rsid w:val="00A44784"/>
    <w:rsid w:val="00A71C0E"/>
    <w:rsid w:val="00A76C00"/>
    <w:rsid w:val="00AC2DEE"/>
    <w:rsid w:val="00AD4CA8"/>
    <w:rsid w:val="00AF7800"/>
    <w:rsid w:val="00B63E45"/>
    <w:rsid w:val="00B7291B"/>
    <w:rsid w:val="00B83FBB"/>
    <w:rsid w:val="00B942B2"/>
    <w:rsid w:val="00BA04CC"/>
    <w:rsid w:val="00BA1B37"/>
    <w:rsid w:val="00BA4147"/>
    <w:rsid w:val="00BD715C"/>
    <w:rsid w:val="00BE5147"/>
    <w:rsid w:val="00BF19FB"/>
    <w:rsid w:val="00C50363"/>
    <w:rsid w:val="00C62414"/>
    <w:rsid w:val="00C73186"/>
    <w:rsid w:val="00C87532"/>
    <w:rsid w:val="00CA35E1"/>
    <w:rsid w:val="00CB328E"/>
    <w:rsid w:val="00CB5E55"/>
    <w:rsid w:val="00CC75CC"/>
    <w:rsid w:val="00CD6255"/>
    <w:rsid w:val="00CF7AB5"/>
    <w:rsid w:val="00D07120"/>
    <w:rsid w:val="00D104B1"/>
    <w:rsid w:val="00D36F7E"/>
    <w:rsid w:val="00D37F98"/>
    <w:rsid w:val="00D408A5"/>
    <w:rsid w:val="00D60680"/>
    <w:rsid w:val="00D648A8"/>
    <w:rsid w:val="00D70AFA"/>
    <w:rsid w:val="00D837DD"/>
    <w:rsid w:val="00D952C9"/>
    <w:rsid w:val="00D95485"/>
    <w:rsid w:val="00DA0BD6"/>
    <w:rsid w:val="00DB0DF7"/>
    <w:rsid w:val="00DC5646"/>
    <w:rsid w:val="00DC6AE1"/>
    <w:rsid w:val="00DC6FF3"/>
    <w:rsid w:val="00DE5CFE"/>
    <w:rsid w:val="00DE7403"/>
    <w:rsid w:val="00E0614E"/>
    <w:rsid w:val="00E171E0"/>
    <w:rsid w:val="00E423E3"/>
    <w:rsid w:val="00E4600E"/>
    <w:rsid w:val="00E56A81"/>
    <w:rsid w:val="00E610C3"/>
    <w:rsid w:val="00E67196"/>
    <w:rsid w:val="00E72ADE"/>
    <w:rsid w:val="00E7485D"/>
    <w:rsid w:val="00E820C4"/>
    <w:rsid w:val="00E84A92"/>
    <w:rsid w:val="00E937E9"/>
    <w:rsid w:val="00E955F4"/>
    <w:rsid w:val="00EA5542"/>
    <w:rsid w:val="00EA78A6"/>
    <w:rsid w:val="00ED3E5A"/>
    <w:rsid w:val="00EE76BD"/>
    <w:rsid w:val="00EF4B81"/>
    <w:rsid w:val="00EF53CF"/>
    <w:rsid w:val="00F07E85"/>
    <w:rsid w:val="00F100AD"/>
    <w:rsid w:val="00F25F84"/>
    <w:rsid w:val="00F26549"/>
    <w:rsid w:val="00F5149E"/>
    <w:rsid w:val="00F661F9"/>
    <w:rsid w:val="00F72BC6"/>
    <w:rsid w:val="00F74D49"/>
    <w:rsid w:val="00F8301A"/>
    <w:rsid w:val="00F97200"/>
    <w:rsid w:val="00FB2B9C"/>
    <w:rsid w:val="00FC3642"/>
    <w:rsid w:val="00FD2E01"/>
    <w:rsid w:val="00FF3529"/>
    <w:rsid w:val="01136EA0"/>
    <w:rsid w:val="013B38DE"/>
    <w:rsid w:val="02094F64"/>
    <w:rsid w:val="028A203B"/>
    <w:rsid w:val="029638CF"/>
    <w:rsid w:val="032356B1"/>
    <w:rsid w:val="0443358A"/>
    <w:rsid w:val="046C12B8"/>
    <w:rsid w:val="04914FF1"/>
    <w:rsid w:val="05734F81"/>
    <w:rsid w:val="065C167B"/>
    <w:rsid w:val="06D16BB0"/>
    <w:rsid w:val="06F253F2"/>
    <w:rsid w:val="07074665"/>
    <w:rsid w:val="075B159E"/>
    <w:rsid w:val="077573AD"/>
    <w:rsid w:val="079265AB"/>
    <w:rsid w:val="07D4681D"/>
    <w:rsid w:val="07EB560A"/>
    <w:rsid w:val="07EF7893"/>
    <w:rsid w:val="0828546F"/>
    <w:rsid w:val="08304F46"/>
    <w:rsid w:val="08E76440"/>
    <w:rsid w:val="093D4FB7"/>
    <w:rsid w:val="09611CF3"/>
    <w:rsid w:val="09762B92"/>
    <w:rsid w:val="09F77C68"/>
    <w:rsid w:val="0AA01DF8"/>
    <w:rsid w:val="0AA93B45"/>
    <w:rsid w:val="0BDC6D23"/>
    <w:rsid w:val="0C552E6D"/>
    <w:rsid w:val="0CA672BA"/>
    <w:rsid w:val="0D8449CC"/>
    <w:rsid w:val="0DB63E8C"/>
    <w:rsid w:val="0E4272F3"/>
    <w:rsid w:val="0E734A9A"/>
    <w:rsid w:val="0E772D33"/>
    <w:rsid w:val="0EF6159C"/>
    <w:rsid w:val="0F117501"/>
    <w:rsid w:val="10F20DDB"/>
    <w:rsid w:val="129D4699"/>
    <w:rsid w:val="12A61726"/>
    <w:rsid w:val="12AA5F2D"/>
    <w:rsid w:val="12B272AE"/>
    <w:rsid w:val="1362689D"/>
    <w:rsid w:val="13AF2F6F"/>
    <w:rsid w:val="13E94457"/>
    <w:rsid w:val="14136EBF"/>
    <w:rsid w:val="144114C7"/>
    <w:rsid w:val="1450037D"/>
    <w:rsid w:val="14541DD4"/>
    <w:rsid w:val="14F170E7"/>
    <w:rsid w:val="15AA7CF6"/>
    <w:rsid w:val="1601601A"/>
    <w:rsid w:val="160A1B5E"/>
    <w:rsid w:val="16503FED"/>
    <w:rsid w:val="16C23AE4"/>
    <w:rsid w:val="171C390C"/>
    <w:rsid w:val="171F5EE6"/>
    <w:rsid w:val="172149CC"/>
    <w:rsid w:val="17363AA3"/>
    <w:rsid w:val="17441550"/>
    <w:rsid w:val="17460EE3"/>
    <w:rsid w:val="174B5FC7"/>
    <w:rsid w:val="175A07E0"/>
    <w:rsid w:val="17752C9A"/>
    <w:rsid w:val="18386E60"/>
    <w:rsid w:val="191C334A"/>
    <w:rsid w:val="19460CE0"/>
    <w:rsid w:val="194C318E"/>
    <w:rsid w:val="19877AF0"/>
    <w:rsid w:val="19A32B65"/>
    <w:rsid w:val="1A607D8E"/>
    <w:rsid w:val="1AA4248C"/>
    <w:rsid w:val="1ABC3C79"/>
    <w:rsid w:val="1B1D0E8B"/>
    <w:rsid w:val="1B5B5B18"/>
    <w:rsid w:val="1B77281E"/>
    <w:rsid w:val="1B851185"/>
    <w:rsid w:val="1BB56F0A"/>
    <w:rsid w:val="1D0F3839"/>
    <w:rsid w:val="1D8560DB"/>
    <w:rsid w:val="1DBF39DD"/>
    <w:rsid w:val="1E7071A7"/>
    <w:rsid w:val="1ED20022"/>
    <w:rsid w:val="1F0274EC"/>
    <w:rsid w:val="1F366CA9"/>
    <w:rsid w:val="1F674DB9"/>
    <w:rsid w:val="1FC42E2D"/>
    <w:rsid w:val="1FCF206C"/>
    <w:rsid w:val="209B3D8A"/>
    <w:rsid w:val="20F84124"/>
    <w:rsid w:val="215A0945"/>
    <w:rsid w:val="21FD39D1"/>
    <w:rsid w:val="22710DC0"/>
    <w:rsid w:val="228F562B"/>
    <w:rsid w:val="22B03475"/>
    <w:rsid w:val="23224AE3"/>
    <w:rsid w:val="23E634F2"/>
    <w:rsid w:val="2432799C"/>
    <w:rsid w:val="243A1D9C"/>
    <w:rsid w:val="24454B90"/>
    <w:rsid w:val="24963695"/>
    <w:rsid w:val="249F0722"/>
    <w:rsid w:val="24BA5A4F"/>
    <w:rsid w:val="250B5853"/>
    <w:rsid w:val="25533A48"/>
    <w:rsid w:val="25DC4559"/>
    <w:rsid w:val="2606593D"/>
    <w:rsid w:val="261A1293"/>
    <w:rsid w:val="261B3491"/>
    <w:rsid w:val="2670099D"/>
    <w:rsid w:val="26794A16"/>
    <w:rsid w:val="26C86E2D"/>
    <w:rsid w:val="27832FFC"/>
    <w:rsid w:val="281100C9"/>
    <w:rsid w:val="28167DD4"/>
    <w:rsid w:val="2876183C"/>
    <w:rsid w:val="287845F5"/>
    <w:rsid w:val="289F4739"/>
    <w:rsid w:val="28A279B8"/>
    <w:rsid w:val="28C433F0"/>
    <w:rsid w:val="291256ED"/>
    <w:rsid w:val="29192F0D"/>
    <w:rsid w:val="2A174F9B"/>
    <w:rsid w:val="2A3707C8"/>
    <w:rsid w:val="2AF45841"/>
    <w:rsid w:val="2AFA7CCA"/>
    <w:rsid w:val="2B357971"/>
    <w:rsid w:val="2B8973FB"/>
    <w:rsid w:val="2B937FFC"/>
    <w:rsid w:val="2BD04AB6"/>
    <w:rsid w:val="2D025963"/>
    <w:rsid w:val="2D0C1AF6"/>
    <w:rsid w:val="2D1857F6"/>
    <w:rsid w:val="2D820640"/>
    <w:rsid w:val="2DDD65CB"/>
    <w:rsid w:val="2DF97830"/>
    <w:rsid w:val="2E3576D5"/>
    <w:rsid w:val="2EA41101"/>
    <w:rsid w:val="300B1CB7"/>
    <w:rsid w:val="30B43B75"/>
    <w:rsid w:val="30D85D33"/>
    <w:rsid w:val="30F532D4"/>
    <w:rsid w:val="3117384B"/>
    <w:rsid w:val="318372DA"/>
    <w:rsid w:val="31D64FF3"/>
    <w:rsid w:val="3234348A"/>
    <w:rsid w:val="32393971"/>
    <w:rsid w:val="32432DA9"/>
    <w:rsid w:val="325B0779"/>
    <w:rsid w:val="32623E41"/>
    <w:rsid w:val="331423DB"/>
    <w:rsid w:val="33A6194A"/>
    <w:rsid w:val="33E53099"/>
    <w:rsid w:val="34894118"/>
    <w:rsid w:val="34C95646"/>
    <w:rsid w:val="35EE5D7D"/>
    <w:rsid w:val="3609032A"/>
    <w:rsid w:val="36782179"/>
    <w:rsid w:val="37C86AC9"/>
    <w:rsid w:val="37D512D0"/>
    <w:rsid w:val="37DD7DB5"/>
    <w:rsid w:val="38161214"/>
    <w:rsid w:val="395A05A6"/>
    <w:rsid w:val="39B94E66"/>
    <w:rsid w:val="3A251832"/>
    <w:rsid w:val="3A5D0A8E"/>
    <w:rsid w:val="3A7A2ADF"/>
    <w:rsid w:val="3AA23DC1"/>
    <w:rsid w:val="3B044D5F"/>
    <w:rsid w:val="3B181801"/>
    <w:rsid w:val="3B3336B0"/>
    <w:rsid w:val="3B9741BB"/>
    <w:rsid w:val="3B9C3C56"/>
    <w:rsid w:val="3C9E0FE4"/>
    <w:rsid w:val="3CC03974"/>
    <w:rsid w:val="3D2B4A7E"/>
    <w:rsid w:val="3D33448E"/>
    <w:rsid w:val="3D6A1277"/>
    <w:rsid w:val="3D9E5D28"/>
    <w:rsid w:val="3DFB21D5"/>
    <w:rsid w:val="3E492C52"/>
    <w:rsid w:val="3EBD6CC7"/>
    <w:rsid w:val="3F074DAD"/>
    <w:rsid w:val="3F697B89"/>
    <w:rsid w:val="3F735D70"/>
    <w:rsid w:val="3FCE2739"/>
    <w:rsid w:val="3FFB571C"/>
    <w:rsid w:val="404F40CE"/>
    <w:rsid w:val="405F58AB"/>
    <w:rsid w:val="40621095"/>
    <w:rsid w:val="410C1392"/>
    <w:rsid w:val="415C7ABF"/>
    <w:rsid w:val="41647B07"/>
    <w:rsid w:val="4192517B"/>
    <w:rsid w:val="41FE0075"/>
    <w:rsid w:val="427C45A1"/>
    <w:rsid w:val="42C27294"/>
    <w:rsid w:val="42D7668C"/>
    <w:rsid w:val="430B06E7"/>
    <w:rsid w:val="432704C0"/>
    <w:rsid w:val="438318D0"/>
    <w:rsid w:val="438A680A"/>
    <w:rsid w:val="449410AE"/>
    <w:rsid w:val="44FB26BF"/>
    <w:rsid w:val="456F78E6"/>
    <w:rsid w:val="45CA541D"/>
    <w:rsid w:val="46565EF6"/>
    <w:rsid w:val="46DE7ADD"/>
    <w:rsid w:val="47E66977"/>
    <w:rsid w:val="480E7EAC"/>
    <w:rsid w:val="485B1C35"/>
    <w:rsid w:val="49275D14"/>
    <w:rsid w:val="4942433F"/>
    <w:rsid w:val="4AE149B8"/>
    <w:rsid w:val="4AEA40A1"/>
    <w:rsid w:val="4B002E05"/>
    <w:rsid w:val="4B2E4D47"/>
    <w:rsid w:val="4C365617"/>
    <w:rsid w:val="4C411429"/>
    <w:rsid w:val="4C721960"/>
    <w:rsid w:val="4C747A6F"/>
    <w:rsid w:val="4D2A3FBB"/>
    <w:rsid w:val="4DBB5BDA"/>
    <w:rsid w:val="4DC43B24"/>
    <w:rsid w:val="4DEA1EF5"/>
    <w:rsid w:val="4E611B8B"/>
    <w:rsid w:val="4E835BA7"/>
    <w:rsid w:val="4E884B66"/>
    <w:rsid w:val="4E9301F3"/>
    <w:rsid w:val="4F963A1F"/>
    <w:rsid w:val="4FA10D2D"/>
    <w:rsid w:val="4FCB3827"/>
    <w:rsid w:val="4FE83829"/>
    <w:rsid w:val="4FF24139"/>
    <w:rsid w:val="50051E29"/>
    <w:rsid w:val="509A3AAF"/>
    <w:rsid w:val="50E74B9A"/>
    <w:rsid w:val="50E833CC"/>
    <w:rsid w:val="513A7953"/>
    <w:rsid w:val="52154D37"/>
    <w:rsid w:val="5266163F"/>
    <w:rsid w:val="528775F5"/>
    <w:rsid w:val="52DF5A85"/>
    <w:rsid w:val="52FA23F6"/>
    <w:rsid w:val="53AC59FB"/>
    <w:rsid w:val="53B46D62"/>
    <w:rsid w:val="53C61A0F"/>
    <w:rsid w:val="53DF342A"/>
    <w:rsid w:val="54244A97"/>
    <w:rsid w:val="543755E9"/>
    <w:rsid w:val="554503F2"/>
    <w:rsid w:val="558105D7"/>
    <w:rsid w:val="558C0B67"/>
    <w:rsid w:val="559E4304"/>
    <w:rsid w:val="55B23866"/>
    <w:rsid w:val="55BB22B6"/>
    <w:rsid w:val="561142EB"/>
    <w:rsid w:val="56427E03"/>
    <w:rsid w:val="564B7CA0"/>
    <w:rsid w:val="566B6EF8"/>
    <w:rsid w:val="57204800"/>
    <w:rsid w:val="57347C1D"/>
    <w:rsid w:val="57914433"/>
    <w:rsid w:val="57E26ABC"/>
    <w:rsid w:val="581C599D"/>
    <w:rsid w:val="584A0A6A"/>
    <w:rsid w:val="585D29D6"/>
    <w:rsid w:val="59132D10"/>
    <w:rsid w:val="591710B8"/>
    <w:rsid w:val="59BB600E"/>
    <w:rsid w:val="59C524D5"/>
    <w:rsid w:val="5A505458"/>
    <w:rsid w:val="5A731BCE"/>
    <w:rsid w:val="5AB9192B"/>
    <w:rsid w:val="5ACA1D83"/>
    <w:rsid w:val="5BE227BF"/>
    <w:rsid w:val="5BF360C7"/>
    <w:rsid w:val="5D136C3E"/>
    <w:rsid w:val="5D8E40C4"/>
    <w:rsid w:val="5DA73435"/>
    <w:rsid w:val="5E0B315A"/>
    <w:rsid w:val="5E9014AB"/>
    <w:rsid w:val="5EBC76FA"/>
    <w:rsid w:val="5FB1348A"/>
    <w:rsid w:val="6030484F"/>
    <w:rsid w:val="60536729"/>
    <w:rsid w:val="607D4D71"/>
    <w:rsid w:val="610203EF"/>
    <w:rsid w:val="61051BBD"/>
    <w:rsid w:val="61135646"/>
    <w:rsid w:val="61254671"/>
    <w:rsid w:val="612E16FD"/>
    <w:rsid w:val="61334FD6"/>
    <w:rsid w:val="61794856"/>
    <w:rsid w:val="625B0E6A"/>
    <w:rsid w:val="62774C2F"/>
    <w:rsid w:val="6283528F"/>
    <w:rsid w:val="62C3746A"/>
    <w:rsid w:val="63282B3C"/>
    <w:rsid w:val="63A42106"/>
    <w:rsid w:val="640544A8"/>
    <w:rsid w:val="640E399E"/>
    <w:rsid w:val="6441108B"/>
    <w:rsid w:val="645F7296"/>
    <w:rsid w:val="64C22AF0"/>
    <w:rsid w:val="65E13B24"/>
    <w:rsid w:val="66495BDD"/>
    <w:rsid w:val="66EA7A6D"/>
    <w:rsid w:val="67413BF6"/>
    <w:rsid w:val="67446105"/>
    <w:rsid w:val="676A3FB8"/>
    <w:rsid w:val="67A5489B"/>
    <w:rsid w:val="67B56133"/>
    <w:rsid w:val="684F2AAF"/>
    <w:rsid w:val="68976726"/>
    <w:rsid w:val="68D50789"/>
    <w:rsid w:val="68E35521"/>
    <w:rsid w:val="690A7135"/>
    <w:rsid w:val="6971770E"/>
    <w:rsid w:val="6A401060"/>
    <w:rsid w:val="6A471D82"/>
    <w:rsid w:val="6AA64288"/>
    <w:rsid w:val="6AC91050"/>
    <w:rsid w:val="6AF82A0D"/>
    <w:rsid w:val="6B39757A"/>
    <w:rsid w:val="6B7071D4"/>
    <w:rsid w:val="6BCE176C"/>
    <w:rsid w:val="6BDF7488"/>
    <w:rsid w:val="6BF43BAA"/>
    <w:rsid w:val="6BFB72B5"/>
    <w:rsid w:val="6C5513E9"/>
    <w:rsid w:val="6C965D24"/>
    <w:rsid w:val="6CF6789A"/>
    <w:rsid w:val="6D50338F"/>
    <w:rsid w:val="6D79502A"/>
    <w:rsid w:val="6DCC6B38"/>
    <w:rsid w:val="6DDD0AD4"/>
    <w:rsid w:val="6E106BD1"/>
    <w:rsid w:val="6ECE284A"/>
    <w:rsid w:val="6F3C2036"/>
    <w:rsid w:val="6F416438"/>
    <w:rsid w:val="6F552B79"/>
    <w:rsid w:val="6F6438D1"/>
    <w:rsid w:val="6F8275FE"/>
    <w:rsid w:val="6FFF5031"/>
    <w:rsid w:val="70176FD3"/>
    <w:rsid w:val="70500265"/>
    <w:rsid w:val="708304A5"/>
    <w:rsid w:val="7166431B"/>
    <w:rsid w:val="721101F2"/>
    <w:rsid w:val="72324521"/>
    <w:rsid w:val="72414F83"/>
    <w:rsid w:val="72924AA6"/>
    <w:rsid w:val="72AA0407"/>
    <w:rsid w:val="72FF663B"/>
    <w:rsid w:val="73665F22"/>
    <w:rsid w:val="73ED2EBE"/>
    <w:rsid w:val="76091AB6"/>
    <w:rsid w:val="76427692"/>
    <w:rsid w:val="765F5C05"/>
    <w:rsid w:val="767E5E6A"/>
    <w:rsid w:val="76896BE8"/>
    <w:rsid w:val="76910718"/>
    <w:rsid w:val="76993924"/>
    <w:rsid w:val="77B6211F"/>
    <w:rsid w:val="77C60C6B"/>
    <w:rsid w:val="77E53F28"/>
    <w:rsid w:val="780B2334"/>
    <w:rsid w:val="78390F2F"/>
    <w:rsid w:val="785F37FD"/>
    <w:rsid w:val="789979D1"/>
    <w:rsid w:val="78F47F26"/>
    <w:rsid w:val="795F1B2D"/>
    <w:rsid w:val="79707849"/>
    <w:rsid w:val="79891BE0"/>
    <w:rsid w:val="79FB47F8"/>
    <w:rsid w:val="7A905722"/>
    <w:rsid w:val="7AFB141C"/>
    <w:rsid w:val="7B411159"/>
    <w:rsid w:val="7B7A6B1A"/>
    <w:rsid w:val="7BD173B3"/>
    <w:rsid w:val="7C92616D"/>
    <w:rsid w:val="7C9725F4"/>
    <w:rsid w:val="7CB266A1"/>
    <w:rsid w:val="7D1459C1"/>
    <w:rsid w:val="7D584E1B"/>
    <w:rsid w:val="7D5A0034"/>
    <w:rsid w:val="7DA30D22"/>
    <w:rsid w:val="7DF267F1"/>
    <w:rsid w:val="7E672870"/>
    <w:rsid w:val="7EC63350"/>
    <w:rsid w:val="7ED763A7"/>
    <w:rsid w:val="7F0710F4"/>
    <w:rsid w:val="7F0C595B"/>
    <w:rsid w:val="7F397345"/>
    <w:rsid w:val="7F8903C9"/>
    <w:rsid w:val="7F8F09A8"/>
    <w:rsid w:val="7F9E3966"/>
    <w:rsid w:val="7FA8499B"/>
    <w:rsid w:val="7FD3754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adjustRightInd w:val="0"/>
      <w:spacing w:before="100" w:after="100" w:line="600" w:lineRule="exact"/>
      <w:textAlignment w:val="baseline"/>
      <w:outlineLvl w:val="1"/>
    </w:pPr>
    <w:rPr>
      <w:rFonts w:eastAsia="黑体"/>
      <w:kern w:val="0"/>
      <w:sz w:val="32"/>
      <w:szCs w:val="20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280" w:after="290" w:line="372" w:lineRule="auto"/>
      <w:ind w:left="864" w:hanging="864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1"/>
    <w:qFormat/>
    <w:uiPriority w:val="0"/>
    <w:pPr>
      <w:keepNext/>
      <w:keepLines/>
      <w:tabs>
        <w:tab w:val="left" w:pos="1008"/>
      </w:tabs>
      <w:adjustRightInd w:val="0"/>
      <w:spacing w:before="280" w:after="290" w:line="376" w:lineRule="atLeast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qFormat/>
    <w:uiPriority w:val="0"/>
    <w:pPr>
      <w:keepNext/>
      <w:keepLines/>
      <w:tabs>
        <w:tab w:val="left" w:pos="1152"/>
        <w:tab w:val="left" w:pos="2160"/>
      </w:tabs>
      <w:adjustRightInd w:val="0"/>
      <w:spacing w:before="240" w:after="64" w:line="320" w:lineRule="atLeast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 w:val="24"/>
    </w:rPr>
  </w:style>
  <w:style w:type="paragraph" w:styleId="9">
    <w:name w:val="heading 7"/>
    <w:basedOn w:val="1"/>
    <w:next w:val="1"/>
    <w:qFormat/>
    <w:uiPriority w:val="0"/>
    <w:pPr>
      <w:keepNext/>
      <w:keepLines/>
      <w:tabs>
        <w:tab w:val="left" w:pos="1296"/>
      </w:tabs>
      <w:adjustRightInd w:val="0"/>
      <w:spacing w:before="240" w:after="64" w:line="320" w:lineRule="atLeast"/>
      <w:ind w:left="1296" w:hanging="1296"/>
      <w:textAlignment w:val="baseline"/>
      <w:outlineLvl w:val="6"/>
    </w:pPr>
    <w:rPr>
      <w:b/>
      <w:bCs/>
      <w:kern w:val="0"/>
      <w:sz w:val="24"/>
    </w:rPr>
  </w:style>
  <w:style w:type="paragraph" w:styleId="10">
    <w:name w:val="heading 8"/>
    <w:basedOn w:val="1"/>
    <w:next w:val="1"/>
    <w:qFormat/>
    <w:uiPriority w:val="0"/>
    <w:pPr>
      <w:keepNext/>
      <w:keepLines/>
      <w:tabs>
        <w:tab w:val="left" w:pos="1440"/>
      </w:tabs>
      <w:adjustRightInd w:val="0"/>
      <w:spacing w:before="240" w:after="64" w:line="320" w:lineRule="atLeast"/>
      <w:ind w:left="1440" w:hanging="1440"/>
      <w:textAlignment w:val="baseline"/>
      <w:outlineLvl w:val="7"/>
    </w:pPr>
    <w:rPr>
      <w:rFonts w:ascii="Arial" w:hAnsi="Arial" w:eastAsia="黑体"/>
      <w:kern w:val="0"/>
      <w:sz w:val="24"/>
    </w:rPr>
  </w:style>
  <w:style w:type="paragraph" w:styleId="11">
    <w:name w:val="heading 9"/>
    <w:basedOn w:val="1"/>
    <w:next w:val="1"/>
    <w:qFormat/>
    <w:uiPriority w:val="0"/>
    <w:pPr>
      <w:keepNext/>
      <w:keepLines/>
      <w:tabs>
        <w:tab w:val="left" w:pos="1584"/>
      </w:tabs>
      <w:adjustRightInd w:val="0"/>
      <w:spacing w:before="240" w:after="64" w:line="320" w:lineRule="atLeast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22">
    <w:name w:val="Default Paragraph Font"/>
    <w:semiHidden/>
    <w:qFormat/>
    <w:uiPriority w:val="0"/>
  </w:style>
  <w:style w:type="table" w:default="1" w:styleId="2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next w:val="1"/>
    <w:unhideWhenUsed/>
    <w:qFormat/>
    <w:uiPriority w:val="99"/>
    <w:pPr>
      <w:spacing w:after="120"/>
      <w:ind w:left="1440" w:leftChars="700" w:right="1440" w:rightChars="700"/>
    </w:pPr>
  </w:style>
  <w:style w:type="paragraph" w:styleId="12">
    <w:name w:val="annotation text"/>
    <w:basedOn w:val="1"/>
    <w:link w:val="27"/>
    <w:semiHidden/>
    <w:qFormat/>
    <w:uiPriority w:val="0"/>
    <w:pPr>
      <w:jc w:val="left"/>
    </w:pPr>
  </w:style>
  <w:style w:type="paragraph" w:styleId="13">
    <w:name w:val="Body Text"/>
    <w:basedOn w:val="1"/>
    <w:next w:val="14"/>
    <w:qFormat/>
    <w:uiPriority w:val="0"/>
    <w:pPr>
      <w:spacing w:after="120"/>
      <w:ind w:firstLine="200" w:firstLineChars="200"/>
    </w:pPr>
    <w:rPr>
      <w:sz w:val="24"/>
    </w:rPr>
  </w:style>
  <w:style w:type="paragraph" w:styleId="14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15">
    <w:name w:val="Plain Text"/>
    <w:basedOn w:val="1"/>
    <w:qFormat/>
    <w:uiPriority w:val="0"/>
    <w:rPr>
      <w:rFonts w:ascii="宋体" w:hAnsi="Courier New"/>
      <w:szCs w:val="20"/>
    </w:rPr>
  </w:style>
  <w:style w:type="paragraph" w:styleId="16">
    <w:name w:val="Balloon Text"/>
    <w:basedOn w:val="1"/>
    <w:semiHidden/>
    <w:qFormat/>
    <w:uiPriority w:val="0"/>
    <w:rPr>
      <w:sz w:val="18"/>
      <w:szCs w:val="18"/>
    </w:rPr>
  </w:style>
  <w:style w:type="paragraph" w:styleId="1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1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9">
    <w:name w:val="toc 1"/>
    <w:basedOn w:val="1"/>
    <w:next w:val="1"/>
    <w:qFormat/>
    <w:uiPriority w:val="39"/>
  </w:style>
  <w:style w:type="paragraph" w:styleId="20">
    <w:name w:val="annotation subject"/>
    <w:basedOn w:val="12"/>
    <w:next w:val="12"/>
    <w:link w:val="28"/>
    <w:qFormat/>
    <w:uiPriority w:val="0"/>
    <w:rPr>
      <w:b/>
      <w:bCs/>
    </w:rPr>
  </w:style>
  <w:style w:type="character" w:styleId="23">
    <w:name w:val="Strong"/>
    <w:qFormat/>
    <w:uiPriority w:val="0"/>
    <w:rPr>
      <w:b/>
      <w:bCs/>
    </w:rPr>
  </w:style>
  <w:style w:type="character" w:styleId="24">
    <w:name w:val="page number"/>
    <w:qFormat/>
    <w:uiPriority w:val="0"/>
    <w:rPr>
      <w:rFonts w:ascii="Times New Roman" w:hAnsi="Times New Roman" w:eastAsia="宋体"/>
      <w:sz w:val="18"/>
    </w:rPr>
  </w:style>
  <w:style w:type="character" w:styleId="25">
    <w:name w:val="Hyperlink"/>
    <w:qFormat/>
    <w:uiPriority w:val="99"/>
    <w:rPr>
      <w:rFonts w:hint="default" w:ascii="Arial" w:hAnsi="Arial" w:cs="Arial"/>
      <w:color w:val="0000AA"/>
      <w:u w:val="single"/>
    </w:rPr>
  </w:style>
  <w:style w:type="character" w:styleId="26">
    <w:name w:val="annotation reference"/>
    <w:semiHidden/>
    <w:qFormat/>
    <w:uiPriority w:val="0"/>
    <w:rPr>
      <w:sz w:val="21"/>
      <w:szCs w:val="21"/>
    </w:rPr>
  </w:style>
  <w:style w:type="character" w:customStyle="1" w:styleId="27">
    <w:name w:val="批注文字 Char"/>
    <w:link w:val="12"/>
    <w:semiHidden/>
    <w:qFormat/>
    <w:uiPriority w:val="0"/>
    <w:rPr>
      <w:kern w:val="2"/>
      <w:sz w:val="21"/>
      <w:szCs w:val="24"/>
    </w:rPr>
  </w:style>
  <w:style w:type="character" w:customStyle="1" w:styleId="28">
    <w:name w:val="批注主题 Char"/>
    <w:link w:val="20"/>
    <w:qFormat/>
    <w:uiPriority w:val="0"/>
    <w:rPr>
      <w:b/>
      <w:bCs/>
      <w:kern w:val="2"/>
      <w:sz w:val="21"/>
      <w:szCs w:val="24"/>
    </w:rPr>
  </w:style>
  <w:style w:type="paragraph" w:customStyle="1" w:styleId="29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30">
    <w:name w:val="font01"/>
    <w:qFormat/>
    <w:uiPriority w:val="0"/>
    <w:rPr>
      <w:rFonts w:hint="eastAsia" w:ascii="微软雅黑" w:hAnsi="微软雅黑" w:eastAsia="微软雅黑" w:cs="微软雅黑"/>
      <w:color w:val="FF0000"/>
      <w:sz w:val="18"/>
      <w:szCs w:val="18"/>
      <w:u w:val="none"/>
    </w:rPr>
  </w:style>
  <w:style w:type="character" w:customStyle="1" w:styleId="31">
    <w:name w:val="font31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  <w:style w:type="paragraph" w:customStyle="1" w:styleId="32">
    <w:name w:val="图表脚注"/>
    <w:next w:val="1"/>
    <w:qFormat/>
    <w:uiPriority w:val="0"/>
    <w:pPr>
      <w:numPr>
        <w:ilvl w:val="6"/>
        <w:numId w:val="1"/>
      </w:num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33">
    <w:name w:val="发布日期"/>
    <w:qFormat/>
    <w:uiPriority w:val="0"/>
    <w:pPr>
      <w:framePr w:w="4000" w:h="473" w:hRule="exact" w:hSpace="180" w:vSpace="180" w:wrap="around" w:vAnchor="margin" w:hAnchor="margin" w:y="13511" w:anchorLock="1"/>
    </w:pPr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34">
    <w:name w:val="zi"/>
    <w:basedOn w:val="1"/>
    <w:qFormat/>
    <w:uiPriority w:val="0"/>
    <w:pPr>
      <w:widowControl/>
      <w:spacing w:before="100" w:beforeAutospacing="1" w:after="100" w:afterAutospacing="1" w:line="336" w:lineRule="atLeast"/>
      <w:jc w:val="left"/>
    </w:pPr>
    <w:rPr>
      <w:rFonts w:ascii="ˎ̥" w:hAnsi="ˎ̥" w:cs="宋体"/>
      <w:color w:val="000000"/>
      <w:kern w:val="0"/>
      <w:sz w:val="22"/>
      <w:szCs w:val="22"/>
    </w:rPr>
  </w:style>
  <w:style w:type="paragraph" w:customStyle="1" w:styleId="35">
    <w:name w:val="前言、引言标题"/>
    <w:next w:val="1"/>
    <w:qFormat/>
    <w:uiPriority w:val="0"/>
    <w:pPr>
      <w:numPr>
        <w:ilvl w:val="0"/>
        <w:numId w:val="1"/>
      </w:numPr>
      <w:shd w:val="clear" w:color="FFFFFF" w:fill="FFFFFF"/>
      <w:tabs>
        <w:tab w:val="left" w:pos="360"/>
      </w:tabs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36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7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8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39">
    <w:name w:val="标准标志"/>
    <w:next w:val="1"/>
    <w:qFormat/>
    <w:uiPriority w:val="0"/>
    <w:pPr>
      <w:framePr w:w="2268" w:h="1392" w:hRule="exact" w:wrap="around" w:vAnchor="margin" w:hAnchor="margin" w:x="6748" w:y="171" w:anchorLock="1"/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40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41">
    <w:name w:val="二级条标题"/>
    <w:basedOn w:val="42"/>
    <w:next w:val="1"/>
    <w:qFormat/>
    <w:uiPriority w:val="0"/>
    <w:pPr>
      <w:numPr>
        <w:ilvl w:val="3"/>
        <w:numId w:val="1"/>
      </w:numPr>
      <w:tabs>
        <w:tab w:val="left" w:pos="360"/>
      </w:tabs>
      <w:outlineLvl w:val="3"/>
    </w:pPr>
  </w:style>
  <w:style w:type="paragraph" w:customStyle="1" w:styleId="42">
    <w:name w:val="一级条标题"/>
    <w:basedOn w:val="43"/>
    <w:next w:val="1"/>
    <w:qFormat/>
    <w:uiPriority w:val="0"/>
    <w:pPr>
      <w:numPr>
        <w:ilvl w:val="2"/>
        <w:numId w:val="1"/>
      </w:numPr>
      <w:tabs>
        <w:tab w:val="left" w:pos="360"/>
      </w:tabs>
      <w:spacing w:before="0" w:beforeLines="0" w:after="0" w:afterLines="0"/>
      <w:outlineLvl w:val="2"/>
    </w:pPr>
  </w:style>
  <w:style w:type="paragraph" w:customStyle="1" w:styleId="43">
    <w:name w:val="章标题"/>
    <w:next w:val="1"/>
    <w:qFormat/>
    <w:uiPriority w:val="0"/>
    <w:pPr>
      <w:numPr>
        <w:ilvl w:val="1"/>
        <w:numId w:val="1"/>
      </w:numPr>
      <w:tabs>
        <w:tab w:val="left" w:pos="360"/>
      </w:tabs>
      <w:spacing w:before="50" w:beforeLines="50" w:after="50" w:afterLines="5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44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45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46">
    <w:name w:val="封面标准名称"/>
    <w:qFormat/>
    <w:uiPriority w:val="0"/>
    <w:pPr>
      <w:framePr w:w="9638" w:h="6917" w:hRule="exact" w:wrap="around" w:vAnchor="margin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47">
    <w:name w:val="其他发布部门"/>
    <w:basedOn w:val="1"/>
    <w:qFormat/>
    <w:uiPriority w:val="0"/>
    <w:pPr>
      <w:framePr w:w="7433" w:h="585" w:hRule="exact" w:hSpace="180" w:vSpace="180" w:wrap="around" w:vAnchor="margin" w:hAnchor="margin" w:xAlign="center" w:y="14401" w:anchorLock="1"/>
      <w:widowControl/>
      <w:numPr>
        <w:ilvl w:val="4"/>
        <w:numId w:val="1"/>
      </w:numPr>
      <w:spacing w:line="0" w:lineRule="atLeast"/>
      <w:jc w:val="center"/>
    </w:pPr>
    <w:rPr>
      <w:rFonts w:ascii="黑体" w:eastAsia="黑体"/>
      <w:spacing w:val="20"/>
      <w:w w:val="135"/>
      <w:kern w:val="0"/>
      <w:sz w:val="36"/>
      <w:szCs w:val="20"/>
    </w:rPr>
  </w:style>
  <w:style w:type="paragraph" w:customStyle="1" w:styleId="48">
    <w:name w:val="数字编号列项（二级）"/>
    <w:qFormat/>
    <w:uiPriority w:val="0"/>
    <w:pPr>
      <w:numPr>
        <w:ilvl w:val="5"/>
        <w:numId w:val="1"/>
      </w:numPr>
      <w:ind w:left="1260" w:leftChars="4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49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50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51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52">
    <w:name w:val="实施日期"/>
    <w:basedOn w:val="33"/>
    <w:qFormat/>
    <w:uiPriority w:val="0"/>
    <w:pPr>
      <w:framePr w:hSpace="0" w:xAlign="right"/>
      <w:jc w:val="right"/>
    </w:pPr>
  </w:style>
  <w:style w:type="paragraph" w:customStyle="1" w:styleId="53">
    <w:name w:val="文献分类号"/>
    <w:qFormat/>
    <w:uiPriority w:val="0"/>
    <w:pPr>
      <w:framePr w:hSpace="180" w:vSpace="180" w:wrap="around" w:vAnchor="margin" w:hAnchor="margin" w:y="1" w:anchorLock="1"/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54">
    <w:name w:val="标准称谓"/>
    <w:next w:val="1"/>
    <w:qFormat/>
    <w:uiPriority w:val="0"/>
    <w:pPr>
      <w:framePr w:w="9638" w:h="754" w:hRule="exact" w:hSpace="180" w:vSpace="180" w:wrap="around" w:vAnchor="page" w:hAnchor="margin" w:xAlign="center" w:y="2128" w:anchorLock="1"/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bCs/>
      <w:spacing w:val="20"/>
      <w:w w:val="148"/>
      <w:sz w:val="52"/>
      <w:lang w:val="en-US" w:eastAsia="zh-CN" w:bidi="ar-SA"/>
    </w:rPr>
  </w:style>
  <w:style w:type="paragraph" w:customStyle="1" w:styleId="55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56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szpsb</Company>
  <Pages>7</Pages>
  <Words>533</Words>
  <Characters>3042</Characters>
  <Lines>25</Lines>
  <Paragraphs>7</Paragraphs>
  <TotalTime>17</TotalTime>
  <ScaleCrop>false</ScaleCrop>
  <LinksUpToDate>false</LinksUpToDate>
  <CharactersWithSpaces>3568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2019-03-04T02:06:00Z</dcterms:created>
  <dc:creator>李曼</dc:creator>
  <cp:lastModifiedBy>wangjq</cp:lastModifiedBy>
  <cp:lastPrinted>2020-07-31T02:54:00Z</cp:lastPrinted>
  <dcterms:modified xsi:type="dcterms:W3CDTF">2024-05-09T02:17:11Z</dcterms:modified>
  <dc:title>二次系统安全防护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A0A503234D02422A8EC7BFE6F4883228</vt:lpwstr>
  </property>
</Properties>
</file>