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snapToGrid w:val="0"/>
        <w:spacing w:line="480" w:lineRule="auto"/>
        <w:ind w:firstLine="0" w:firstLineChars="0"/>
        <w:jc w:val="center"/>
        <w:rPr>
          <w:rFonts w:hint="eastAsia" w:ascii="宋体" w:hAnsi="宋体" w:eastAsia="宋体" w:cs="宋体"/>
          <w:b/>
          <w:bCs w:val="0"/>
          <w:sz w:val="52"/>
          <w:szCs w:val="52"/>
        </w:rPr>
      </w:pPr>
      <w:bookmarkStart w:id="0" w:name="_Toc323572795"/>
      <w:bookmarkStart w:id="1" w:name="_Toc274902993"/>
      <w:bookmarkStart w:id="2" w:name="_Toc244916004"/>
      <w:bookmarkStart w:id="3" w:name="_Toc371453820"/>
      <w:bookmarkStart w:id="4" w:name="_Toc371343937"/>
      <w:bookmarkStart w:id="5" w:name="_Toc371453819"/>
      <w:bookmarkStart w:id="6" w:name="_Toc339216642"/>
      <w:bookmarkStart w:id="7" w:name="_Toc371343936"/>
      <w:bookmarkStart w:id="8" w:name="_Toc339216643"/>
      <w:bookmarkStart w:id="9" w:name="_Toc274903054"/>
      <w:r>
        <w:rPr>
          <w:rFonts w:hint="eastAsia" w:ascii="宋体" w:hAnsi="宋体" w:eastAsia="宋体" w:cs="宋体"/>
          <w:b/>
          <w:bCs w:val="0"/>
          <w:sz w:val="52"/>
          <w:szCs w:val="52"/>
        </w:rPr>
        <w:t>广西电力线路器材厂</w:t>
      </w:r>
      <w:r>
        <w:rPr>
          <w:rFonts w:hint="eastAsia" w:ascii="宋体" w:hAnsi="宋体" w:eastAsia="宋体" w:cs="宋体"/>
          <w:b/>
          <w:bCs w:val="0"/>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color w:val="auto"/>
          <w:sz w:val="32"/>
          <w:szCs w:val="32"/>
          <w:highlight w:val="none"/>
        </w:rPr>
      </w:pPr>
      <w:r>
        <w:rPr>
          <w:rFonts w:hint="eastAsia" w:asciiTheme="majorEastAsia" w:hAnsiTheme="majorEastAsia" w:eastAsiaTheme="majorEastAsia" w:cstheme="majorEastAsia"/>
          <w:b/>
          <w:color w:val="auto"/>
          <w:sz w:val="44"/>
          <w:szCs w:val="44"/>
          <w:highlight w:val="none"/>
          <w:lang w:val="en-US" w:eastAsia="zh-CN"/>
        </w:rPr>
        <w:t>环境监测</w:t>
      </w:r>
      <w:r>
        <w:rPr>
          <w:rFonts w:hint="eastAsia" w:asciiTheme="majorEastAsia" w:hAnsiTheme="majorEastAsia" w:eastAsiaTheme="majorEastAsia" w:cstheme="majorEastAsia"/>
          <w:b/>
          <w:color w:val="auto"/>
          <w:sz w:val="44"/>
          <w:szCs w:val="44"/>
          <w:highlight w:val="none"/>
        </w:rPr>
        <w:t>服务项目技术规范书</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bookmarkStart w:id="15" w:name="_GoBack"/>
      <w:bookmarkEnd w:id="15"/>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pPr>
        <w:ind w:firstLine="2249" w:firstLineChars="800"/>
        <w:rPr>
          <w:rFonts w:hint="eastAsia" w:ascii="宋体" w:hAnsi="宋体" w:eastAsia="宋体"/>
          <w:b/>
          <w:sz w:val="28"/>
          <w:szCs w:val="28"/>
          <w:lang w:eastAsia="zh-CN"/>
        </w:rPr>
      </w:pPr>
      <w:bookmarkStart w:id="10" w:name="_Toc399839020"/>
      <w:bookmarkStart w:id="11" w:name="_Toc372699294"/>
      <w:bookmarkStart w:id="12" w:name="_Toc371153697"/>
      <w:bookmarkStart w:id="13" w:name="_Toc371344042"/>
      <w:bookmarkStart w:id="14" w:name="_Toc369269815"/>
      <w:r>
        <w:rPr>
          <w:rFonts w:hint="eastAsia" w:ascii="宋体" w:hAnsi="宋体" w:eastAsia="宋体"/>
          <w:b/>
          <w:sz w:val="28"/>
          <w:szCs w:val="28"/>
          <w:lang w:eastAsia="zh-CN"/>
        </w:rPr>
        <w:t>广西电力线路器材厂有限责任公司</w:t>
      </w:r>
    </w:p>
    <w:p>
      <w:pPr>
        <w:ind w:firstLine="3092" w:firstLineChars="1100"/>
        <w:jc w:val="both"/>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24</w:t>
      </w:r>
      <w:r>
        <w:rPr>
          <w:rFonts w:ascii="宋体" w:hAnsi="宋体"/>
          <w:b/>
          <w:sz w:val="28"/>
          <w:szCs w:val="28"/>
        </w:rPr>
        <w:t>年</w:t>
      </w:r>
      <w:r>
        <w:rPr>
          <w:rFonts w:hint="eastAsia" w:ascii="宋体" w:hAnsi="宋体"/>
          <w:b/>
          <w:sz w:val="28"/>
          <w:szCs w:val="28"/>
          <w:lang w:val="en-US" w:eastAsia="zh-CN"/>
        </w:rPr>
        <w:t>5</w:t>
      </w:r>
      <w:r>
        <w:rPr>
          <w:rFonts w:ascii="宋体" w:hAnsi="宋体"/>
          <w:b/>
          <w:sz w:val="28"/>
          <w:szCs w:val="28"/>
        </w:rPr>
        <w:t>月</w:t>
      </w:r>
      <w:r>
        <w:rPr>
          <w:rFonts w:hint="eastAsia" w:ascii="宋体" w:hAnsi="宋体"/>
          <w:b/>
          <w:sz w:val="28"/>
          <w:szCs w:val="28"/>
          <w:lang w:val="en-US" w:eastAsia="zh-CN"/>
        </w:rPr>
        <w:t>13</w:t>
      </w:r>
      <w:r>
        <w:rPr>
          <w:rFonts w:hint="eastAsia" w:ascii="宋体" w:hAnsi="宋体"/>
          <w:b/>
          <w:sz w:val="28"/>
          <w:szCs w:val="28"/>
        </w:rPr>
        <w:t>日</w:t>
      </w:r>
    </w:p>
    <w:p>
      <w:pPr>
        <w:numPr>
          <w:ilvl w:val="0"/>
          <w:numId w:val="0"/>
        </w:numPr>
        <w:adjustRightInd w:val="0"/>
        <w:snapToGrid w:val="0"/>
        <w:spacing w:line="360" w:lineRule="auto"/>
        <w:rPr>
          <w:rFonts w:hint="eastAsia" w:ascii="宋体" w:hAnsi="宋体"/>
          <w:b/>
          <w:bCs/>
          <w:color w:val="auto"/>
          <w:sz w:val="24"/>
          <w:highlight w:val="none"/>
          <w:lang w:val="en-US" w:eastAsia="zh-CN"/>
        </w:rPr>
      </w:pPr>
    </w:p>
    <w:p>
      <w:pPr>
        <w:numPr>
          <w:ilvl w:val="0"/>
          <w:numId w:val="0"/>
        </w:num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广西电力线路器材厂有限责任公司2024年环境监测服务项目零星采购项目。</w:t>
      </w:r>
    </w:p>
    <w:p>
      <w:pPr>
        <w:numPr>
          <w:ilvl w:val="0"/>
          <w:numId w:val="0"/>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numPr>
          <w:ilvl w:val="0"/>
          <w:numId w:val="0"/>
        </w:numPr>
        <w:adjustRightInd w:val="0"/>
        <w:snapToGrid w:val="0"/>
        <w:spacing w:line="360" w:lineRule="auto"/>
        <w:ind w:firstLine="481"/>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按排污许可证要求，进行环境年度监测，本次采购将完成2024年环境监测服务，特申请采购环境监测服务。</w:t>
      </w:r>
    </w:p>
    <w:p>
      <w:pPr>
        <w:numPr>
          <w:ilvl w:val="0"/>
          <w:numId w:val="3"/>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numPr>
          <w:ilvl w:val="0"/>
          <w:numId w:val="4"/>
        </w:numPr>
        <w:adjustRightInd w:val="0"/>
        <w:snapToGrid w:val="0"/>
        <w:spacing w:line="360" w:lineRule="auto"/>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监测内容：</w:t>
      </w:r>
    </w:p>
    <w:p>
      <w:pPr>
        <w:adjustRightInd w:val="0"/>
        <w:snapToGrid w:val="0"/>
        <w:spacing w:line="360" w:lineRule="auto"/>
        <w:rPr>
          <w:rFonts w:hint="default"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详见附件一《广西电力线路器材厂有限责任公司2024年自行监测方案》。</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4、采购方式</w:t>
      </w:r>
    </w:p>
    <w:p>
      <w:pPr>
        <w:adjustRightInd w:val="0"/>
        <w:snapToGrid w:val="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零星采购</w:t>
      </w:r>
    </w:p>
    <w:p>
      <w:pPr>
        <w:adjustRightInd w:val="0"/>
        <w:snapToGrid w:val="0"/>
        <w:spacing w:line="360" w:lineRule="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5、</w:t>
      </w:r>
      <w:r>
        <w:rPr>
          <w:rFonts w:hint="eastAsia" w:ascii="宋体" w:hAnsi="宋体" w:eastAsia="宋体"/>
          <w:b/>
          <w:bCs/>
          <w:color w:val="auto"/>
          <w:sz w:val="24"/>
          <w:highlight w:val="none"/>
          <w:lang w:val="en-US" w:eastAsia="zh-CN"/>
        </w:rPr>
        <w:t>项目类别</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服务</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资质要求</w:t>
      </w:r>
    </w:p>
    <w:tbl>
      <w:tblPr>
        <w:tblStyle w:val="21"/>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4.5</w:t>
            </w:r>
          </w:p>
        </w:tc>
        <w:tc>
          <w:tcPr>
            <w:tcW w:w="7229" w:type="dxa"/>
            <w:vAlign w:val="center"/>
          </w:tcPr>
          <w:p>
            <w:pPr>
              <w:ind w:left="113" w:leftChars="0"/>
              <w:rPr>
                <w:rFonts w:hint="default" w:ascii="宋体" w:hAnsi="宋体" w:eastAsia="宋体"/>
                <w:sz w:val="24"/>
                <w:highlight w:val="none"/>
                <w:lang w:val="en-US"/>
              </w:rPr>
            </w:pPr>
            <w:r>
              <w:rPr>
                <w:rFonts w:hint="eastAsia" w:ascii="宋体" w:hAnsi="宋体"/>
                <w:sz w:val="24"/>
                <w:highlight w:val="none"/>
                <w:lang w:val="en-US" w:eastAsia="zh-CN"/>
              </w:rPr>
              <w:t>环境监测检验机构资质认定证书等</w:t>
            </w:r>
          </w:p>
        </w:tc>
      </w:tr>
    </w:tbl>
    <w:p>
      <w:pPr>
        <w:adjustRightInd w:val="0"/>
        <w:snapToGrid w:val="0"/>
        <w:spacing w:line="360" w:lineRule="auto"/>
        <w:rPr>
          <w:rFonts w:hint="eastAsia" w:ascii="宋体" w:hAnsi="宋体"/>
          <w:b/>
          <w:bCs/>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7、供应商需提供证明文件</w:t>
      </w:r>
    </w:p>
    <w:p>
      <w:pPr>
        <w:adjustRightInd w:val="0"/>
        <w:snapToGrid w:val="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sz w:val="24"/>
          <w:highlight w:val="none"/>
          <w:lang w:val="en-US" w:eastAsia="zh-CN"/>
        </w:rPr>
        <w:t>环境监测检验机构资质认定证书及</w:t>
      </w:r>
      <w:r>
        <w:rPr>
          <w:rFonts w:hint="eastAsia" w:ascii="宋体" w:hAnsi="宋体"/>
          <w:color w:val="auto"/>
          <w:sz w:val="24"/>
          <w:highlight w:val="none"/>
          <w:lang w:val="en-US" w:eastAsia="zh-CN"/>
        </w:rPr>
        <w:t>相关资质能力证明材料</w:t>
      </w:r>
      <w:r>
        <w:rPr>
          <w:rFonts w:hint="eastAsia" w:ascii="宋体" w:hAnsi="宋体" w:eastAsia="宋体"/>
          <w:color w:val="auto"/>
          <w:sz w:val="24"/>
          <w:highlight w:val="none"/>
          <w:lang w:val="en-US" w:eastAsia="zh-CN"/>
        </w:rPr>
        <w:t>。</w:t>
      </w:r>
    </w:p>
    <w:p>
      <w:pPr>
        <w:adjustRightInd w:val="0"/>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8、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p>
      <w:pPr>
        <w:adjustRightInd w:val="0"/>
        <w:snapToGrid w:val="0"/>
        <w:spacing w:line="360" w:lineRule="auto"/>
        <w:rPr>
          <w:rFonts w:hint="eastAsia" w:ascii="宋体" w:hAnsi="宋体"/>
          <w:b/>
          <w:bCs/>
          <w:color w:val="auto"/>
          <w:sz w:val="24"/>
          <w:highlight w:val="none"/>
        </w:rPr>
      </w:pPr>
    </w:p>
    <w:tbl>
      <w:tblPr>
        <w:tblStyle w:val="20"/>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4"/>
                <w:highlight w:val="none"/>
              </w:rPr>
            </w:pPr>
            <w:r>
              <w:rPr>
                <w:rFonts w:hint="eastAsia" w:ascii="宋体" w:hAnsi="宋体" w:eastAsia="宋体"/>
                <w:sz w:val="24"/>
                <w:highlight w:val="none"/>
              </w:rPr>
              <w:t>1</w:t>
            </w:r>
          </w:p>
        </w:tc>
        <w:tc>
          <w:tcPr>
            <w:tcW w:w="2723"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default" w:ascii="宋体" w:hAnsi="宋体" w:eastAsia="宋体"/>
                <w:sz w:val="24"/>
                <w:highlight w:val="none"/>
                <w:lang w:val="en-US" w:eastAsia="zh-CN"/>
              </w:rPr>
              <w:t>环境监测服务项目</w:t>
            </w:r>
          </w:p>
        </w:tc>
        <w:tc>
          <w:tcPr>
            <w:tcW w:w="2070" w:type="dxa"/>
            <w:tcBorders>
              <w:tl2br w:val="nil"/>
              <w:tr2bl w:val="nil"/>
            </w:tcBorders>
            <w:shd w:val="clear" w:color="auto" w:fill="auto"/>
            <w:vAlign w:val="center"/>
          </w:tcPr>
          <w:p>
            <w:pPr>
              <w:rPr>
                <w:rFonts w:hint="default" w:ascii="宋体" w:hAnsi="宋体" w:eastAsia="宋体"/>
                <w:sz w:val="24"/>
                <w:highlight w:val="none"/>
                <w:lang w:val="en-US" w:eastAsia="zh-CN"/>
              </w:rPr>
            </w:pPr>
            <w:r>
              <w:rPr>
                <w:rFonts w:hint="default"/>
                <w:vertAlign w:val="baseline"/>
                <w:lang w:val="en-US" w:eastAsia="zh-CN"/>
              </w:rPr>
              <w:t>广西宾阳县黎塘镇永安东路224-4号</w:t>
            </w:r>
          </w:p>
        </w:tc>
        <w:tc>
          <w:tcPr>
            <w:tcW w:w="1088" w:type="dxa"/>
            <w:tcBorders>
              <w:tl2br w:val="nil"/>
              <w:tr2bl w:val="nil"/>
            </w:tcBorders>
            <w:shd w:val="clear" w:color="auto" w:fill="auto"/>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27000.00</w:t>
            </w:r>
          </w:p>
        </w:tc>
        <w:tc>
          <w:tcPr>
            <w:tcW w:w="1159"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服务期限1年</w:t>
            </w:r>
          </w:p>
        </w:tc>
      </w:tr>
      <w:bookmarkEnd w:id="10"/>
      <w:bookmarkEnd w:id="11"/>
      <w:bookmarkEnd w:id="12"/>
      <w:bookmarkEnd w:id="13"/>
      <w:bookmarkEnd w:id="14"/>
    </w:tbl>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提供真实有效的1%增值税专用发票。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w:t>
      </w:r>
      <w:r>
        <w:rPr>
          <w:rFonts w:hint="eastAsia" w:ascii="宋体" w:hAnsi="宋体"/>
          <w:sz w:val="24"/>
          <w:highlight w:val="none"/>
          <w:lang w:val="en-US" w:eastAsia="zh-CN"/>
        </w:rPr>
        <w:t>环境监测检验机构资质认定证书</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相关资质文件（</w:t>
      </w:r>
      <w:r>
        <w:rPr>
          <w:rFonts w:hint="eastAsia" w:ascii="宋体" w:hAnsi="宋体" w:cs="宋体"/>
          <w:color w:val="auto"/>
          <w:sz w:val="24"/>
          <w:highlight w:val="none"/>
          <w:lang w:val="en-US" w:eastAsia="zh-CN"/>
        </w:rPr>
        <w:t>彩色</w:t>
      </w:r>
      <w:r>
        <w:rPr>
          <w:rFonts w:hint="eastAsia" w:ascii="宋体" w:hAnsi="宋体" w:cs="宋体"/>
          <w:color w:val="auto"/>
          <w:sz w:val="24"/>
          <w:highlight w:val="none"/>
        </w:rPr>
        <w:t>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项目名称：广西电力线路器材厂有限责任公司2024年</w:t>
      </w:r>
      <w:r>
        <w:rPr>
          <w:rFonts w:hint="eastAsia" w:ascii="宋体" w:hAnsi="宋体" w:cs="宋体"/>
          <w:sz w:val="24"/>
          <w:szCs w:val="24"/>
          <w:lang w:val="en-US" w:eastAsia="zh-CN"/>
        </w:rPr>
        <w:t>环境监测</w:t>
      </w:r>
      <w:r>
        <w:rPr>
          <w:rFonts w:hint="eastAsia" w:ascii="宋体" w:hAnsi="宋体" w:eastAsia="宋体" w:cs="宋体"/>
          <w:sz w:val="24"/>
          <w:szCs w:val="24"/>
          <w:lang w:val="en-US" w:eastAsia="zh-CN"/>
        </w:rPr>
        <w:t>服务零星采购项目</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1"/>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default" w:ascii="宋体" w:hAnsi="宋体" w:cs="宋体"/>
                <w:spacing w:val="-1"/>
                <w:sz w:val="21"/>
                <w:szCs w:val="21"/>
                <w:lang w:val="en-US" w:eastAsia="zh-CN"/>
              </w:rPr>
              <w:t>环境监测服务项目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eastAsia" w:ascii="宋体" w:hAnsi="宋体" w:cs="宋体"/>
                <w:spacing w:val="-1"/>
                <w:szCs w:val="21"/>
                <w:lang w:val="en-US" w:eastAsia="zh-CN"/>
              </w:rPr>
            </w:pPr>
            <w:r>
              <w:rPr>
                <w:rFonts w:hint="eastAsia" w:ascii="宋体" w:hAnsi="宋体"/>
                <w:sz w:val="24"/>
                <w:highlight w:val="none"/>
                <w:lang w:val="en-US" w:eastAsia="zh-CN"/>
              </w:rPr>
              <w:t>服务期限1年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5"/>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为项目总价格，项目最高不得超过</w:t>
      </w:r>
      <w:r>
        <w:rPr>
          <w:rFonts w:hint="eastAsia" w:ascii="宋体" w:hAnsi="宋体" w:eastAsia="宋体" w:cs="宋体"/>
          <w:spacing w:val="-1"/>
          <w:szCs w:val="21"/>
          <w:lang w:val="en-US" w:eastAsia="zh-CN"/>
        </w:rPr>
        <w:t>￥</w:t>
      </w:r>
      <w:r>
        <w:rPr>
          <w:rFonts w:hint="eastAsia" w:ascii="宋体" w:hAnsi="宋体" w:cs="宋体"/>
          <w:spacing w:val="-1"/>
          <w:szCs w:val="21"/>
          <w:lang w:val="en-US" w:eastAsia="zh-CN"/>
        </w:rPr>
        <w:t>27000.00元。</w:t>
      </w:r>
    </w:p>
    <w:p>
      <w:pPr>
        <w:numPr>
          <w:ilvl w:val="0"/>
          <w:numId w:val="0"/>
        </w:numPr>
        <w:spacing w:line="360" w:lineRule="auto"/>
        <w:ind w:firstLine="416" w:firstLineChars="200"/>
        <w:rPr>
          <w:rFonts w:hint="default" w:ascii="宋体" w:hAnsi="宋体" w:cs="宋体"/>
          <w:spacing w:val="-1"/>
          <w:szCs w:val="21"/>
          <w:lang w:val="en-US" w:eastAsia="zh-CN"/>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w:t>
      </w:r>
      <w:r>
        <w:rPr>
          <w:rFonts w:hint="eastAsia" w:ascii="宋体" w:hAnsi="宋体" w:cs="宋体"/>
          <w:spacing w:val="-1"/>
          <w:szCs w:val="21"/>
          <w:lang w:val="en-US" w:eastAsia="zh-CN"/>
        </w:rPr>
        <w:t>差旅费</w:t>
      </w:r>
      <w:r>
        <w:rPr>
          <w:rFonts w:hint="eastAsia" w:ascii="宋体" w:hAnsi="宋体" w:cs="宋体"/>
          <w:spacing w:val="-1"/>
          <w:szCs w:val="21"/>
        </w:rPr>
        <w:t>及</w:t>
      </w:r>
      <w:r>
        <w:rPr>
          <w:rFonts w:hint="eastAsia" w:ascii="宋体" w:hAnsi="宋体" w:cs="宋体"/>
          <w:color w:val="auto"/>
          <w:spacing w:val="-1"/>
          <w:szCs w:val="21"/>
          <w:lang w:val="en-US" w:eastAsia="zh-CN"/>
        </w:rPr>
        <w:t>1</w:t>
      </w:r>
      <w:r>
        <w:rPr>
          <w:rFonts w:hint="eastAsia" w:ascii="宋体" w:hAnsi="宋体" w:cs="宋体"/>
          <w:color w:val="auto"/>
          <w:spacing w:val="-1"/>
          <w:szCs w:val="21"/>
        </w:rPr>
        <w:t>﹪增值税费</w:t>
      </w:r>
      <w:r>
        <w:rPr>
          <w:rFonts w:hint="eastAsia" w:ascii="宋体" w:hAnsi="宋体" w:cs="宋体"/>
          <w:spacing w:val="-1"/>
          <w:szCs w:val="21"/>
        </w:rPr>
        <w:t>等。</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、服务地址：广西宾阳县黎塘镇永安东路224-4号。</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0ECF3C5D"/>
    <w:multiLevelType w:val="singleLevel"/>
    <w:tmpl w:val="0ECF3C5D"/>
    <w:lvl w:ilvl="0" w:tentative="0">
      <w:start w:val="1"/>
      <w:numFmt w:val="decimal"/>
      <w:suff w:val="nothing"/>
      <w:lvlText w:val="（%1）"/>
      <w:lvlJc w:val="left"/>
    </w:lvl>
  </w:abstractNum>
  <w:abstractNum w:abstractNumId="3">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4">
    <w:nsid w:val="7411180D"/>
    <w:multiLevelType w:val="singleLevel"/>
    <w:tmpl w:val="7411180D"/>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2E5D2B"/>
    <w:rsid w:val="003008FE"/>
    <w:rsid w:val="00365916"/>
    <w:rsid w:val="003E3323"/>
    <w:rsid w:val="004913D8"/>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D36C84"/>
    <w:rsid w:val="01EB5B10"/>
    <w:rsid w:val="02176E23"/>
    <w:rsid w:val="02865938"/>
    <w:rsid w:val="02E84E1B"/>
    <w:rsid w:val="035F7C75"/>
    <w:rsid w:val="039A1E76"/>
    <w:rsid w:val="04501704"/>
    <w:rsid w:val="045E1EC9"/>
    <w:rsid w:val="046B4A83"/>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CB4276"/>
    <w:rsid w:val="0DF517DA"/>
    <w:rsid w:val="0E2B54C7"/>
    <w:rsid w:val="0E7145BF"/>
    <w:rsid w:val="0E8F38EB"/>
    <w:rsid w:val="0F7B2D38"/>
    <w:rsid w:val="0FF27226"/>
    <w:rsid w:val="10090346"/>
    <w:rsid w:val="100E20E9"/>
    <w:rsid w:val="10116269"/>
    <w:rsid w:val="101428C2"/>
    <w:rsid w:val="10181260"/>
    <w:rsid w:val="10575A62"/>
    <w:rsid w:val="108F47AF"/>
    <w:rsid w:val="109C7D56"/>
    <w:rsid w:val="11325498"/>
    <w:rsid w:val="114752DA"/>
    <w:rsid w:val="11727245"/>
    <w:rsid w:val="11797585"/>
    <w:rsid w:val="11C13F63"/>
    <w:rsid w:val="11C4398B"/>
    <w:rsid w:val="11DD40A3"/>
    <w:rsid w:val="11F41C82"/>
    <w:rsid w:val="124B085A"/>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CE0DB9"/>
    <w:rsid w:val="15FB7D19"/>
    <w:rsid w:val="161F112E"/>
    <w:rsid w:val="163D0A11"/>
    <w:rsid w:val="169F551D"/>
    <w:rsid w:val="16A076A8"/>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FA202D"/>
    <w:rsid w:val="1A1272AA"/>
    <w:rsid w:val="1AD958F4"/>
    <w:rsid w:val="1B0A4145"/>
    <w:rsid w:val="1B0C1C4C"/>
    <w:rsid w:val="1B750DBC"/>
    <w:rsid w:val="1B7A6B81"/>
    <w:rsid w:val="1C27355C"/>
    <w:rsid w:val="1C3C4358"/>
    <w:rsid w:val="1C601D9D"/>
    <w:rsid w:val="1C8D6788"/>
    <w:rsid w:val="1C954E9B"/>
    <w:rsid w:val="1C9949F3"/>
    <w:rsid w:val="1C9B0B55"/>
    <w:rsid w:val="1CE65E64"/>
    <w:rsid w:val="1CF60711"/>
    <w:rsid w:val="1D110334"/>
    <w:rsid w:val="1D113460"/>
    <w:rsid w:val="1D436A68"/>
    <w:rsid w:val="1D7651D8"/>
    <w:rsid w:val="1D792C9F"/>
    <w:rsid w:val="1E0A47EB"/>
    <w:rsid w:val="1E41056E"/>
    <w:rsid w:val="1E425E07"/>
    <w:rsid w:val="1E616B96"/>
    <w:rsid w:val="1EA91661"/>
    <w:rsid w:val="1EF814B6"/>
    <w:rsid w:val="1F5A7B28"/>
    <w:rsid w:val="1F8216D4"/>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6B143E9"/>
    <w:rsid w:val="26C64B0B"/>
    <w:rsid w:val="26CF68D5"/>
    <w:rsid w:val="26D06059"/>
    <w:rsid w:val="270D40BA"/>
    <w:rsid w:val="27981887"/>
    <w:rsid w:val="27F77F60"/>
    <w:rsid w:val="289663AC"/>
    <w:rsid w:val="291D3964"/>
    <w:rsid w:val="298B6166"/>
    <w:rsid w:val="29D439C5"/>
    <w:rsid w:val="29DE4455"/>
    <w:rsid w:val="29F6505D"/>
    <w:rsid w:val="29F71DCE"/>
    <w:rsid w:val="2A5D4013"/>
    <w:rsid w:val="2A73216B"/>
    <w:rsid w:val="2AE728D8"/>
    <w:rsid w:val="2BB6604C"/>
    <w:rsid w:val="2BE67C54"/>
    <w:rsid w:val="2BE76C7E"/>
    <w:rsid w:val="2C4634F8"/>
    <w:rsid w:val="2C8A7F2A"/>
    <w:rsid w:val="2CA351F8"/>
    <w:rsid w:val="2CDE5006"/>
    <w:rsid w:val="2CE0294C"/>
    <w:rsid w:val="2D0E4255"/>
    <w:rsid w:val="2DDB37E6"/>
    <w:rsid w:val="2E0A0EFD"/>
    <w:rsid w:val="2E5F2221"/>
    <w:rsid w:val="2E9D0FDA"/>
    <w:rsid w:val="2EB62CF8"/>
    <w:rsid w:val="2ECC1AD7"/>
    <w:rsid w:val="2F1464A6"/>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3B559E"/>
    <w:rsid w:val="32AC098F"/>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5A3B79"/>
    <w:rsid w:val="38723B01"/>
    <w:rsid w:val="38763868"/>
    <w:rsid w:val="38B17DB0"/>
    <w:rsid w:val="393307F8"/>
    <w:rsid w:val="39345BEF"/>
    <w:rsid w:val="399E5A8D"/>
    <w:rsid w:val="39FD6A6D"/>
    <w:rsid w:val="3A482167"/>
    <w:rsid w:val="3A4E0F54"/>
    <w:rsid w:val="3A6C425E"/>
    <w:rsid w:val="3A7115CF"/>
    <w:rsid w:val="3A762EA6"/>
    <w:rsid w:val="3AE871ED"/>
    <w:rsid w:val="3B166795"/>
    <w:rsid w:val="3B3A4A72"/>
    <w:rsid w:val="3B426DFA"/>
    <w:rsid w:val="3B4F1851"/>
    <w:rsid w:val="3BFC35AD"/>
    <w:rsid w:val="3C0C0FD1"/>
    <w:rsid w:val="3C0D22F1"/>
    <w:rsid w:val="3C4F3894"/>
    <w:rsid w:val="3C667FBA"/>
    <w:rsid w:val="3C75750F"/>
    <w:rsid w:val="3CBF09C5"/>
    <w:rsid w:val="3CC9255C"/>
    <w:rsid w:val="3CFD0D4E"/>
    <w:rsid w:val="3CFD24F4"/>
    <w:rsid w:val="3D932ECE"/>
    <w:rsid w:val="3DF002EE"/>
    <w:rsid w:val="3DF6298B"/>
    <w:rsid w:val="3E032F55"/>
    <w:rsid w:val="3E195AFB"/>
    <w:rsid w:val="3E5A5D0F"/>
    <w:rsid w:val="3ED75761"/>
    <w:rsid w:val="3EE60069"/>
    <w:rsid w:val="3F037F80"/>
    <w:rsid w:val="3F5D7C25"/>
    <w:rsid w:val="3F6E7356"/>
    <w:rsid w:val="3F8E2D81"/>
    <w:rsid w:val="3FA920FA"/>
    <w:rsid w:val="3FBF1225"/>
    <w:rsid w:val="40711ECD"/>
    <w:rsid w:val="407E648F"/>
    <w:rsid w:val="4089046A"/>
    <w:rsid w:val="40CE4481"/>
    <w:rsid w:val="41044933"/>
    <w:rsid w:val="4115326B"/>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412053F"/>
    <w:rsid w:val="44265C90"/>
    <w:rsid w:val="443E1922"/>
    <w:rsid w:val="445544D0"/>
    <w:rsid w:val="44741832"/>
    <w:rsid w:val="44883556"/>
    <w:rsid w:val="44942CE1"/>
    <w:rsid w:val="44ED5E27"/>
    <w:rsid w:val="45081DE6"/>
    <w:rsid w:val="453B2BB3"/>
    <w:rsid w:val="4553205D"/>
    <w:rsid w:val="4566672F"/>
    <w:rsid w:val="4597553F"/>
    <w:rsid w:val="45B96669"/>
    <w:rsid w:val="45DD6DD6"/>
    <w:rsid w:val="45E83F3B"/>
    <w:rsid w:val="467F0616"/>
    <w:rsid w:val="46B251D5"/>
    <w:rsid w:val="46D75F15"/>
    <w:rsid w:val="46DB1D55"/>
    <w:rsid w:val="47794EC5"/>
    <w:rsid w:val="47873FED"/>
    <w:rsid w:val="478A5985"/>
    <w:rsid w:val="47A46EBE"/>
    <w:rsid w:val="47D5260D"/>
    <w:rsid w:val="48077665"/>
    <w:rsid w:val="484E0CAF"/>
    <w:rsid w:val="485A7764"/>
    <w:rsid w:val="48697707"/>
    <w:rsid w:val="487D34CE"/>
    <w:rsid w:val="48812C6D"/>
    <w:rsid w:val="48FA0CCE"/>
    <w:rsid w:val="497E67FC"/>
    <w:rsid w:val="49AB3619"/>
    <w:rsid w:val="49E83BBF"/>
    <w:rsid w:val="49FA4AA8"/>
    <w:rsid w:val="4A340908"/>
    <w:rsid w:val="4A646BE7"/>
    <w:rsid w:val="4A654689"/>
    <w:rsid w:val="4A8955BD"/>
    <w:rsid w:val="4AC61286"/>
    <w:rsid w:val="4AE23D9C"/>
    <w:rsid w:val="4AFB712A"/>
    <w:rsid w:val="4B3F2937"/>
    <w:rsid w:val="4B722F98"/>
    <w:rsid w:val="4B791C20"/>
    <w:rsid w:val="4BDA732C"/>
    <w:rsid w:val="4C362F61"/>
    <w:rsid w:val="4C747C00"/>
    <w:rsid w:val="4C843198"/>
    <w:rsid w:val="4CAE23D4"/>
    <w:rsid w:val="4CF16EBB"/>
    <w:rsid w:val="4CF27A3F"/>
    <w:rsid w:val="4D952847"/>
    <w:rsid w:val="4D9A6D61"/>
    <w:rsid w:val="4DA335EF"/>
    <w:rsid w:val="4DD62762"/>
    <w:rsid w:val="4E111E7F"/>
    <w:rsid w:val="4E1F0A8F"/>
    <w:rsid w:val="4E7D0D54"/>
    <w:rsid w:val="4E9B72CC"/>
    <w:rsid w:val="4EAA6760"/>
    <w:rsid w:val="4ED834AA"/>
    <w:rsid w:val="4EFE4BD1"/>
    <w:rsid w:val="4FB44EC5"/>
    <w:rsid w:val="4FC91CA8"/>
    <w:rsid w:val="4FCE0316"/>
    <w:rsid w:val="4FF36AD1"/>
    <w:rsid w:val="503B6ED8"/>
    <w:rsid w:val="506E60D9"/>
    <w:rsid w:val="50A32F8F"/>
    <w:rsid w:val="50BF75C6"/>
    <w:rsid w:val="50E312B5"/>
    <w:rsid w:val="50F4209B"/>
    <w:rsid w:val="519E2D4E"/>
    <w:rsid w:val="51B306F8"/>
    <w:rsid w:val="51D17917"/>
    <w:rsid w:val="52270962"/>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5108DF"/>
    <w:rsid w:val="55AE0DFF"/>
    <w:rsid w:val="55F857FB"/>
    <w:rsid w:val="560C77A6"/>
    <w:rsid w:val="56927883"/>
    <w:rsid w:val="569D378C"/>
    <w:rsid w:val="56AB6EAC"/>
    <w:rsid w:val="56F56768"/>
    <w:rsid w:val="571C15EB"/>
    <w:rsid w:val="575512DA"/>
    <w:rsid w:val="57A9641E"/>
    <w:rsid w:val="582553F9"/>
    <w:rsid w:val="583F4C58"/>
    <w:rsid w:val="585D55F4"/>
    <w:rsid w:val="58734628"/>
    <w:rsid w:val="58755F79"/>
    <w:rsid w:val="58FF3A11"/>
    <w:rsid w:val="59703A3B"/>
    <w:rsid w:val="59833FEA"/>
    <w:rsid w:val="598F0310"/>
    <w:rsid w:val="59B4187B"/>
    <w:rsid w:val="59FD2825"/>
    <w:rsid w:val="5A0B5058"/>
    <w:rsid w:val="5A1246F1"/>
    <w:rsid w:val="5A2D2676"/>
    <w:rsid w:val="5A546449"/>
    <w:rsid w:val="5A881682"/>
    <w:rsid w:val="5B1F26BA"/>
    <w:rsid w:val="5B2F412D"/>
    <w:rsid w:val="5B316EB3"/>
    <w:rsid w:val="5B406DD0"/>
    <w:rsid w:val="5B4162F2"/>
    <w:rsid w:val="5B5C4B82"/>
    <w:rsid w:val="5B6B1990"/>
    <w:rsid w:val="5B6E2B3B"/>
    <w:rsid w:val="5BB746B8"/>
    <w:rsid w:val="5C270F1D"/>
    <w:rsid w:val="5C8A7D93"/>
    <w:rsid w:val="5C8F3336"/>
    <w:rsid w:val="5C927AE0"/>
    <w:rsid w:val="5CC0247A"/>
    <w:rsid w:val="5CDA582D"/>
    <w:rsid w:val="5CDE243B"/>
    <w:rsid w:val="5D337748"/>
    <w:rsid w:val="5D5D0257"/>
    <w:rsid w:val="5D754213"/>
    <w:rsid w:val="5D837E1D"/>
    <w:rsid w:val="5DAF4A90"/>
    <w:rsid w:val="5DDF1B33"/>
    <w:rsid w:val="5E102188"/>
    <w:rsid w:val="5EA6472F"/>
    <w:rsid w:val="5EBF7956"/>
    <w:rsid w:val="5EC22C27"/>
    <w:rsid w:val="5EEB46FC"/>
    <w:rsid w:val="5F041F5F"/>
    <w:rsid w:val="5F1337E9"/>
    <w:rsid w:val="5F3F4450"/>
    <w:rsid w:val="5F3F6973"/>
    <w:rsid w:val="5F4B3F83"/>
    <w:rsid w:val="5F587C84"/>
    <w:rsid w:val="5FA75912"/>
    <w:rsid w:val="5FB55714"/>
    <w:rsid w:val="5FE45DE0"/>
    <w:rsid w:val="5FE5141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15119"/>
    <w:rsid w:val="62831CF3"/>
    <w:rsid w:val="62FE7930"/>
    <w:rsid w:val="6315604E"/>
    <w:rsid w:val="638E7B5A"/>
    <w:rsid w:val="63B71B40"/>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740FA8"/>
    <w:rsid w:val="670B0B64"/>
    <w:rsid w:val="67522015"/>
    <w:rsid w:val="67C65F33"/>
    <w:rsid w:val="68661537"/>
    <w:rsid w:val="6877638B"/>
    <w:rsid w:val="687810E1"/>
    <w:rsid w:val="68BD7C5B"/>
    <w:rsid w:val="690B57BB"/>
    <w:rsid w:val="693718D7"/>
    <w:rsid w:val="69683C95"/>
    <w:rsid w:val="697D6879"/>
    <w:rsid w:val="69801D62"/>
    <w:rsid w:val="69AB4FCF"/>
    <w:rsid w:val="69AB7271"/>
    <w:rsid w:val="69B27FF1"/>
    <w:rsid w:val="6A5B058F"/>
    <w:rsid w:val="6AFB15BD"/>
    <w:rsid w:val="6B0C7C6D"/>
    <w:rsid w:val="6B545339"/>
    <w:rsid w:val="6B8B15B7"/>
    <w:rsid w:val="6BA04A3E"/>
    <w:rsid w:val="6BEE077B"/>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1956C3"/>
    <w:rsid w:val="724E3782"/>
    <w:rsid w:val="72902DA7"/>
    <w:rsid w:val="72A57890"/>
    <w:rsid w:val="72AD55AD"/>
    <w:rsid w:val="732B4F01"/>
    <w:rsid w:val="73401DD2"/>
    <w:rsid w:val="73673268"/>
    <w:rsid w:val="73B54DDE"/>
    <w:rsid w:val="74255F70"/>
    <w:rsid w:val="743F2AD2"/>
    <w:rsid w:val="7470173A"/>
    <w:rsid w:val="747651D8"/>
    <w:rsid w:val="74CB497C"/>
    <w:rsid w:val="75BD5F6C"/>
    <w:rsid w:val="75F82604"/>
    <w:rsid w:val="76301283"/>
    <w:rsid w:val="764F12F9"/>
    <w:rsid w:val="767874E3"/>
    <w:rsid w:val="768024F8"/>
    <w:rsid w:val="76D7556C"/>
    <w:rsid w:val="77187B21"/>
    <w:rsid w:val="774B1B00"/>
    <w:rsid w:val="775725A0"/>
    <w:rsid w:val="777A2A82"/>
    <w:rsid w:val="78D70170"/>
    <w:rsid w:val="78FE2CC9"/>
    <w:rsid w:val="79123E17"/>
    <w:rsid w:val="791952BB"/>
    <w:rsid w:val="791C4225"/>
    <w:rsid w:val="792B04A4"/>
    <w:rsid w:val="79387F53"/>
    <w:rsid w:val="7A31432B"/>
    <w:rsid w:val="7A7D2F58"/>
    <w:rsid w:val="7A8536D8"/>
    <w:rsid w:val="7AE925C7"/>
    <w:rsid w:val="7B327A78"/>
    <w:rsid w:val="7B50712A"/>
    <w:rsid w:val="7B5534BE"/>
    <w:rsid w:val="7B721C6D"/>
    <w:rsid w:val="7C142488"/>
    <w:rsid w:val="7C2D6B7E"/>
    <w:rsid w:val="7C94167F"/>
    <w:rsid w:val="7CBD5C6B"/>
    <w:rsid w:val="7D104923"/>
    <w:rsid w:val="7D580C1E"/>
    <w:rsid w:val="7DB76D14"/>
    <w:rsid w:val="7E6D5DEA"/>
    <w:rsid w:val="7EAC0116"/>
    <w:rsid w:val="7EFB0050"/>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6"/>
    <w:qFormat/>
    <w:uiPriority w:val="99"/>
    <w:rPr>
      <w:rFonts w:ascii="宋体" w:hAnsi="Courier New" w:eastAsiaTheme="minorEastAsia" w:cstheme="minorBidi"/>
    </w:rPr>
  </w:style>
  <w:style w:type="paragraph" w:styleId="11">
    <w:name w:val="Balloon Text"/>
    <w:basedOn w:val="1"/>
    <w:link w:val="41"/>
    <w:qFormat/>
    <w:uiPriority w:val="0"/>
    <w:rPr>
      <w:rFonts w:asciiTheme="minorHAnsi" w:hAnsiTheme="minorHAnsi" w:cstheme="minorBidi"/>
      <w:sz w:val="18"/>
      <w:szCs w:val="18"/>
    </w:rPr>
  </w:style>
  <w:style w:type="paragraph" w:styleId="12">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9">
    <w:name w:val="Body Text First Indent"/>
    <w:basedOn w:val="1"/>
    <w:unhideWhenUsed/>
    <w:qFormat/>
    <w:uiPriority w:val="99"/>
    <w:pPr>
      <w:ind w:firstLine="420" w:firstLineChars="100"/>
    </w:p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0"/>
    <w:qFormat/>
    <w:uiPriority w:val="0"/>
    <w:rPr>
      <w:rFonts w:ascii="宋体" w:hAnsi="Courier New"/>
      <w:szCs w:val="24"/>
    </w:rPr>
  </w:style>
  <w:style w:type="character" w:customStyle="1" w:styleId="27">
    <w:name w:val="页脚 字符"/>
    <w:link w:val="12"/>
    <w:qFormat/>
    <w:uiPriority w:val="99"/>
    <w:rPr>
      <w:rFonts w:eastAsia="宋体"/>
      <w:sz w:val="18"/>
      <w:szCs w:val="18"/>
    </w:rPr>
  </w:style>
  <w:style w:type="character" w:customStyle="1" w:styleId="28">
    <w:name w:val="标题 字符"/>
    <w:link w:val="18"/>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3"/>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2"/>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3"/>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1"/>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1</TotalTime>
  <ScaleCrop>false</ScaleCrop>
  <LinksUpToDate>false</LinksUpToDate>
  <CharactersWithSpaces>2663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liuqiuyun.sbd</cp:lastModifiedBy>
  <cp:lastPrinted>2024-05-14T00:22:00Z</cp:lastPrinted>
  <dcterms:modified xsi:type="dcterms:W3CDTF">2024-05-14T00:23:15Z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FF19A759A12C492580ACDCACB8B5CF17</vt:lpwstr>
  </property>
</Properties>
</file>