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color w:val="000000"/>
        </w:rPr>
      </w:pPr>
    </w:p>
    <w:p>
      <w:pPr>
        <w:rPr>
          <w:color w:val="000000"/>
        </w:rPr>
      </w:pPr>
    </w:p>
    <w:p>
      <w:pPr>
        <w:jc w:val="center"/>
        <w:rPr>
          <w:rFonts w:ascii="黑体" w:hAnsi="黑体" w:eastAsia="黑体"/>
          <w:color w:val="000000"/>
          <w:sz w:val="44"/>
        </w:rPr>
      </w:pPr>
      <w:r>
        <w:rPr>
          <w:rFonts w:hint="eastAsia" w:ascii="黑体" w:hAnsi="黑体" w:eastAsia="黑体"/>
          <w:sz w:val="44"/>
          <w:szCs w:val="44"/>
        </w:rPr>
        <w:t>河池供电局工会财务报账技术支持服务</w:t>
      </w:r>
      <w:r>
        <w:rPr>
          <w:rFonts w:hint="eastAsia" w:ascii="黑体" w:hAnsi="黑体" w:eastAsia="黑体"/>
          <w:color w:val="000000"/>
          <w:sz w:val="44"/>
        </w:rPr>
        <w:t>技术规范书</w:t>
      </w:r>
    </w:p>
    <w:p>
      <w:pPr>
        <w:jc w:val="center"/>
        <w:rPr>
          <w:rFonts w:ascii="黑体" w:hAnsi="黑体" w:eastAsia="黑体"/>
          <w:color w:val="000000"/>
          <w:sz w:val="44"/>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jc w:val="center"/>
        <w:rPr>
          <w:rFonts w:hint="default" w:eastAsia="宋体"/>
          <w:color w:val="000000"/>
          <w:sz w:val="32"/>
          <w:szCs w:val="32"/>
          <w:lang w:val="en-US" w:eastAsia="zh-CN"/>
        </w:rPr>
      </w:pPr>
      <w:r>
        <w:rPr>
          <w:rFonts w:hint="eastAsia"/>
          <w:color w:val="000000"/>
          <w:sz w:val="32"/>
          <w:szCs w:val="32"/>
          <w:lang w:val="en-US" w:eastAsia="zh-CN"/>
        </w:rPr>
        <w:t>广西电网有限责任公司河池供电局</w:t>
      </w:r>
    </w:p>
    <w:p>
      <w:pPr>
        <w:jc w:val="center"/>
        <w:rPr>
          <w:color w:val="000000"/>
          <w:sz w:val="32"/>
          <w:szCs w:val="32"/>
        </w:rPr>
      </w:pPr>
      <w:r>
        <w:rPr>
          <w:rFonts w:hint="eastAsia"/>
          <w:color w:val="000000"/>
          <w:sz w:val="32"/>
          <w:szCs w:val="32"/>
        </w:rPr>
        <w:t>20</w:t>
      </w:r>
      <w:r>
        <w:rPr>
          <w:rFonts w:hint="eastAsia"/>
          <w:color w:val="000000"/>
          <w:sz w:val="32"/>
          <w:szCs w:val="32"/>
          <w:lang w:val="en-US" w:eastAsia="zh-CN"/>
        </w:rPr>
        <w:t>24</w:t>
      </w:r>
      <w:r>
        <w:rPr>
          <w:rFonts w:hint="eastAsia"/>
          <w:color w:val="000000"/>
          <w:sz w:val="32"/>
          <w:szCs w:val="32"/>
        </w:rPr>
        <w:t>年</w:t>
      </w:r>
      <w:r>
        <w:rPr>
          <w:rFonts w:hint="eastAsia"/>
          <w:color w:val="000000"/>
          <w:sz w:val="32"/>
          <w:szCs w:val="32"/>
          <w:lang w:val="en-US" w:eastAsia="zh-CN"/>
        </w:rPr>
        <w:t>2</w:t>
      </w:r>
      <w:r>
        <w:rPr>
          <w:rFonts w:hint="eastAsia"/>
          <w:color w:val="000000"/>
          <w:sz w:val="32"/>
          <w:szCs w:val="32"/>
        </w:rPr>
        <w:t>月</w:t>
      </w:r>
    </w:p>
    <w:p>
      <w:pPr>
        <w:jc w:val="center"/>
        <w:rPr>
          <w:color w:val="000000"/>
        </w:rPr>
      </w:pPr>
      <w:r>
        <w:rPr>
          <w:color w:val="000000"/>
        </w:rPr>
        <w:br w:type="page"/>
      </w:r>
      <w:r>
        <w:rPr>
          <w:rFonts w:hint="eastAsia"/>
          <w:color w:val="000000"/>
        </w:rPr>
        <w:t>目  录</w:t>
      </w:r>
    </w:p>
    <w:p>
      <w:pPr>
        <w:pStyle w:val="15"/>
        <w:rPr>
          <w:rFonts w:ascii="Calibri" w:hAnsi="Calibri"/>
          <w:color w:val="000000"/>
          <w:sz w:val="21"/>
          <w:szCs w:val="22"/>
        </w:rPr>
      </w:pPr>
      <w:r>
        <w:rPr>
          <w:color w:val="000000"/>
        </w:rPr>
        <w:fldChar w:fldCharType="begin"/>
      </w:r>
      <w:r>
        <w:rPr>
          <w:color w:val="000000"/>
        </w:rPr>
        <w:instrText xml:space="preserve"> TOC \o "1-3" \h \z \u </w:instrText>
      </w:r>
      <w:r>
        <w:rPr>
          <w:color w:val="000000"/>
        </w:rPr>
        <w:fldChar w:fldCharType="separate"/>
      </w:r>
      <w:r>
        <w:rPr>
          <w:color w:val="000000"/>
        </w:rPr>
        <w:fldChar w:fldCharType="begin"/>
      </w:r>
      <w:r>
        <w:rPr>
          <w:rStyle w:val="19"/>
          <w:color w:val="000000"/>
        </w:rPr>
        <w:instrText xml:space="preserve"> </w:instrText>
      </w:r>
      <w:r>
        <w:rPr>
          <w:color w:val="000000"/>
        </w:rPr>
        <w:instrText xml:space="preserve">HYPERLINK \l "_Toc477377744"</w:instrText>
      </w:r>
      <w:r>
        <w:rPr>
          <w:rStyle w:val="19"/>
          <w:color w:val="000000"/>
        </w:rPr>
        <w:instrText xml:space="preserve"> </w:instrText>
      </w:r>
      <w:r>
        <w:rPr>
          <w:color w:val="000000"/>
        </w:rPr>
        <w:fldChar w:fldCharType="separate"/>
      </w:r>
      <w:r>
        <w:rPr>
          <w:rStyle w:val="19"/>
          <w:color w:val="000000"/>
        </w:rPr>
        <w:t>1.</w:t>
      </w:r>
      <w:r>
        <w:rPr>
          <w:rStyle w:val="19"/>
          <w:rFonts w:hint="eastAsia"/>
          <w:color w:val="000000"/>
        </w:rPr>
        <w:t xml:space="preserve"> 总则</w:t>
      </w:r>
      <w:r>
        <w:rPr>
          <w:color w:val="000000"/>
        </w:rPr>
        <w:tab/>
      </w:r>
      <w:r>
        <w:rPr>
          <w:color w:val="000000"/>
        </w:rPr>
        <w:fldChar w:fldCharType="begin"/>
      </w:r>
      <w:r>
        <w:rPr>
          <w:color w:val="000000"/>
        </w:rPr>
        <w:instrText xml:space="preserve"> PAGEREF _Toc477377744 \h </w:instrText>
      </w:r>
      <w:r>
        <w:rPr>
          <w:color w:val="000000"/>
        </w:rPr>
        <w:fldChar w:fldCharType="separate"/>
      </w:r>
      <w:r>
        <w:rPr>
          <w:color w:val="000000"/>
        </w:rPr>
        <w:t>1</w:t>
      </w:r>
      <w:r>
        <w:rPr>
          <w:color w:val="000000"/>
        </w:rPr>
        <w:fldChar w:fldCharType="end"/>
      </w:r>
      <w:r>
        <w:rPr>
          <w:color w:val="000000"/>
        </w:rPr>
        <w:fldChar w:fldCharType="end"/>
      </w:r>
    </w:p>
    <w:p>
      <w:pPr>
        <w:pStyle w:val="15"/>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"_Toc477377748"</w:instrText>
      </w:r>
      <w:r>
        <w:rPr>
          <w:rStyle w:val="19"/>
          <w:color w:val="000000"/>
        </w:rPr>
        <w:instrText xml:space="preserve"> </w:instrText>
      </w:r>
      <w:r>
        <w:rPr>
          <w:color w:val="000000"/>
        </w:rPr>
        <w:fldChar w:fldCharType="separate"/>
      </w:r>
      <w:r>
        <w:rPr>
          <w:rStyle w:val="19"/>
          <w:color w:val="000000"/>
        </w:rPr>
        <w:t>2.</w:t>
      </w:r>
      <w:r>
        <w:rPr>
          <w:rStyle w:val="19"/>
          <w:rFonts w:hint="eastAsia"/>
          <w:color w:val="000000"/>
        </w:rPr>
        <w:t xml:space="preserve"> 应遵循的主要标准</w:t>
      </w:r>
      <w:r>
        <w:rPr>
          <w:color w:val="000000"/>
        </w:rPr>
        <w:tab/>
      </w:r>
      <w:r>
        <w:rPr>
          <w:color w:val="000000"/>
        </w:rPr>
        <w:fldChar w:fldCharType="begin"/>
      </w:r>
      <w:r>
        <w:rPr>
          <w:color w:val="000000"/>
        </w:rPr>
        <w:instrText xml:space="preserve"> PAGEREF _Toc477377748 \h </w:instrText>
      </w:r>
      <w:r>
        <w:rPr>
          <w:color w:val="000000"/>
        </w:rPr>
        <w:fldChar w:fldCharType="separate"/>
      </w:r>
      <w:r>
        <w:rPr>
          <w:color w:val="000000"/>
        </w:rPr>
        <w:t>3</w:t>
      </w:r>
      <w:r>
        <w:rPr>
          <w:color w:val="000000"/>
        </w:rPr>
        <w:fldChar w:fldCharType="end"/>
      </w:r>
      <w:r>
        <w:rPr>
          <w:color w:val="000000"/>
        </w:rPr>
        <w:fldChar w:fldCharType="end"/>
      </w:r>
    </w:p>
    <w:p>
      <w:pPr>
        <w:pStyle w:val="15"/>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"_Toc477377749"</w:instrText>
      </w:r>
      <w:r>
        <w:rPr>
          <w:rStyle w:val="19"/>
          <w:color w:val="000000"/>
        </w:rPr>
        <w:instrText xml:space="preserve"> </w:instrText>
      </w:r>
      <w:r>
        <w:rPr>
          <w:color w:val="000000"/>
        </w:rPr>
        <w:fldChar w:fldCharType="separate"/>
      </w:r>
      <w:r>
        <w:rPr>
          <w:rStyle w:val="19"/>
          <w:color w:val="000000"/>
        </w:rPr>
        <w:t>3.</w:t>
      </w:r>
      <w:r>
        <w:rPr>
          <w:rStyle w:val="19"/>
          <w:rFonts w:hint="eastAsia"/>
          <w:color w:val="000000"/>
        </w:rPr>
        <w:t xml:space="preserve"> 项目概述</w:t>
      </w:r>
      <w:r>
        <w:rPr>
          <w:color w:val="000000"/>
        </w:rPr>
        <w:tab/>
      </w:r>
      <w:r>
        <w:rPr>
          <w:color w:val="000000"/>
        </w:rPr>
        <w:fldChar w:fldCharType="begin"/>
      </w:r>
      <w:r>
        <w:rPr>
          <w:color w:val="000000"/>
        </w:rPr>
        <w:instrText xml:space="preserve"> PAGEREF _Toc477377749 \h </w:instrText>
      </w:r>
      <w:r>
        <w:rPr>
          <w:color w:val="000000"/>
        </w:rPr>
        <w:fldChar w:fldCharType="separate"/>
      </w:r>
      <w:r>
        <w:rPr>
          <w:color w:val="000000"/>
        </w:rPr>
        <w:t>3</w:t>
      </w:r>
      <w:r>
        <w:rPr>
          <w:color w:val="000000"/>
        </w:rPr>
        <w:fldChar w:fldCharType="end"/>
      </w:r>
      <w:r>
        <w:rPr>
          <w:color w:val="000000"/>
        </w:rPr>
        <w:fldChar w:fldCharType="end"/>
      </w:r>
    </w:p>
    <w:p>
      <w:pPr>
        <w:pStyle w:val="15"/>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"_Toc477377750"</w:instrText>
      </w:r>
      <w:r>
        <w:rPr>
          <w:rStyle w:val="19"/>
          <w:color w:val="000000"/>
        </w:rPr>
        <w:instrText xml:space="preserve"> </w:instrText>
      </w:r>
      <w:r>
        <w:rPr>
          <w:color w:val="000000"/>
        </w:rPr>
        <w:fldChar w:fldCharType="separate"/>
      </w:r>
      <w:r>
        <w:rPr>
          <w:rStyle w:val="19"/>
          <w:color w:val="000000"/>
        </w:rPr>
        <w:t>4.</w:t>
      </w:r>
      <w:r>
        <w:rPr>
          <w:rStyle w:val="19"/>
          <w:rFonts w:hint="eastAsia"/>
          <w:color w:val="000000"/>
        </w:rPr>
        <w:t xml:space="preserve"> 范围和内容</w:t>
      </w:r>
      <w:r>
        <w:rPr>
          <w:color w:val="000000"/>
        </w:rPr>
        <w:tab/>
      </w:r>
      <w:r>
        <w:rPr>
          <w:color w:val="000000"/>
        </w:rPr>
        <w:fldChar w:fldCharType="begin"/>
      </w:r>
      <w:r>
        <w:rPr>
          <w:color w:val="000000"/>
        </w:rPr>
        <w:instrText xml:space="preserve"> PAGEREF _Toc477377750 \h </w:instrText>
      </w:r>
      <w:r>
        <w:rPr>
          <w:color w:val="000000"/>
        </w:rPr>
        <w:fldChar w:fldCharType="separate"/>
      </w:r>
      <w:r>
        <w:rPr>
          <w:color w:val="000000"/>
        </w:rPr>
        <w:t>3</w:t>
      </w:r>
      <w:r>
        <w:rPr>
          <w:color w:val="000000"/>
        </w:rPr>
        <w:fldChar w:fldCharType="end"/>
      </w:r>
      <w:r>
        <w:rPr>
          <w:color w:val="000000"/>
        </w:rPr>
        <w:fldChar w:fldCharType="end"/>
      </w:r>
    </w:p>
    <w:p>
      <w:pPr>
        <w:pStyle w:val="15"/>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"_Toc477377751"</w:instrText>
      </w:r>
      <w:r>
        <w:rPr>
          <w:rStyle w:val="19"/>
          <w:color w:val="000000"/>
        </w:rPr>
        <w:instrText xml:space="preserve"> </w:instrText>
      </w:r>
      <w:r>
        <w:rPr>
          <w:color w:val="000000"/>
        </w:rPr>
        <w:fldChar w:fldCharType="separate"/>
      </w:r>
      <w:r>
        <w:rPr>
          <w:rStyle w:val="19"/>
          <w:color w:val="000000"/>
        </w:rPr>
        <w:t>5.</w:t>
      </w:r>
      <w:r>
        <w:rPr>
          <w:rStyle w:val="19"/>
          <w:rFonts w:hint="eastAsia"/>
          <w:color w:val="000000"/>
        </w:rPr>
        <w:t xml:space="preserve"> 总体要求</w:t>
      </w:r>
      <w:r>
        <w:rPr>
          <w:color w:val="000000"/>
        </w:rPr>
        <w:tab/>
      </w:r>
      <w:r>
        <w:rPr>
          <w:color w:val="000000"/>
        </w:rPr>
        <w:fldChar w:fldCharType="begin"/>
      </w:r>
      <w:r>
        <w:rPr>
          <w:color w:val="000000"/>
        </w:rPr>
        <w:instrText xml:space="preserve"> PAGEREF _Toc477377751 \h </w:instrText>
      </w:r>
      <w:r>
        <w:rPr>
          <w:color w:val="000000"/>
        </w:rPr>
        <w:fldChar w:fldCharType="separate"/>
      </w:r>
      <w:r>
        <w:rPr>
          <w:color w:val="000000"/>
        </w:rPr>
        <w:t>4</w:t>
      </w:r>
      <w:r>
        <w:rPr>
          <w:color w:val="000000"/>
        </w:rPr>
        <w:fldChar w:fldCharType="end"/>
      </w:r>
      <w:r>
        <w:rPr>
          <w:color w:val="000000"/>
        </w:rPr>
        <w:fldChar w:fldCharType="end"/>
      </w:r>
    </w:p>
    <w:p>
      <w:pPr>
        <w:pStyle w:val="15"/>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"_Toc477377756"</w:instrText>
      </w:r>
      <w:r>
        <w:rPr>
          <w:rStyle w:val="19"/>
          <w:color w:val="000000"/>
        </w:rPr>
        <w:instrText xml:space="preserve"> </w:instrText>
      </w:r>
      <w:r>
        <w:rPr>
          <w:color w:val="000000"/>
        </w:rPr>
        <w:fldChar w:fldCharType="separate"/>
      </w:r>
      <w:r>
        <w:rPr>
          <w:rStyle w:val="19"/>
          <w:color w:val="000000"/>
        </w:rPr>
        <w:t>6.</w:t>
      </w:r>
      <w:r>
        <w:rPr>
          <w:rStyle w:val="19"/>
          <w:rFonts w:hint="eastAsia"/>
          <w:color w:val="000000"/>
        </w:rPr>
        <w:t xml:space="preserve"> 主要技术要求</w:t>
      </w:r>
      <w:r>
        <w:rPr>
          <w:color w:val="000000"/>
        </w:rPr>
        <w:tab/>
      </w:r>
      <w:r>
        <w:rPr>
          <w:color w:val="000000"/>
        </w:rPr>
        <w:fldChar w:fldCharType="begin"/>
      </w:r>
      <w:r>
        <w:rPr>
          <w:color w:val="000000"/>
        </w:rPr>
        <w:instrText xml:space="preserve"> PAGEREF _Toc477377756 \h </w:instrText>
      </w:r>
      <w:r>
        <w:rPr>
          <w:color w:val="000000"/>
        </w:rPr>
        <w:fldChar w:fldCharType="separate"/>
      </w:r>
      <w:r>
        <w:rPr>
          <w:color w:val="000000"/>
        </w:rPr>
        <w:t>4</w:t>
      </w:r>
      <w:r>
        <w:rPr>
          <w:color w:val="000000"/>
        </w:rPr>
        <w:fldChar w:fldCharType="end"/>
      </w:r>
      <w:r>
        <w:rPr>
          <w:color w:val="000000"/>
        </w:rPr>
        <w:fldChar w:fldCharType="end"/>
      </w:r>
    </w:p>
    <w:p>
      <w:pPr>
        <w:pStyle w:val="15"/>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"_Toc477377761"</w:instrText>
      </w:r>
      <w:r>
        <w:rPr>
          <w:rStyle w:val="19"/>
          <w:color w:val="000000"/>
        </w:rPr>
        <w:instrText xml:space="preserve"> </w:instrText>
      </w:r>
      <w:r>
        <w:rPr>
          <w:color w:val="000000"/>
        </w:rPr>
        <w:fldChar w:fldCharType="separate"/>
      </w:r>
      <w:r>
        <w:rPr>
          <w:rStyle w:val="19"/>
          <w:color w:val="000000"/>
        </w:rPr>
        <w:t>7.</w:t>
      </w:r>
      <w:r>
        <w:rPr>
          <w:rStyle w:val="19"/>
          <w:rFonts w:hint="eastAsia"/>
          <w:color w:val="000000"/>
        </w:rPr>
        <w:t xml:space="preserve"> 其他要求</w:t>
      </w:r>
      <w:r>
        <w:rPr>
          <w:color w:val="000000"/>
        </w:rPr>
        <w:tab/>
      </w:r>
      <w:r>
        <w:rPr>
          <w:color w:val="000000"/>
        </w:rPr>
        <w:fldChar w:fldCharType="begin"/>
      </w:r>
      <w:r>
        <w:rPr>
          <w:color w:val="000000"/>
        </w:rPr>
        <w:instrText xml:space="preserve"> PAGEREF _Toc477377761 \h </w:instrText>
      </w:r>
      <w:r>
        <w:rPr>
          <w:color w:val="000000"/>
        </w:rPr>
        <w:fldChar w:fldCharType="separate"/>
      </w:r>
      <w:r>
        <w:rPr>
          <w:color w:val="000000"/>
        </w:rPr>
        <w:t>5</w:t>
      </w:r>
      <w:r>
        <w:rPr>
          <w:color w:val="000000"/>
        </w:rPr>
        <w:fldChar w:fldCharType="end"/>
      </w:r>
      <w:r>
        <w:rPr>
          <w:color w:val="000000"/>
        </w:rPr>
        <w:fldChar w:fldCharType="end"/>
      </w:r>
    </w:p>
    <w:p>
      <w:pPr>
        <w:pStyle w:val="15"/>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"_Toc477377770"</w:instrText>
      </w:r>
      <w:r>
        <w:rPr>
          <w:rStyle w:val="19"/>
          <w:color w:val="000000"/>
        </w:rPr>
        <w:instrText xml:space="preserve"> </w:instrText>
      </w:r>
      <w:r>
        <w:rPr>
          <w:color w:val="000000"/>
        </w:rPr>
        <w:fldChar w:fldCharType="separate"/>
      </w:r>
      <w:r>
        <w:rPr>
          <w:rStyle w:val="19"/>
          <w:color w:val="000000"/>
        </w:rPr>
        <w:t>8.</w:t>
      </w:r>
      <w:r>
        <w:rPr>
          <w:rStyle w:val="19"/>
          <w:rFonts w:hint="eastAsia"/>
          <w:color w:val="000000"/>
        </w:rPr>
        <w:t xml:space="preserve"> 附件</w:t>
      </w:r>
      <w:r>
        <w:rPr>
          <w:color w:val="000000"/>
        </w:rPr>
        <w:tab/>
      </w:r>
      <w:r>
        <w:rPr>
          <w:color w:val="000000"/>
        </w:rPr>
        <w:fldChar w:fldCharType="begin"/>
      </w:r>
      <w:r>
        <w:rPr>
          <w:color w:val="000000"/>
        </w:rPr>
        <w:instrText xml:space="preserve"> PAGEREF _Toc477377770 \h </w:instrText>
      </w:r>
      <w:r>
        <w:rPr>
          <w:color w:val="000000"/>
        </w:rPr>
        <w:fldChar w:fldCharType="separate"/>
      </w:r>
      <w:r>
        <w:rPr>
          <w:color w:val="000000"/>
        </w:rPr>
        <w:t>7</w:t>
      </w:r>
      <w:r>
        <w:rPr>
          <w:color w:val="000000"/>
        </w:rPr>
        <w:fldChar w:fldCharType="end"/>
      </w:r>
      <w:r>
        <w:rPr>
          <w:color w:val="000000"/>
        </w:rPr>
        <w:fldChar w:fldCharType="end"/>
      </w:r>
    </w:p>
    <w:p>
      <w:pPr>
        <w:pStyle w:val="16"/>
        <w:tabs>
          <w:tab w:val="right" w:leader="dot" w:pos="8296"/>
        </w:tabs>
        <w:ind w:left="480"/>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"_Toc477377771"</w:instrText>
      </w:r>
      <w:r>
        <w:rPr>
          <w:rStyle w:val="19"/>
          <w:color w:val="000000"/>
        </w:rPr>
        <w:instrText xml:space="preserve"> </w:instrText>
      </w:r>
      <w:r>
        <w:rPr>
          <w:color w:val="000000"/>
        </w:rPr>
        <w:fldChar w:fldCharType="separate"/>
      </w:r>
      <w:r>
        <w:rPr>
          <w:rStyle w:val="19"/>
          <w:color w:val="000000"/>
        </w:rPr>
        <w:t>8.1</w:t>
      </w:r>
      <w:r>
        <w:rPr>
          <w:rStyle w:val="19"/>
          <w:rFonts w:hint="eastAsia"/>
          <w:color w:val="000000"/>
        </w:rPr>
        <w:t xml:space="preserve"> 差异表</w:t>
      </w:r>
      <w:r>
        <w:rPr>
          <w:color w:val="000000"/>
        </w:rPr>
        <w:tab/>
      </w:r>
      <w:r>
        <w:rPr>
          <w:color w:val="000000"/>
        </w:rPr>
        <w:fldChar w:fldCharType="begin"/>
      </w:r>
      <w:r>
        <w:rPr>
          <w:color w:val="000000"/>
        </w:rPr>
        <w:instrText xml:space="preserve"> PAGEREF _Toc477377771 \h </w:instrText>
      </w:r>
      <w:r>
        <w:rPr>
          <w:color w:val="000000"/>
        </w:rPr>
        <w:fldChar w:fldCharType="separate"/>
      </w:r>
      <w:r>
        <w:rPr>
          <w:color w:val="000000"/>
        </w:rPr>
        <w:t>7</w:t>
      </w:r>
      <w:r>
        <w:rPr>
          <w:color w:val="000000"/>
        </w:rPr>
        <w:fldChar w:fldCharType="end"/>
      </w:r>
      <w:r>
        <w:rPr>
          <w:color w:val="000000"/>
        </w:rPr>
        <w:fldChar w:fldCharType="end"/>
      </w:r>
    </w:p>
    <w:p>
      <w:pPr>
        <w:pStyle w:val="16"/>
        <w:tabs>
          <w:tab w:val="right" w:leader="dot" w:pos="8296"/>
        </w:tabs>
        <w:ind w:left="480"/>
        <w:rPr>
          <w:rFonts w:ascii="Calibri" w:hAnsi="Calibri"/>
          <w:color w:val="000000"/>
          <w:sz w:val="21"/>
          <w:szCs w:val="22"/>
        </w:rPr>
      </w:pPr>
      <w:r>
        <w:rPr>
          <w:color w:val="000000"/>
        </w:rPr>
        <w:fldChar w:fldCharType="begin"/>
      </w:r>
      <w:r>
        <w:rPr>
          <w:rStyle w:val="19"/>
          <w:color w:val="000000"/>
        </w:rPr>
        <w:instrText xml:space="preserve"> </w:instrText>
      </w:r>
      <w:r>
        <w:rPr>
          <w:color w:val="000000"/>
        </w:rPr>
        <w:instrText xml:space="preserve">HYPERLINK \l "_Toc477377772"</w:instrText>
      </w:r>
      <w:r>
        <w:rPr>
          <w:rStyle w:val="19"/>
          <w:color w:val="000000"/>
        </w:rPr>
        <w:instrText xml:space="preserve"> </w:instrText>
      </w:r>
      <w:r>
        <w:rPr>
          <w:color w:val="000000"/>
        </w:rPr>
        <w:fldChar w:fldCharType="separate"/>
      </w:r>
      <w:r>
        <w:rPr>
          <w:rStyle w:val="19"/>
          <w:color w:val="000000"/>
        </w:rPr>
        <w:t>8.2</w:t>
      </w:r>
      <w:r>
        <w:rPr>
          <w:rStyle w:val="19"/>
          <w:rFonts w:hint="eastAsia"/>
          <w:color w:val="000000"/>
        </w:rPr>
        <w:t xml:space="preserve"> 投标方需要说明的其它问题</w:t>
      </w:r>
      <w:r>
        <w:rPr>
          <w:color w:val="000000"/>
        </w:rPr>
        <w:tab/>
      </w:r>
      <w:r>
        <w:rPr>
          <w:color w:val="000000"/>
        </w:rPr>
        <w:fldChar w:fldCharType="begin"/>
      </w:r>
      <w:r>
        <w:rPr>
          <w:color w:val="000000"/>
        </w:rPr>
        <w:instrText xml:space="preserve"> PAGEREF _Toc477377772 \h </w:instrText>
      </w:r>
      <w:r>
        <w:rPr>
          <w:color w:val="000000"/>
        </w:rPr>
        <w:fldChar w:fldCharType="separate"/>
      </w:r>
      <w:r>
        <w:rPr>
          <w:color w:val="000000"/>
        </w:rPr>
        <w:t>7</w:t>
      </w:r>
      <w:r>
        <w:rPr>
          <w:color w:val="000000"/>
        </w:rPr>
        <w:fldChar w:fldCharType="end"/>
      </w:r>
      <w:r>
        <w:rPr>
          <w:color w:val="000000"/>
        </w:rPr>
        <w:fldChar w:fldCharType="end"/>
      </w:r>
    </w:p>
    <w:p>
      <w:pPr>
        <w:rPr>
          <w:color w:val="000000"/>
        </w:rPr>
      </w:pPr>
      <w:r>
        <w:rPr>
          <w:color w:val="000000"/>
        </w:rPr>
        <w:fldChar w:fldCharType="end"/>
      </w:r>
    </w:p>
    <w:p>
      <w:pPr>
        <w:rPr>
          <w:color w:val="000000"/>
        </w:rPr>
        <w:sectPr>
          <w:footerReference r:id="rId3" w:type="default"/>
          <w:footerReference r:id="rId4" w:type="even"/>
          <w:pgSz w:w="11906" w:h="16838"/>
          <w:pgMar w:top="1440" w:right="1800" w:bottom="1440" w:left="1800" w:header="851" w:footer="992" w:gutter="0"/>
          <w:cols w:space="720" w:num="1"/>
          <w:docGrid w:type="lines" w:linePitch="312" w:charSpace="0"/>
        </w:sectPr>
      </w:pPr>
    </w:p>
    <w:p>
      <w:pPr>
        <w:pStyle w:val="2"/>
        <w:rPr>
          <w:color w:val="000000"/>
        </w:rPr>
      </w:pPr>
      <w:bookmarkStart w:id="0" w:name="_Toc477377744"/>
      <w:bookmarkStart w:id="1" w:name="_Toc353115665"/>
      <w:r>
        <w:rPr>
          <w:rFonts w:hint="eastAsia"/>
          <w:color w:val="000000"/>
        </w:rPr>
        <w:t>总则</w:t>
      </w:r>
      <w:bookmarkEnd w:id="0"/>
      <w:bookmarkEnd w:id="1"/>
    </w:p>
    <w:p>
      <w:pPr>
        <w:pStyle w:val="3"/>
        <w:rPr>
          <w:color w:val="000000"/>
        </w:rPr>
      </w:pPr>
      <w:bookmarkStart w:id="2" w:name="_Toc477377745"/>
      <w:bookmarkStart w:id="3" w:name="_Toc360609692"/>
      <w:r>
        <w:rPr>
          <w:rFonts w:hint="eastAsia"/>
          <w:color w:val="000000"/>
        </w:rPr>
        <w:t>一般要求</w:t>
      </w:r>
      <w:bookmarkEnd w:id="2"/>
      <w:bookmarkEnd w:id="3"/>
    </w:p>
    <w:p>
      <w:pPr>
        <w:pStyle w:val="25"/>
        <w:numPr>
          <w:ilvl w:val="2"/>
          <w:numId w:val="2"/>
        </w:numPr>
        <w:rPr>
          <w:color w:val="000000"/>
        </w:rPr>
      </w:pPr>
      <w:r>
        <w:rPr>
          <w:rFonts w:hint="eastAsia"/>
          <w:color w:val="000000"/>
        </w:rPr>
        <w:t>投标方必须认真阅读本技术条款内容，以免造成投标失败。</w:t>
      </w:r>
    </w:p>
    <w:p>
      <w:pPr>
        <w:pStyle w:val="25"/>
        <w:numPr>
          <w:ilvl w:val="2"/>
          <w:numId w:val="2"/>
        </w:numPr>
        <w:rPr>
          <w:color w:val="000000"/>
        </w:rPr>
      </w:pPr>
      <w:r>
        <w:rPr>
          <w:rFonts w:hint="eastAsia"/>
          <w:color w:val="000000"/>
        </w:rPr>
        <w:t>本技术规范书主要描述河池</w:t>
      </w:r>
      <w:r>
        <w:rPr>
          <w:rFonts w:hint="eastAsia"/>
          <w:color w:val="000000"/>
          <w:lang w:val="en-US" w:eastAsia="zh-CN"/>
        </w:rPr>
        <w:t>供电局工会财务报账技术支持服务</w:t>
      </w:r>
      <w:r>
        <w:rPr>
          <w:rFonts w:hint="eastAsia"/>
          <w:color w:val="000000"/>
        </w:rPr>
        <w:t>要求有关事项。</w:t>
      </w:r>
    </w:p>
    <w:p>
      <w:pPr>
        <w:pStyle w:val="25"/>
        <w:numPr>
          <w:ilvl w:val="2"/>
          <w:numId w:val="2"/>
        </w:numPr>
        <w:rPr>
          <w:color w:val="000000"/>
        </w:rPr>
      </w:pPr>
      <w:r>
        <w:rPr>
          <w:rFonts w:hint="eastAsia"/>
          <w:color w:val="000000"/>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5"/>
        <w:numPr>
          <w:ilvl w:val="2"/>
          <w:numId w:val="2"/>
        </w:numPr>
        <w:rPr>
          <w:color w:val="000000"/>
        </w:rPr>
      </w:pPr>
      <w:r>
        <w:rPr>
          <w:rFonts w:hint="eastAsia"/>
          <w:color w:val="000000"/>
        </w:rPr>
        <w:t>投标方应提供满足本技术规范书要求的建议书(如有)、实施方案及报价，建议书、实施方案必须满足本技术规范的主要要求，否则将被认作没有回答。投标方认为需特殊说明的部分，应附详细的技术资料，否则因评标理解不同而产生的后果由投标方负责。</w:t>
      </w:r>
    </w:p>
    <w:p>
      <w:pPr>
        <w:pStyle w:val="25"/>
        <w:numPr>
          <w:ilvl w:val="2"/>
          <w:numId w:val="2"/>
        </w:numPr>
        <w:rPr>
          <w:color w:val="000000"/>
        </w:rPr>
      </w:pPr>
      <w:r>
        <w:rPr>
          <w:rFonts w:hint="eastAsia"/>
          <w:color w:val="000000"/>
        </w:rPr>
        <w:t>如果投标方认为本技术条款所描述技术要求等存在不合理性或不明白的，可在响应原要求后陈述相关建议。</w:t>
      </w:r>
    </w:p>
    <w:p>
      <w:pPr>
        <w:pStyle w:val="25"/>
        <w:numPr>
          <w:ilvl w:val="2"/>
          <w:numId w:val="2"/>
        </w:numPr>
        <w:rPr>
          <w:color w:val="000000"/>
        </w:rPr>
      </w:pPr>
      <w:r>
        <w:rPr>
          <w:rFonts w:hint="eastAsia"/>
          <w:color w:val="000000"/>
        </w:rPr>
        <w:t>投标方也可提出满足本技术规范书要求，且技术先进、成熟、价格合理的其他建议，供招标方选择。</w:t>
      </w:r>
    </w:p>
    <w:p>
      <w:pPr>
        <w:pStyle w:val="25"/>
        <w:numPr>
          <w:ilvl w:val="2"/>
          <w:numId w:val="2"/>
        </w:numPr>
        <w:rPr>
          <w:color w:val="000000"/>
        </w:rPr>
      </w:pPr>
      <w:r>
        <w:rPr>
          <w:rFonts w:hint="eastAsia"/>
          <w:color w:val="000000"/>
        </w:rPr>
        <w:t>投标方应提供满足本技术规范书要求的完整的服务、工作产品，满足国家及用户提出的有关质量标准要求。所有工作产品必须具有在中国境内的合法使用权。</w:t>
      </w:r>
    </w:p>
    <w:p>
      <w:pPr>
        <w:pStyle w:val="25"/>
        <w:numPr>
          <w:ilvl w:val="2"/>
          <w:numId w:val="2"/>
        </w:numPr>
        <w:rPr>
          <w:color w:val="000000"/>
        </w:rPr>
      </w:pPr>
      <w:r>
        <w:rPr>
          <w:rFonts w:hint="eastAsia"/>
          <w:color w:val="000000"/>
        </w:rPr>
        <w:t>本技术规范书所使用的标准如与投标方所执行的标准不一致，按较高标准执行。</w:t>
      </w:r>
    </w:p>
    <w:p>
      <w:pPr>
        <w:pStyle w:val="25"/>
        <w:numPr>
          <w:ilvl w:val="2"/>
          <w:numId w:val="2"/>
        </w:numPr>
        <w:rPr>
          <w:color w:val="000000"/>
        </w:rPr>
      </w:pPr>
      <w:r>
        <w:rPr>
          <w:rFonts w:hint="eastAsia"/>
          <w:color w:val="000000"/>
        </w:rPr>
        <w:t>如果因为无法提供的原因而提供其他产品、服务，投标方应明确说明并提出质量保证承诺。</w:t>
      </w:r>
    </w:p>
    <w:p>
      <w:pPr>
        <w:pStyle w:val="25"/>
        <w:numPr>
          <w:ilvl w:val="2"/>
          <w:numId w:val="2"/>
        </w:numPr>
        <w:rPr>
          <w:color w:val="000000"/>
        </w:rPr>
      </w:pPr>
      <w:r>
        <w:rPr>
          <w:rFonts w:hint="eastAsia"/>
          <w:color w:val="000000"/>
        </w:rPr>
        <w:t>投标方应保证为今后招标方开发的或招标方委托第三方开发的其他工作产品提供可靠的性能和兼容性。</w:t>
      </w:r>
    </w:p>
    <w:p>
      <w:pPr>
        <w:pStyle w:val="25"/>
        <w:numPr>
          <w:ilvl w:val="2"/>
          <w:numId w:val="2"/>
        </w:numPr>
        <w:rPr>
          <w:color w:val="000000"/>
        </w:rPr>
      </w:pPr>
      <w:r>
        <w:rPr>
          <w:rFonts w:hint="eastAsia"/>
          <w:color w:val="000000"/>
        </w:rPr>
        <w:t>投标方应对本次投标所有文件保密，不得向其他单位公布或泄漏招标项目的有关信息。</w:t>
      </w:r>
    </w:p>
    <w:p>
      <w:pPr>
        <w:pStyle w:val="25"/>
        <w:numPr>
          <w:ilvl w:val="2"/>
          <w:numId w:val="2"/>
        </w:numPr>
        <w:rPr>
          <w:color w:val="000000"/>
        </w:rPr>
      </w:pPr>
      <w:r>
        <w:rPr>
          <w:rFonts w:hint="eastAsia"/>
          <w:color w:val="000000"/>
        </w:rPr>
        <w:t>在不超出本技术规范书要求的情况下，投标方应对招标方提出的所有细化要求予以满足。</w:t>
      </w:r>
    </w:p>
    <w:p>
      <w:pPr>
        <w:pStyle w:val="25"/>
        <w:numPr>
          <w:ilvl w:val="2"/>
          <w:numId w:val="2"/>
        </w:numPr>
        <w:rPr>
          <w:color w:val="000000"/>
        </w:rPr>
      </w:pPr>
      <w:r>
        <w:rPr>
          <w:rFonts w:hint="eastAsia"/>
          <w:color w:val="000000"/>
        </w:rPr>
        <w:t>投标方建议书的详细要求见招标书的商务部分。投标方必须随投标文件提供具有全部建议书的优盘文件壹份。文件格式要求为：文字部分用Microsoft WORD 2003</w:t>
      </w:r>
      <w:r>
        <w:rPr>
          <w:rFonts w:hint="eastAsia"/>
          <w:color w:val="000000"/>
          <w:lang w:eastAsia="zh-CN"/>
        </w:rPr>
        <w:t>以上版本</w:t>
      </w:r>
      <w:r>
        <w:rPr>
          <w:rFonts w:hint="eastAsia"/>
          <w:color w:val="000000"/>
        </w:rPr>
        <w:t>，表格部分用Microsoft EXCEL 2003</w:t>
      </w:r>
      <w:r>
        <w:rPr>
          <w:rFonts w:hint="eastAsia"/>
          <w:color w:val="000000"/>
          <w:lang w:eastAsia="zh-CN"/>
        </w:rPr>
        <w:t>以上版本</w:t>
      </w:r>
      <w:r>
        <w:rPr>
          <w:rFonts w:hint="eastAsia"/>
          <w:color w:val="000000"/>
        </w:rPr>
        <w:t>，图纸部分用AUTOCAD R14/2000</w:t>
      </w:r>
      <w:r>
        <w:rPr>
          <w:rFonts w:hint="eastAsia"/>
          <w:color w:val="000000"/>
          <w:lang w:eastAsia="zh-CN"/>
        </w:rPr>
        <w:t>以上版本</w:t>
      </w:r>
      <w:r>
        <w:rPr>
          <w:rFonts w:hint="eastAsia"/>
          <w:color w:val="000000"/>
        </w:rPr>
        <w:t>或 Microsoft Visio 2003</w:t>
      </w:r>
      <w:r>
        <w:rPr>
          <w:rFonts w:hint="eastAsia"/>
          <w:color w:val="000000"/>
          <w:lang w:eastAsia="zh-CN"/>
        </w:rPr>
        <w:t>以上版本</w:t>
      </w:r>
      <w:r>
        <w:rPr>
          <w:rFonts w:hint="eastAsia"/>
          <w:color w:val="000000"/>
        </w:rPr>
        <w:t>。投标内容以印刷的投标文件正本为准。</w:t>
      </w:r>
    </w:p>
    <w:p>
      <w:pPr>
        <w:pStyle w:val="25"/>
        <w:numPr>
          <w:ilvl w:val="2"/>
          <w:numId w:val="2"/>
        </w:numPr>
        <w:rPr>
          <w:color w:val="000000"/>
        </w:rPr>
      </w:pPr>
      <w:r>
        <w:rPr>
          <w:rFonts w:hint="eastAsia"/>
          <w:color w:val="000000"/>
        </w:rPr>
        <w:t>投标方所有文件、图纸、通信的均使用中文。所有计算、说明、图纸文件、手册等使用国际单位制。</w:t>
      </w:r>
    </w:p>
    <w:p>
      <w:pPr>
        <w:pStyle w:val="3"/>
        <w:rPr>
          <w:color w:val="000000"/>
        </w:rPr>
      </w:pPr>
      <w:bookmarkStart w:id="4" w:name="_Toc477377746"/>
      <w:bookmarkStart w:id="5" w:name="_Toc360609693"/>
      <w:r>
        <w:rPr>
          <w:rFonts w:hint="eastAsia"/>
          <w:color w:val="000000"/>
        </w:rPr>
        <w:t>投标方职责</w:t>
      </w:r>
      <w:bookmarkEnd w:id="4"/>
      <w:bookmarkEnd w:id="5"/>
    </w:p>
    <w:p>
      <w:pPr>
        <w:pStyle w:val="25"/>
        <w:rPr>
          <w:color w:val="000000"/>
        </w:rPr>
      </w:pPr>
      <w:r>
        <w:rPr>
          <w:rFonts w:hint="eastAsia"/>
          <w:color w:val="000000"/>
        </w:rPr>
        <w:t>负责本规范书内所需服务、工作产品的方案设计，并根据招标方需求细化。</w:t>
      </w:r>
    </w:p>
    <w:p>
      <w:pPr>
        <w:pStyle w:val="25"/>
        <w:rPr>
          <w:color w:val="000000"/>
        </w:rPr>
      </w:pPr>
      <w:r>
        <w:rPr>
          <w:rFonts w:hint="eastAsia"/>
          <w:color w:val="000000"/>
        </w:rPr>
        <w:t>负责服务、工作产品现场验收。</w:t>
      </w:r>
    </w:p>
    <w:p>
      <w:pPr>
        <w:pStyle w:val="25"/>
        <w:rPr>
          <w:rFonts w:hint="eastAsia"/>
          <w:color w:val="000000"/>
        </w:rPr>
      </w:pPr>
      <w:r>
        <w:rPr>
          <w:rFonts w:hint="eastAsia"/>
          <w:color w:val="000000"/>
        </w:rPr>
        <w:t>签订合同后为招标方提供项目管理服务。</w:t>
      </w:r>
    </w:p>
    <w:p>
      <w:pPr>
        <w:pStyle w:val="25"/>
        <w:rPr>
          <w:color w:val="000000"/>
        </w:rPr>
      </w:pPr>
      <w:r>
        <w:rPr>
          <w:rFonts w:hint="eastAsia"/>
          <w:color w:val="000000"/>
        </w:rPr>
        <w:t>负责对招标方运行人员的技术培训。</w:t>
      </w:r>
    </w:p>
    <w:p>
      <w:pPr>
        <w:pStyle w:val="25"/>
        <w:rPr>
          <w:color w:val="000000"/>
        </w:rPr>
      </w:pPr>
      <w:r>
        <w:rPr>
          <w:rFonts w:hint="eastAsia"/>
          <w:color w:val="000000"/>
        </w:rPr>
        <w:t>列出需招标方提供的数据、资料详细清单。</w:t>
      </w:r>
    </w:p>
    <w:p>
      <w:pPr>
        <w:pStyle w:val="25"/>
        <w:rPr>
          <w:color w:val="000000"/>
        </w:rPr>
      </w:pPr>
      <w:r>
        <w:rPr>
          <w:rFonts w:hint="eastAsia"/>
          <w:color w:val="000000"/>
        </w:rPr>
        <w:t>负责提供服务、工作产品的所有文件资料和技术资料。</w:t>
      </w:r>
    </w:p>
    <w:p>
      <w:pPr>
        <w:pStyle w:val="25"/>
        <w:rPr>
          <w:color w:val="000000"/>
        </w:rPr>
      </w:pPr>
      <w:r>
        <w:rPr>
          <w:rFonts w:hint="eastAsia"/>
          <w:color w:val="000000"/>
        </w:rPr>
        <w:t>负责最终提供的全部技术资料的准确性。</w:t>
      </w:r>
    </w:p>
    <w:p>
      <w:pPr>
        <w:pStyle w:val="25"/>
        <w:rPr>
          <w:color w:val="000000"/>
        </w:rPr>
      </w:pPr>
      <w:r>
        <w:rPr>
          <w:rFonts w:hint="eastAsia"/>
          <w:color w:val="000000"/>
        </w:rPr>
        <w:t>保证提供的所有服务、工作产品的质量及技术指标完全满足本规范书要求。</w:t>
      </w:r>
    </w:p>
    <w:p>
      <w:pPr>
        <w:pStyle w:val="25"/>
        <w:rPr>
          <w:color w:val="000000"/>
        </w:rPr>
      </w:pPr>
      <w:r>
        <w:rPr>
          <w:rFonts w:hint="eastAsia"/>
          <w:color w:val="000000"/>
        </w:rPr>
        <w:t>负责配合招标方有关人员在投标方地点的联络会等事宜，投标方自理投标方项目组人员的往返交通、住宿等费用等。</w:t>
      </w:r>
    </w:p>
    <w:p>
      <w:pPr>
        <w:pStyle w:val="3"/>
        <w:rPr>
          <w:color w:val="000000"/>
        </w:rPr>
      </w:pPr>
      <w:bookmarkStart w:id="6" w:name="_Toc477377747"/>
      <w:bookmarkStart w:id="7" w:name="_Toc360609694"/>
      <w:r>
        <w:rPr>
          <w:rFonts w:hint="eastAsia"/>
          <w:color w:val="000000"/>
        </w:rPr>
        <w:t>招标方职责</w:t>
      </w:r>
      <w:bookmarkEnd w:id="6"/>
      <w:bookmarkEnd w:id="7"/>
    </w:p>
    <w:p>
      <w:pPr>
        <w:pStyle w:val="25"/>
        <w:rPr>
          <w:color w:val="000000"/>
        </w:rPr>
      </w:pPr>
      <w:r>
        <w:rPr>
          <w:rFonts w:hint="eastAsia"/>
          <w:color w:val="000000"/>
        </w:rPr>
        <w:t>负责提供与本项目有关的技术资料、参数及图纸。</w:t>
      </w:r>
    </w:p>
    <w:p>
      <w:pPr>
        <w:pStyle w:val="25"/>
        <w:rPr>
          <w:color w:val="000000"/>
        </w:rPr>
      </w:pPr>
      <w:r>
        <w:rPr>
          <w:rFonts w:hint="eastAsia"/>
          <w:color w:val="000000"/>
        </w:rPr>
        <w:t>确认投标方提供的服务、工作产品的文件资料和技术。</w:t>
      </w:r>
    </w:p>
    <w:p>
      <w:pPr>
        <w:pStyle w:val="25"/>
        <w:rPr>
          <w:color w:val="000000"/>
        </w:rPr>
      </w:pPr>
      <w:r>
        <w:rPr>
          <w:rFonts w:hint="eastAsia"/>
          <w:color w:val="000000"/>
        </w:rPr>
        <w:t>提供满足投标方开展工作的环境条件。</w:t>
      </w:r>
    </w:p>
    <w:p>
      <w:pPr>
        <w:pStyle w:val="25"/>
        <w:rPr>
          <w:color w:val="000000"/>
        </w:rPr>
      </w:pPr>
      <w:r>
        <w:rPr>
          <w:rFonts w:hint="eastAsia"/>
          <w:color w:val="000000"/>
        </w:rPr>
        <w:t>参加相关联络会。</w:t>
      </w:r>
    </w:p>
    <w:p>
      <w:pPr>
        <w:pStyle w:val="25"/>
        <w:rPr>
          <w:color w:val="000000"/>
        </w:rPr>
      </w:pPr>
      <w:r>
        <w:rPr>
          <w:rFonts w:hint="eastAsia"/>
          <w:color w:val="000000"/>
        </w:rPr>
        <w:t>负责向投标方解释技术规范书中的要求。</w:t>
      </w:r>
    </w:p>
    <w:p>
      <w:pPr>
        <w:pStyle w:val="25"/>
        <w:rPr>
          <w:color w:val="000000"/>
        </w:rPr>
      </w:pPr>
      <w:r>
        <w:rPr>
          <w:rFonts w:hint="eastAsia"/>
          <w:color w:val="000000"/>
        </w:rPr>
        <w:t>配合投标方完成项目工作，并组织验收。</w:t>
      </w:r>
    </w:p>
    <w:p>
      <w:pPr>
        <w:ind w:firstLine="480" w:firstLineChars="200"/>
        <w:rPr>
          <w:color w:val="000000"/>
        </w:rPr>
      </w:pPr>
    </w:p>
    <w:p>
      <w:pPr>
        <w:pStyle w:val="2"/>
        <w:rPr>
          <w:color w:val="000000"/>
        </w:rPr>
      </w:pPr>
      <w:bookmarkStart w:id="8" w:name="_Toc477377748"/>
      <w:bookmarkStart w:id="9" w:name="_Toc353115667"/>
      <w:bookmarkStart w:id="10" w:name="_Toc351129172"/>
      <w:r>
        <w:rPr>
          <w:rFonts w:hint="eastAsia"/>
          <w:color w:val="000000"/>
        </w:rPr>
        <w:t>应遵循的主要标准</w:t>
      </w:r>
      <w:bookmarkEnd w:id="8"/>
      <w:bookmarkEnd w:id="9"/>
      <w:bookmarkEnd w:id="10"/>
    </w:p>
    <w:p>
      <w:pPr>
        <w:ind w:firstLine="480" w:firstLineChars="200"/>
        <w:rPr>
          <w:rFonts w:hint="eastAsia"/>
          <w:color w:val="000000"/>
        </w:rPr>
      </w:pPr>
      <w:r>
        <w:rPr>
          <w:rFonts w:hint="eastAsia"/>
          <w:color w:val="000000"/>
        </w:rPr>
        <w:t>投标方提供的所有工作产品，除本规范书中规定的技术参数和要求外，其余均应遵照最新版本的国际电信联盟(ITU)、国际电工委员会标准(IEC)、国际公制(SI)、国际标准化组织（ISO）及国家标准，这是对服务的最低要求。如果投标方有自己的标准或规范经招标方同意方可采用，但原则上均不能低于上述标准的有关规定，特别是这些规定或规程中互相矛盾的地方，应先征得招标方同意后，才能制造。本项目的工作应遵循以下标准和文件要求：</w:t>
      </w:r>
    </w:p>
    <w:tbl>
      <w:tblPr>
        <w:tblStyle w:val="17"/>
        <w:tblW w:w="8924" w:type="dxa"/>
        <w:tblInd w:w="96" w:type="dxa"/>
        <w:tblLayout w:type="fixed"/>
        <w:tblCellMar>
          <w:top w:w="0" w:type="dxa"/>
          <w:left w:w="0" w:type="dxa"/>
          <w:bottom w:w="0" w:type="dxa"/>
          <w:right w:w="0" w:type="dxa"/>
        </w:tblCellMar>
      </w:tblPr>
      <w:tblGrid>
        <w:gridCol w:w="2643"/>
        <w:gridCol w:w="6281"/>
      </w:tblGrid>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center"/>
              <w:textAlignment w:val="center"/>
              <w:rPr>
                <w:rFonts w:hAnsi="宋体" w:cs="宋体"/>
                <w:b/>
                <w:color w:val="auto"/>
              </w:rPr>
            </w:pPr>
            <w:r>
              <w:rPr>
                <w:rFonts w:hint="eastAsia" w:hAnsi="宋体" w:cs="宋体"/>
                <w:b/>
                <w:color w:val="auto"/>
                <w:kern w:val="0"/>
              </w:rPr>
              <w:t>标准号或文号</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center"/>
              <w:textAlignment w:val="center"/>
              <w:rPr>
                <w:rFonts w:hAnsi="宋体" w:cs="宋体"/>
                <w:b/>
                <w:color w:val="auto"/>
              </w:rPr>
            </w:pPr>
            <w:r>
              <w:rPr>
                <w:rFonts w:hint="eastAsia" w:hAnsi="宋体" w:cs="宋体"/>
                <w:b/>
                <w:color w:val="auto"/>
                <w:kern w:val="0"/>
              </w:rPr>
              <w:t>标准名称</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tcPr>
          <w:p>
            <w:pPr>
              <w:widowControl/>
              <w:spacing w:line="240" w:lineRule="auto"/>
              <w:textAlignment w:val="top"/>
              <w:rPr>
                <w:rFonts w:hAnsi="宋体" w:cs="宋体"/>
                <w:color w:val="auto"/>
              </w:rPr>
            </w:pPr>
            <w:r>
              <w:rPr>
                <w:rFonts w:hint="eastAsia" w:hAnsi="宋体" w:cs="宋体"/>
                <w:color w:val="auto"/>
                <w:kern w:val="0"/>
                <w:sz w:val="22"/>
                <w:szCs w:val="22"/>
              </w:rPr>
              <w:t>Q/CSG2153078-2020</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textAlignment w:val="center"/>
              <w:rPr>
                <w:rFonts w:hAnsi="宋体" w:cs="宋体"/>
                <w:color w:val="auto"/>
              </w:rPr>
            </w:pPr>
            <w:r>
              <w:rPr>
                <w:rFonts w:hint="eastAsia" w:hAnsi="宋体" w:cs="宋体"/>
                <w:color w:val="auto"/>
                <w:kern w:val="0"/>
                <w:sz w:val="22"/>
                <w:szCs w:val="22"/>
              </w:rPr>
              <w:t>中国南方电网有限责任公司信息化项目管理细则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tcPr>
          <w:p>
            <w:pPr>
              <w:widowControl/>
              <w:spacing w:line="240" w:lineRule="auto"/>
              <w:textAlignment w:val="top"/>
              <w:rPr>
                <w:rFonts w:hAnsi="宋体" w:cs="宋体"/>
                <w:color w:val="auto"/>
              </w:rPr>
            </w:pPr>
            <w:r>
              <w:rPr>
                <w:rFonts w:hint="eastAsia" w:hAnsi="宋体" w:cs="宋体"/>
                <w:color w:val="auto"/>
                <w:kern w:val="0"/>
                <w:sz w:val="22"/>
                <w:szCs w:val="22"/>
              </w:rPr>
              <w:t>Q/CSG2153080-2020</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textAlignment w:val="center"/>
              <w:rPr>
                <w:rFonts w:hAnsi="宋体" w:cs="宋体"/>
                <w:color w:val="auto"/>
              </w:rPr>
            </w:pPr>
            <w:r>
              <w:rPr>
                <w:rFonts w:hint="eastAsia" w:hAnsi="宋体" w:cs="宋体"/>
                <w:color w:val="auto"/>
                <w:kern w:val="0"/>
                <w:sz w:val="22"/>
                <w:szCs w:val="22"/>
              </w:rPr>
              <w:t>中国南方电网有限责任公司信息化项目建设管理细则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Q/CSG-GXPG2IT002-2019</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广西电网有限责任公司网络安全管理细则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Q/CSG218005-2018</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中国南方电网有限责任公司数据资产管理办法</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240" w:lineRule="auto"/>
              <w:rPr>
                <w:rFonts w:hAnsi="宋体" w:cs="宋体"/>
                <w:color w:val="auto"/>
              </w:rPr>
            </w:pP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中国南方电网有限责任公司数据共享开放管理细则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240" w:lineRule="auto"/>
              <w:rPr>
                <w:rFonts w:hAnsi="宋体" w:cs="宋体"/>
                <w:color w:val="auto"/>
              </w:rPr>
            </w:pP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中国南方电网有限责任公司主数据管理细则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Q/CSG-GXPG2IT003-2019</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广西电网有限责任公司数据安全管理细则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Q/CSG-GXPG2IT004-2019</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广西电网有限责任公司数据共享开放实施细则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Q/CSG-GXPG2IT006-2019</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广西电网有限责任公司数据应用管理细则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Q/CSG-GXPG2IT005-2019</w:t>
            </w: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jc w:val="left"/>
              <w:textAlignment w:val="center"/>
              <w:rPr>
                <w:rFonts w:hAnsi="宋体" w:cs="宋体"/>
                <w:color w:val="auto"/>
              </w:rPr>
            </w:pPr>
            <w:r>
              <w:rPr>
                <w:rFonts w:hint="eastAsia" w:hAnsi="宋体" w:cs="宋体"/>
                <w:color w:val="auto"/>
                <w:kern w:val="0"/>
                <w:sz w:val="22"/>
                <w:szCs w:val="22"/>
              </w:rPr>
              <w:t>广西电网有限责任公司数据运行维护管理细则</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240" w:lineRule="auto"/>
              <w:rPr>
                <w:rFonts w:hAnsi="宋体" w:cs="宋体"/>
                <w:color w:val="auto"/>
              </w:rPr>
            </w:pP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textAlignment w:val="center"/>
              <w:rPr>
                <w:rFonts w:hAnsi="宋体" w:cs="宋体"/>
                <w:color w:val="auto"/>
              </w:rPr>
            </w:pPr>
            <w:r>
              <w:rPr>
                <w:rFonts w:hint="eastAsia" w:hAnsi="宋体" w:cs="宋体"/>
                <w:color w:val="auto"/>
                <w:kern w:val="0"/>
                <w:sz w:val="22"/>
                <w:szCs w:val="22"/>
              </w:rPr>
              <w:t>信息中心信息作业安全管理工作指引</w:t>
            </w:r>
          </w:p>
        </w:tc>
      </w:tr>
      <w:tr>
        <w:tblPrEx>
          <w:tblLayout w:type="fixed"/>
          <w:tblCellMar>
            <w:top w:w="0" w:type="dxa"/>
            <w:left w:w="0" w:type="dxa"/>
            <w:bottom w:w="0" w:type="dxa"/>
            <w:right w:w="0" w:type="dxa"/>
          </w:tblCellMar>
        </w:tblPrEx>
        <w:trPr>
          <w:trHeight w:val="454" w:hRule="atLeast"/>
        </w:trPr>
        <w:tc>
          <w:tcPr>
            <w:tcW w:w="264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240" w:lineRule="auto"/>
              <w:rPr>
                <w:rFonts w:hAnsi="宋体" w:cs="宋体"/>
                <w:color w:val="auto"/>
              </w:rPr>
            </w:pPr>
          </w:p>
        </w:tc>
        <w:tc>
          <w:tcPr>
            <w:tcW w:w="628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240" w:lineRule="auto"/>
              <w:textAlignment w:val="center"/>
              <w:rPr>
                <w:rFonts w:hAnsi="宋体" w:cs="宋体"/>
                <w:color w:val="auto"/>
                <w:kern w:val="0"/>
                <w:sz w:val="22"/>
                <w:szCs w:val="22"/>
              </w:rPr>
            </w:pPr>
            <w:r>
              <w:rPr>
                <w:rFonts w:hint="eastAsia" w:hAnsi="宋体" w:cs="宋体"/>
                <w:color w:val="auto"/>
                <w:kern w:val="0"/>
                <w:sz w:val="22"/>
                <w:szCs w:val="22"/>
              </w:rPr>
              <w:t>南方电网公司数字化转型和数字电网建设数据管控工作指引（2020年版）</w:t>
            </w:r>
          </w:p>
        </w:tc>
      </w:tr>
    </w:tbl>
    <w:p>
      <w:pPr>
        <w:ind w:firstLine="480" w:firstLineChars="200"/>
        <w:rPr>
          <w:color w:val="000000"/>
        </w:rPr>
      </w:pPr>
    </w:p>
    <w:p>
      <w:pPr>
        <w:pStyle w:val="2"/>
        <w:rPr>
          <w:rFonts w:hint="eastAsia"/>
          <w:color w:val="000000"/>
        </w:rPr>
      </w:pPr>
      <w:bookmarkStart w:id="11" w:name="_Toc477377749"/>
      <w:bookmarkStart w:id="12" w:name="_Toc353115666"/>
      <w:r>
        <w:rPr>
          <w:rFonts w:hint="eastAsia"/>
          <w:color w:val="000000"/>
        </w:rPr>
        <w:t>项目概述</w:t>
      </w:r>
      <w:bookmarkEnd w:id="11"/>
      <w:bookmarkEnd w:id="12"/>
    </w:p>
    <w:p>
      <w:pPr>
        <w:pStyle w:val="35"/>
        <w:ind w:firstLine="420" w:firstLineChars="175"/>
        <w:rPr>
          <w:rFonts w:hint="eastAsia" w:ascii="宋体" w:hAnsi="宋体" w:eastAsia="宋体" w:cs="Times New Roman"/>
          <w:color w:val="000000"/>
        </w:rPr>
      </w:pPr>
      <w:bookmarkStart w:id="13" w:name="_Toc318801133"/>
      <w:bookmarkStart w:id="14" w:name="_Toc291008593"/>
      <w:r>
        <w:rPr>
          <w:rFonts w:hint="eastAsia" w:asciiTheme="minorEastAsia" w:hAnsiTheme="minorEastAsia" w:eastAsiaTheme="minorEastAsia"/>
          <w:color w:val="auto"/>
        </w:rPr>
        <w:t>开展</w:t>
      </w:r>
      <w:r>
        <w:rPr>
          <w:rFonts w:hint="eastAsia" w:asciiTheme="minorEastAsia" w:hAnsiTheme="minorEastAsia" w:eastAsiaTheme="minorEastAsia"/>
          <w:color w:val="auto"/>
          <w:lang w:val="en-US" w:eastAsia="zh-CN"/>
        </w:rPr>
        <w:t>河池供电局工会账套报账应用支持服务工作</w:t>
      </w:r>
      <w:r>
        <w:rPr>
          <w:rFonts w:hint="eastAsia" w:asciiTheme="minorEastAsia" w:hAnsiTheme="minorEastAsia" w:eastAsiaTheme="minorEastAsia"/>
          <w:color w:val="auto"/>
        </w:rPr>
        <w:t>，有效保障</w:t>
      </w:r>
      <w:r>
        <w:rPr>
          <w:rFonts w:hint="eastAsia" w:asciiTheme="minorEastAsia" w:hAnsiTheme="minorEastAsia" w:eastAsiaTheme="minorEastAsia"/>
          <w:color w:val="auto"/>
          <w:lang w:val="en-US" w:eastAsia="zh-CN"/>
        </w:rPr>
        <w:t>工会报账</w:t>
      </w:r>
      <w:r>
        <w:rPr>
          <w:rFonts w:hint="eastAsia" w:asciiTheme="minorEastAsia" w:hAnsiTheme="minorEastAsia" w:eastAsiaTheme="minorEastAsia"/>
          <w:bCs/>
          <w:color w:val="auto"/>
        </w:rPr>
        <w:t>业务能够持续运转。同时，</w:t>
      </w:r>
      <w:r>
        <w:rPr>
          <w:rFonts w:hint="eastAsia" w:asciiTheme="minorEastAsia" w:hAnsiTheme="minorEastAsia" w:eastAsiaTheme="minorEastAsia"/>
          <w:color w:val="auto"/>
        </w:rPr>
        <w:t>使各级管理人员及业务人员在</w:t>
      </w:r>
      <w:r>
        <w:rPr>
          <w:rFonts w:hint="eastAsia" w:asciiTheme="minorEastAsia" w:hAnsiTheme="minorEastAsia" w:eastAsiaTheme="minorEastAsia"/>
          <w:color w:val="auto"/>
          <w:lang w:val="en-US" w:eastAsia="zh-CN"/>
        </w:rPr>
        <w:t>工会账套</w:t>
      </w:r>
      <w:r>
        <w:rPr>
          <w:rFonts w:hint="eastAsia" w:asciiTheme="minorEastAsia" w:hAnsiTheme="minorEastAsia" w:eastAsiaTheme="minorEastAsia"/>
          <w:bCs/>
          <w:color w:val="auto"/>
        </w:rPr>
        <w:t>业务办理效率更高效</w:t>
      </w:r>
      <w:r>
        <w:rPr>
          <w:rFonts w:hint="eastAsia" w:asciiTheme="minorEastAsia" w:hAnsiTheme="minorEastAsia" w:eastAsiaTheme="minorEastAsia"/>
          <w:color w:val="auto"/>
        </w:rPr>
        <w:t>，进一步提升公司员工满意度和幸福感，有效地支持精细化管理和标准化建设</w:t>
      </w:r>
      <w:r>
        <w:rPr>
          <w:rFonts w:hint="eastAsia" w:ascii="宋体" w:hAnsi="宋体" w:eastAsia="宋体" w:cs="Times New Roman"/>
          <w:color w:val="000000"/>
        </w:rPr>
        <w:t>。</w:t>
      </w:r>
    </w:p>
    <w:p>
      <w:pPr>
        <w:ind w:firstLine="420"/>
        <w:rPr>
          <w:rFonts w:hint="eastAsia"/>
          <w:color w:val="000000"/>
        </w:rPr>
      </w:pPr>
    </w:p>
    <w:bookmarkEnd w:id="13"/>
    <w:bookmarkEnd w:id="14"/>
    <w:p>
      <w:pPr>
        <w:pStyle w:val="2"/>
        <w:rPr>
          <w:color w:val="000000"/>
        </w:rPr>
      </w:pPr>
      <w:bookmarkStart w:id="15" w:name="_Toc477377750"/>
      <w:r>
        <w:rPr>
          <w:rFonts w:hint="eastAsia"/>
          <w:color w:val="000000"/>
        </w:rPr>
        <w:t>范围和内容</w:t>
      </w:r>
      <w:bookmarkEnd w:id="15"/>
    </w:p>
    <w:p>
      <w:pPr>
        <w:ind w:firstLine="360" w:firstLineChars="150"/>
      </w:pPr>
      <w:r>
        <w:rPr>
          <w:rFonts w:hint="eastAsia"/>
        </w:rPr>
        <w:t>河池网区各县局办公网站系统运维项目内容是对河池网区各县局办公网站进行维护保养工作</w:t>
      </w:r>
      <w:r>
        <w:rPr>
          <w:rFonts w:hint="eastAsia"/>
          <w:lang w:eastAsia="zh-CN"/>
        </w:rPr>
        <w:t>，</w:t>
      </w:r>
      <w:r>
        <w:rPr>
          <w:rFonts w:hint="eastAsia"/>
          <w:lang w:val="en-US" w:eastAsia="zh-CN"/>
        </w:rPr>
        <w:t>范围包括环江供电局办公网站、东兰供电局办公网站、罗城供电局办公网站、大化供电局办公网站、宜州供电局办公网站、金城江供电局办公网站</w:t>
      </w:r>
      <w:r>
        <w:rPr>
          <w:rFonts w:hint="eastAsia"/>
        </w:rPr>
        <w:t>。</w:t>
      </w:r>
    </w:p>
    <w:p>
      <w:pPr>
        <w:ind w:firstLine="420" w:firstLineChars="0"/>
        <w:rPr>
          <w:rFonts w:hint="eastAsia"/>
          <w:color w:val="000000"/>
        </w:rPr>
      </w:pPr>
      <w:r>
        <w:rPr>
          <w:rFonts w:hint="eastAsia"/>
          <w:highlight w:val="none"/>
        </w:rPr>
        <w:t>本次采购的范围和内容如下，</w:t>
      </w:r>
      <w:r>
        <w:rPr>
          <w:rFonts w:hint="eastAsia"/>
          <w:highlight w:val="none"/>
          <w:lang w:val="en-US" w:eastAsia="zh-CN"/>
        </w:rPr>
        <w:t>服务期限为</w:t>
      </w:r>
      <w:r>
        <w:rPr>
          <w:rFonts w:hint="eastAsia"/>
          <w:highlight w:val="none"/>
          <w:lang w:eastAsia="zh-CN"/>
        </w:rPr>
        <w:t>自合同约定之日起至2024年12月15日</w:t>
      </w:r>
      <w:r>
        <w:rPr>
          <w:rFonts w:hint="eastAsia"/>
          <w:highlight w:val="none"/>
        </w:rPr>
        <w:t>，投标方应按此进行响应报</w:t>
      </w:r>
      <w:r>
        <w:rPr>
          <w:rFonts w:hint="eastAsia"/>
        </w:rPr>
        <w:t>价：</w:t>
      </w:r>
      <w:bookmarkStart w:id="62" w:name="_GoBack"/>
      <w:bookmarkEnd w:id="62"/>
    </w:p>
    <w:tbl>
      <w:tblPr>
        <w:tblStyle w:val="17"/>
        <w:tblpPr w:leftFromText="180" w:rightFromText="180" w:vertAnchor="text" w:horzAnchor="page" w:tblpX="1897" w:tblpY="64"/>
        <w:tblOverlap w:val="never"/>
        <w:tblW w:w="83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069"/>
        <w:gridCol w:w="4031"/>
        <w:gridCol w:w="705"/>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1" w:hRule="atLeast"/>
        </w:trPr>
        <w:tc>
          <w:tcPr>
            <w:tcW w:w="814" w:type="dxa"/>
            <w:tcBorders>
              <w:top w:val="single" w:color="auto" w:sz="4" w:space="0"/>
              <w:left w:val="single" w:color="auto" w:sz="4" w:space="0"/>
              <w:bottom w:val="single" w:color="auto" w:sz="4" w:space="0"/>
              <w:right w:val="single" w:color="auto" w:sz="4" w:space="0"/>
            </w:tcBorders>
            <w:noWrap w:val="0"/>
            <w:vAlign w:val="top"/>
          </w:tcPr>
          <w:p>
            <w:pPr>
              <w:rPr>
                <w:rFonts w:hint="eastAsia" w:hAnsi="宋体" w:cs="宋体"/>
              </w:rPr>
            </w:pPr>
            <w:r>
              <w:rPr>
                <w:rFonts w:hint="eastAsia" w:hAnsi="宋体" w:cs="宋体"/>
              </w:rPr>
              <w:t>序号</w:t>
            </w:r>
          </w:p>
        </w:tc>
        <w:tc>
          <w:tcPr>
            <w:tcW w:w="610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hAnsi="宋体" w:cs="宋体"/>
              </w:rPr>
            </w:pPr>
            <w:r>
              <w:rPr>
                <w:rFonts w:hint="eastAsia" w:hAnsi="宋体" w:cs="宋体"/>
              </w:rPr>
              <w:t>内容</w:t>
            </w:r>
          </w:p>
        </w:tc>
        <w:tc>
          <w:tcPr>
            <w:tcW w:w="705" w:type="dxa"/>
            <w:tcBorders>
              <w:top w:val="single" w:color="auto" w:sz="4" w:space="0"/>
              <w:left w:val="single" w:color="auto" w:sz="4" w:space="0"/>
              <w:bottom w:val="single" w:color="auto" w:sz="4" w:space="0"/>
              <w:right w:val="single" w:color="auto" w:sz="4" w:space="0"/>
            </w:tcBorders>
            <w:noWrap w:val="0"/>
            <w:vAlign w:val="center"/>
          </w:tcPr>
          <w:p>
            <w:pPr>
              <w:rPr>
                <w:rFonts w:hint="eastAsia" w:hAnsi="宋体" w:cs="宋体"/>
              </w:rPr>
            </w:pPr>
            <w:r>
              <w:rPr>
                <w:rFonts w:hint="eastAsia" w:hAnsi="宋体" w:cs="宋体"/>
              </w:rPr>
              <w:t>数量</w:t>
            </w:r>
          </w:p>
        </w:tc>
        <w:tc>
          <w:tcPr>
            <w:tcW w:w="709" w:type="dxa"/>
            <w:tcBorders>
              <w:top w:val="single" w:color="auto" w:sz="4" w:space="0"/>
              <w:left w:val="single" w:color="auto" w:sz="4" w:space="0"/>
              <w:bottom w:val="single" w:color="auto" w:sz="4" w:space="0"/>
              <w:right w:val="single" w:color="auto" w:sz="4" w:space="0"/>
            </w:tcBorders>
            <w:noWrap w:val="0"/>
            <w:vAlign w:val="center"/>
          </w:tcPr>
          <w:p>
            <w:pPr>
              <w:rPr>
                <w:rFonts w:hint="eastAsia" w:hAnsi="宋体" w:cs="宋体"/>
              </w:rPr>
            </w:pPr>
            <w:r>
              <w:rPr>
                <w:rFonts w:hint="eastAsia" w:hAnsi="宋体" w:cs="宋体"/>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814" w:type="dxa"/>
            <w:vMerge w:val="restart"/>
            <w:tcBorders>
              <w:top w:val="single" w:color="auto" w:sz="4" w:space="0"/>
              <w:left w:val="single" w:color="auto" w:sz="4" w:space="0"/>
              <w:right w:val="single" w:color="auto" w:sz="4" w:space="0"/>
            </w:tcBorders>
            <w:noWrap w:val="0"/>
            <w:vAlign w:val="center"/>
          </w:tcPr>
          <w:p>
            <w:pPr>
              <w:adjustRightInd w:val="0"/>
              <w:snapToGrid w:val="0"/>
              <w:ind w:firstLine="120" w:firstLineChars="50"/>
              <w:jc w:val="center"/>
              <w:rPr>
                <w:rFonts w:hint="eastAsia" w:hAnsi="宋体" w:cs="宋体"/>
              </w:rPr>
            </w:pPr>
            <w:r>
              <w:rPr>
                <w:rFonts w:hint="eastAsia" w:hAnsi="宋体" w:cs="宋体"/>
              </w:rPr>
              <w:t>1</w:t>
            </w:r>
          </w:p>
        </w:tc>
        <w:tc>
          <w:tcPr>
            <w:tcW w:w="2069" w:type="dxa"/>
            <w:vMerge w:val="restart"/>
            <w:tcBorders>
              <w:top w:val="single" w:color="auto" w:sz="4" w:space="0"/>
              <w:left w:val="single" w:color="auto" w:sz="4" w:space="0"/>
              <w:right w:val="single" w:color="auto" w:sz="4" w:space="0"/>
            </w:tcBorders>
            <w:noWrap w:val="0"/>
            <w:vAlign w:val="center"/>
          </w:tcPr>
          <w:p>
            <w:pPr>
              <w:adjustRightInd w:val="0"/>
              <w:snapToGrid w:val="0"/>
              <w:jc w:val="left"/>
              <w:rPr>
                <w:rFonts w:hint="eastAsia" w:hAnsi="宋体" w:cs="宋体"/>
              </w:rPr>
            </w:pPr>
            <w:r>
              <w:rPr>
                <w:rFonts w:hint="eastAsia" w:hAnsi="宋体" w:cs="宋体"/>
              </w:rPr>
              <w:t>河池供电局工会财务报账技术支持服务</w:t>
            </w:r>
          </w:p>
        </w:tc>
        <w:tc>
          <w:tcPr>
            <w:tcW w:w="4031"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240" w:lineRule="auto"/>
              <w:jc w:val="left"/>
              <w:rPr>
                <w:rFonts w:hint="eastAsia" w:hAnsi="宋体" w:cs="宋体"/>
              </w:rPr>
            </w:pPr>
            <w:r>
              <w:rPr>
                <w:rFonts w:hint="eastAsia" w:hAnsi="宋体" w:cs="宋体"/>
                <w:kern w:val="0"/>
                <w:lang w:val="en-US" w:eastAsia="zh-CN"/>
              </w:rPr>
              <w:t>新增基础信息，包括：新增组织机构、职工信息、用户账号、业务活动、费用项目等基础信息</w:t>
            </w:r>
            <w:r>
              <w:rPr>
                <w:rFonts w:hint="eastAsia" w:hAnsi="宋体" w:cs="宋体"/>
                <w:kern w:val="0"/>
              </w:rPr>
              <w:t>。</w:t>
            </w:r>
          </w:p>
        </w:tc>
        <w:tc>
          <w:tcPr>
            <w:tcW w:w="705" w:type="dxa"/>
            <w:tcBorders>
              <w:top w:val="single" w:color="auto" w:sz="4" w:space="0"/>
              <w:left w:val="single" w:color="auto" w:sz="4" w:space="0"/>
              <w:right w:val="single" w:color="auto" w:sz="4" w:space="0"/>
            </w:tcBorders>
            <w:noWrap w:val="0"/>
            <w:vAlign w:val="center"/>
          </w:tcPr>
          <w:p>
            <w:pPr>
              <w:jc w:val="center"/>
              <w:rPr>
                <w:rFonts w:hint="eastAsia" w:hAnsi="宋体" w:eastAsia="宋体" w:cs="宋体"/>
                <w:lang w:val="en-US" w:eastAsia="zh-CN"/>
              </w:rPr>
            </w:pPr>
            <w:r>
              <w:rPr>
                <w:rFonts w:hint="eastAsia" w:hAnsi="宋体" w:cs="宋体"/>
                <w:lang w:val="en-US" w:eastAsia="zh-CN"/>
              </w:rPr>
              <w:t>1</w:t>
            </w:r>
          </w:p>
        </w:tc>
        <w:tc>
          <w:tcPr>
            <w:tcW w:w="709" w:type="dxa"/>
            <w:tcBorders>
              <w:top w:val="single" w:color="auto" w:sz="4" w:space="0"/>
              <w:left w:val="single" w:color="auto" w:sz="4" w:space="0"/>
              <w:right w:val="single" w:color="auto" w:sz="4" w:space="0"/>
            </w:tcBorders>
            <w:noWrap w:val="0"/>
            <w:vAlign w:val="center"/>
          </w:tcPr>
          <w:p>
            <w:pPr>
              <w:jc w:val="center"/>
              <w:rPr>
                <w:rFonts w:hint="eastAsia" w:hAnsi="宋体" w:eastAsia="宋体" w:cs="宋体"/>
                <w:lang w:val="en-US" w:eastAsia="zh-CN"/>
              </w:rPr>
            </w:pPr>
            <w:r>
              <w:rPr>
                <w:rFonts w:hint="eastAsia" w:hAnsi="宋体" w:cs="宋体"/>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814" w:type="dxa"/>
            <w:vMerge w:val="continue"/>
            <w:tcBorders>
              <w:left w:val="single" w:color="auto" w:sz="4" w:space="0"/>
              <w:right w:val="single" w:color="auto" w:sz="4" w:space="0"/>
            </w:tcBorders>
            <w:noWrap w:val="0"/>
            <w:vAlign w:val="center"/>
          </w:tcPr>
          <w:p>
            <w:pPr>
              <w:widowControl/>
              <w:adjustRightInd w:val="0"/>
              <w:snapToGrid w:val="0"/>
              <w:spacing w:line="240" w:lineRule="auto"/>
              <w:jc w:val="left"/>
            </w:pPr>
          </w:p>
        </w:tc>
        <w:tc>
          <w:tcPr>
            <w:tcW w:w="2069" w:type="dxa"/>
            <w:vMerge w:val="continue"/>
            <w:tcBorders>
              <w:left w:val="single" w:color="auto" w:sz="4" w:space="0"/>
              <w:right w:val="single" w:color="auto" w:sz="4" w:space="0"/>
            </w:tcBorders>
            <w:noWrap w:val="0"/>
            <w:vAlign w:val="center"/>
          </w:tcPr>
          <w:p>
            <w:pPr>
              <w:widowControl/>
              <w:adjustRightInd w:val="0"/>
              <w:snapToGrid w:val="0"/>
              <w:spacing w:line="240" w:lineRule="auto"/>
              <w:jc w:val="left"/>
            </w:pPr>
          </w:p>
        </w:tc>
        <w:tc>
          <w:tcPr>
            <w:tcW w:w="4031"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240" w:lineRule="auto"/>
              <w:jc w:val="left"/>
              <w:rPr>
                <w:rFonts w:hint="default" w:hAnsi="宋体" w:eastAsia="宋体" w:cs="宋体"/>
                <w:kern w:val="0"/>
                <w:lang w:val="en-US" w:eastAsia="zh-CN"/>
              </w:rPr>
            </w:pPr>
            <w:r>
              <w:rPr>
                <w:rFonts w:hint="eastAsia" w:hAnsi="宋体" w:cs="宋体"/>
                <w:kern w:val="0"/>
                <w:lang w:val="en-US" w:eastAsia="zh-CN"/>
              </w:rPr>
              <w:t>新增流程，包括：涉及报账业务的单据流程、收款方账户新增、收款方账户变更流程等。</w:t>
            </w:r>
          </w:p>
        </w:tc>
        <w:tc>
          <w:tcPr>
            <w:tcW w:w="705" w:type="dxa"/>
            <w:tcBorders>
              <w:left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1</w:t>
            </w:r>
          </w:p>
        </w:tc>
        <w:tc>
          <w:tcPr>
            <w:tcW w:w="709" w:type="dxa"/>
            <w:tcBorders>
              <w:left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814" w:type="dxa"/>
            <w:vMerge w:val="continue"/>
            <w:tcBorders>
              <w:left w:val="single" w:color="auto" w:sz="4" w:space="0"/>
              <w:right w:val="single" w:color="auto" w:sz="4" w:space="0"/>
            </w:tcBorders>
            <w:noWrap w:val="0"/>
            <w:vAlign w:val="center"/>
          </w:tcPr>
          <w:p>
            <w:pPr>
              <w:widowControl/>
              <w:adjustRightInd w:val="0"/>
              <w:snapToGrid w:val="0"/>
              <w:spacing w:line="240" w:lineRule="auto"/>
              <w:jc w:val="left"/>
              <w:rPr>
                <w:rFonts w:hint="eastAsia" w:hAnsi="宋体" w:cs="宋体"/>
                <w:kern w:val="0"/>
              </w:rPr>
            </w:pPr>
          </w:p>
        </w:tc>
        <w:tc>
          <w:tcPr>
            <w:tcW w:w="2069" w:type="dxa"/>
            <w:vMerge w:val="continue"/>
            <w:tcBorders>
              <w:left w:val="single" w:color="auto" w:sz="4" w:space="0"/>
              <w:right w:val="single" w:color="auto" w:sz="4" w:space="0"/>
            </w:tcBorders>
            <w:noWrap w:val="0"/>
            <w:vAlign w:val="center"/>
          </w:tcPr>
          <w:p>
            <w:pPr>
              <w:widowControl/>
              <w:adjustRightInd w:val="0"/>
              <w:snapToGrid w:val="0"/>
              <w:spacing w:line="240" w:lineRule="auto"/>
              <w:jc w:val="left"/>
              <w:rPr>
                <w:rFonts w:hint="eastAsia" w:hAnsi="宋体" w:cs="宋体"/>
                <w:kern w:val="0"/>
              </w:rPr>
            </w:pPr>
          </w:p>
        </w:tc>
        <w:tc>
          <w:tcPr>
            <w:tcW w:w="4031"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240" w:lineRule="auto"/>
              <w:jc w:val="left"/>
              <w:rPr>
                <w:rFonts w:hint="default" w:hAnsi="宋体" w:cs="宋体"/>
                <w:kern w:val="0"/>
                <w:lang w:val="en-US"/>
              </w:rPr>
            </w:pPr>
            <w:r>
              <w:rPr>
                <w:rFonts w:hint="eastAsia" w:hAnsi="宋体" w:cs="宋体"/>
                <w:kern w:val="0"/>
                <w:lang w:val="en-US" w:eastAsia="zh-CN"/>
              </w:rPr>
              <w:t>新增岗位及权限，包括：报账业务的岗位信息、用户权限、</w:t>
            </w:r>
            <w:r>
              <w:rPr>
                <w:rFonts w:hint="eastAsia" w:hAnsi="宋体" w:cs="宋体"/>
                <w:kern w:val="0"/>
              </w:rPr>
              <w:t>菜单</w:t>
            </w:r>
            <w:r>
              <w:rPr>
                <w:rFonts w:hint="eastAsia" w:hAnsi="宋体" w:cs="宋体"/>
                <w:kern w:val="0"/>
                <w:lang w:val="en-US" w:eastAsia="zh-CN"/>
              </w:rPr>
              <w:t>权限等权限。</w:t>
            </w:r>
          </w:p>
        </w:tc>
        <w:tc>
          <w:tcPr>
            <w:tcW w:w="705" w:type="dxa"/>
            <w:tcBorders>
              <w:left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1</w:t>
            </w:r>
          </w:p>
        </w:tc>
        <w:tc>
          <w:tcPr>
            <w:tcW w:w="709" w:type="dxa"/>
            <w:tcBorders>
              <w:left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814" w:type="dxa"/>
            <w:vMerge w:val="continue"/>
            <w:tcBorders>
              <w:left w:val="single" w:color="auto" w:sz="4" w:space="0"/>
              <w:right w:val="single" w:color="auto" w:sz="4" w:space="0"/>
            </w:tcBorders>
            <w:noWrap w:val="0"/>
            <w:vAlign w:val="center"/>
          </w:tcPr>
          <w:p>
            <w:pPr>
              <w:widowControl/>
              <w:adjustRightInd w:val="0"/>
              <w:snapToGrid w:val="0"/>
              <w:spacing w:line="240" w:lineRule="auto"/>
              <w:jc w:val="left"/>
              <w:rPr>
                <w:rFonts w:hint="eastAsia" w:hAnsi="宋体" w:cs="宋体"/>
                <w:kern w:val="0"/>
              </w:rPr>
            </w:pPr>
          </w:p>
        </w:tc>
        <w:tc>
          <w:tcPr>
            <w:tcW w:w="2069" w:type="dxa"/>
            <w:vMerge w:val="continue"/>
            <w:tcBorders>
              <w:left w:val="single" w:color="auto" w:sz="4" w:space="0"/>
              <w:right w:val="single" w:color="auto" w:sz="4" w:space="0"/>
            </w:tcBorders>
            <w:noWrap w:val="0"/>
            <w:vAlign w:val="center"/>
          </w:tcPr>
          <w:p>
            <w:pPr>
              <w:widowControl/>
              <w:adjustRightInd w:val="0"/>
              <w:snapToGrid w:val="0"/>
              <w:spacing w:line="240" w:lineRule="auto"/>
              <w:jc w:val="left"/>
              <w:rPr>
                <w:rFonts w:hint="eastAsia" w:hAnsi="宋体" w:cs="宋体"/>
                <w:kern w:val="0"/>
              </w:rPr>
            </w:pPr>
          </w:p>
        </w:tc>
        <w:tc>
          <w:tcPr>
            <w:tcW w:w="4031"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240" w:lineRule="auto"/>
              <w:jc w:val="left"/>
              <w:rPr>
                <w:rFonts w:hint="default" w:hAnsi="宋体" w:eastAsia="宋体" w:cs="宋体"/>
                <w:kern w:val="0"/>
                <w:lang w:val="en-US" w:eastAsia="zh-CN"/>
              </w:rPr>
            </w:pPr>
            <w:r>
              <w:rPr>
                <w:rFonts w:hint="eastAsia" w:hAnsi="宋体" w:cs="宋体"/>
                <w:kern w:val="0"/>
                <w:lang w:val="en-US" w:eastAsia="zh-CN"/>
              </w:rPr>
              <w:t>新增打印格式及方案，包括：</w:t>
            </w:r>
            <w:r>
              <w:rPr>
                <w:rFonts w:hint="eastAsia" w:hAnsi="宋体" w:cs="宋体"/>
                <w:kern w:val="0"/>
              </w:rPr>
              <w:t>单据打印格式、</w:t>
            </w:r>
            <w:r>
              <w:rPr>
                <w:rFonts w:hint="eastAsia" w:hAnsi="宋体" w:cs="宋体"/>
                <w:kern w:val="0"/>
                <w:lang w:val="en-US" w:eastAsia="zh-CN"/>
              </w:rPr>
              <w:t>打印方案及</w:t>
            </w:r>
            <w:r>
              <w:rPr>
                <w:rFonts w:hint="eastAsia" w:hAnsi="宋体" w:cs="宋体"/>
                <w:kern w:val="0"/>
              </w:rPr>
              <w:t>单据推生成凭证方案</w:t>
            </w:r>
            <w:r>
              <w:rPr>
                <w:rFonts w:hint="eastAsia" w:hAnsi="宋体" w:cs="宋体"/>
                <w:kern w:val="0"/>
                <w:lang w:val="en-US" w:eastAsia="zh-CN"/>
              </w:rPr>
              <w:t>等。</w:t>
            </w:r>
          </w:p>
        </w:tc>
        <w:tc>
          <w:tcPr>
            <w:tcW w:w="705" w:type="dxa"/>
            <w:tcBorders>
              <w:left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1</w:t>
            </w:r>
          </w:p>
        </w:tc>
        <w:tc>
          <w:tcPr>
            <w:tcW w:w="709" w:type="dxa"/>
            <w:tcBorders>
              <w:left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814" w:type="dxa"/>
            <w:vMerge w:val="continue"/>
            <w:tcBorders>
              <w:left w:val="single" w:color="auto" w:sz="4" w:space="0"/>
              <w:right w:val="single" w:color="auto" w:sz="4" w:space="0"/>
            </w:tcBorders>
            <w:noWrap w:val="0"/>
            <w:vAlign w:val="center"/>
          </w:tcPr>
          <w:p>
            <w:pPr>
              <w:widowControl/>
              <w:adjustRightInd w:val="0"/>
              <w:snapToGrid w:val="0"/>
              <w:spacing w:line="240" w:lineRule="auto"/>
              <w:jc w:val="left"/>
              <w:rPr>
                <w:rFonts w:hint="eastAsia" w:hAnsi="宋体" w:cs="宋体"/>
                <w:kern w:val="0"/>
              </w:rPr>
            </w:pPr>
          </w:p>
        </w:tc>
        <w:tc>
          <w:tcPr>
            <w:tcW w:w="2069" w:type="dxa"/>
            <w:vMerge w:val="continue"/>
            <w:tcBorders>
              <w:left w:val="single" w:color="auto" w:sz="4" w:space="0"/>
              <w:right w:val="single" w:color="auto" w:sz="4" w:space="0"/>
            </w:tcBorders>
            <w:noWrap w:val="0"/>
            <w:vAlign w:val="center"/>
          </w:tcPr>
          <w:p>
            <w:pPr>
              <w:widowControl/>
              <w:adjustRightInd w:val="0"/>
              <w:snapToGrid w:val="0"/>
              <w:spacing w:line="240" w:lineRule="auto"/>
              <w:jc w:val="left"/>
              <w:rPr>
                <w:rFonts w:hint="eastAsia" w:hAnsi="宋体" w:cs="宋体"/>
                <w:kern w:val="0"/>
              </w:rPr>
            </w:pPr>
          </w:p>
        </w:tc>
        <w:tc>
          <w:tcPr>
            <w:tcW w:w="4031"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240" w:lineRule="auto"/>
              <w:jc w:val="left"/>
              <w:rPr>
                <w:rFonts w:hint="default" w:hAnsi="宋体" w:cs="宋体"/>
                <w:kern w:val="0"/>
                <w:lang w:val="en-US" w:eastAsia="zh-CN"/>
              </w:rPr>
            </w:pPr>
            <w:r>
              <w:rPr>
                <w:rFonts w:hint="eastAsia" w:hAnsi="宋体" w:cs="宋体"/>
                <w:kern w:val="0"/>
                <w:lang w:val="en-US" w:eastAsia="zh-CN"/>
              </w:rPr>
              <w:t>新增报表，包括：工会账套新增一张个性化管理报表。</w:t>
            </w:r>
          </w:p>
        </w:tc>
        <w:tc>
          <w:tcPr>
            <w:tcW w:w="705" w:type="dxa"/>
            <w:tcBorders>
              <w:left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1</w:t>
            </w:r>
          </w:p>
        </w:tc>
        <w:tc>
          <w:tcPr>
            <w:tcW w:w="709" w:type="dxa"/>
            <w:tcBorders>
              <w:left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814" w:type="dxa"/>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240" w:lineRule="auto"/>
              <w:jc w:val="left"/>
              <w:rPr>
                <w:rFonts w:hint="eastAsia" w:hAnsi="宋体" w:cs="宋体"/>
                <w:kern w:val="0"/>
              </w:rPr>
            </w:pPr>
          </w:p>
        </w:tc>
        <w:tc>
          <w:tcPr>
            <w:tcW w:w="2069" w:type="dxa"/>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240" w:lineRule="auto"/>
              <w:jc w:val="left"/>
              <w:rPr>
                <w:rFonts w:hint="eastAsia" w:hAnsi="宋体" w:cs="宋体"/>
                <w:kern w:val="0"/>
              </w:rPr>
            </w:pPr>
          </w:p>
        </w:tc>
        <w:tc>
          <w:tcPr>
            <w:tcW w:w="4031"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240" w:lineRule="auto"/>
              <w:jc w:val="left"/>
              <w:rPr>
                <w:rFonts w:hint="default" w:hAnsi="宋体" w:cs="宋体"/>
                <w:kern w:val="0"/>
                <w:lang w:val="en-US" w:eastAsia="zh-CN"/>
              </w:rPr>
            </w:pPr>
            <w:r>
              <w:rPr>
                <w:rFonts w:hint="eastAsia" w:hAnsi="宋体" w:cs="宋体"/>
                <w:kern w:val="0"/>
                <w:lang w:val="en-US" w:eastAsia="zh-CN"/>
              </w:rPr>
              <w:t>工会账套报账应用指导。</w:t>
            </w:r>
          </w:p>
        </w:tc>
        <w:tc>
          <w:tcPr>
            <w:tcW w:w="705" w:type="dxa"/>
            <w:tcBorders>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1</w:t>
            </w:r>
          </w:p>
        </w:tc>
        <w:tc>
          <w:tcPr>
            <w:tcW w:w="709" w:type="dxa"/>
            <w:tcBorders>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4"/>
                <w:szCs w:val="24"/>
                <w:lang w:val="en-US" w:eastAsia="zh-CN" w:bidi="ar-SA"/>
              </w:rPr>
            </w:pPr>
            <w:r>
              <w:rPr>
                <w:rFonts w:hint="eastAsia" w:hAnsi="宋体" w:cs="宋体"/>
                <w:lang w:val="en-US" w:eastAsia="zh-CN"/>
              </w:rPr>
              <w:t>项</w:t>
            </w:r>
          </w:p>
        </w:tc>
      </w:tr>
    </w:tbl>
    <w:p>
      <w:pPr>
        <w:rPr>
          <w:color w:val="000000"/>
        </w:rPr>
      </w:pPr>
    </w:p>
    <w:p>
      <w:pPr>
        <w:pStyle w:val="2"/>
        <w:rPr>
          <w:rFonts w:hint="eastAsia"/>
          <w:color w:val="000000"/>
        </w:rPr>
      </w:pPr>
      <w:bookmarkStart w:id="16" w:name="_Toc353115668"/>
      <w:bookmarkStart w:id="17" w:name="_Toc477377751"/>
      <w:r>
        <w:rPr>
          <w:rFonts w:hint="eastAsia"/>
          <w:color w:val="000000"/>
        </w:rPr>
        <w:t>总体要求</w:t>
      </w:r>
      <w:bookmarkEnd w:id="16"/>
      <w:bookmarkEnd w:id="17"/>
    </w:p>
    <w:p>
      <w:pPr>
        <w:pStyle w:val="25"/>
        <w:numPr>
          <w:ilvl w:val="2"/>
          <w:numId w:val="0"/>
        </w:numPr>
        <w:rPr>
          <w:rFonts w:hAnsi="宋体"/>
          <w:color w:val="auto"/>
        </w:rPr>
      </w:pPr>
      <w:r>
        <w:rPr>
          <w:rFonts w:hint="eastAsia"/>
          <w:color w:val="000000"/>
        </w:rPr>
        <w:t>投标方必须响应并承诺下列要求。</w:t>
      </w:r>
    </w:p>
    <w:p>
      <w:pPr>
        <w:pStyle w:val="3"/>
        <w:rPr>
          <w:rFonts w:hAnsi="宋体"/>
          <w:color w:val="auto"/>
        </w:rPr>
      </w:pPr>
      <w:r>
        <w:rPr>
          <w:rFonts w:hint="eastAsia" w:hAnsi="宋体"/>
          <w:b w:val="0"/>
          <w:bCs w:val="0"/>
          <w:color w:val="auto"/>
        </w:rPr>
        <w:t>本规范书指标要求中，凡标有下划线或加“★”的地方均被视为重要的技术指标要求或性能要求。投标方要特别加以注意，必须完全满足这些要求。</w:t>
      </w:r>
    </w:p>
    <w:p>
      <w:pPr>
        <w:pStyle w:val="3"/>
        <w:rPr>
          <w:rFonts w:hAnsi="宋体"/>
          <w:color w:val="auto"/>
        </w:rPr>
      </w:pPr>
      <w:r>
        <w:rPr>
          <w:rFonts w:hint="eastAsia" w:hAnsi="宋体"/>
          <w:b w:val="0"/>
          <w:bCs w:val="0"/>
          <w:color w:val="auto"/>
        </w:rPr>
        <w:t>投标方应列出各个单项工作的报价，还应对各个单项工作的不同阶段工作进行划分，并在列出各阶段工作的详细报价。</w:t>
      </w:r>
    </w:p>
    <w:p>
      <w:pPr>
        <w:pStyle w:val="3"/>
        <w:rPr>
          <w:rFonts w:hAnsi="宋体"/>
          <w:color w:val="auto"/>
        </w:rPr>
      </w:pPr>
      <w:r>
        <w:rPr>
          <w:rFonts w:hint="eastAsia" w:hAnsi="宋体"/>
          <w:b w:val="0"/>
          <w:bCs w:val="0"/>
          <w:color w:val="auto"/>
        </w:rPr>
        <w:t>投标方必须提供完整的建议书，至少包含以下内容：</w:t>
      </w:r>
    </w:p>
    <w:p>
      <w:pPr>
        <w:pStyle w:val="25"/>
        <w:rPr>
          <w:rFonts w:hAnsi="宋体" w:cs="宋体"/>
          <w:b/>
          <w:highlight w:val="none"/>
        </w:rPr>
      </w:pPr>
      <w:bookmarkStart w:id="18" w:name="_Toc477377756"/>
      <w:bookmarkStart w:id="19" w:name="_Toc354640320"/>
      <w:r>
        <w:rPr>
          <w:rFonts w:hint="eastAsia" w:hAnsi="宋体" w:cs="宋体"/>
          <w:highlight w:val="none"/>
        </w:rPr>
        <w:t>必须阐述本项目总体的服务思路，并提出项目的服务目标。</w:t>
      </w:r>
    </w:p>
    <w:p>
      <w:pPr>
        <w:pStyle w:val="25"/>
        <w:rPr>
          <w:rFonts w:hAnsi="宋体" w:cs="宋体"/>
          <w:b/>
          <w:highlight w:val="none"/>
        </w:rPr>
      </w:pPr>
      <w:r>
        <w:rPr>
          <w:rFonts w:hint="eastAsia" w:hAnsi="宋体" w:cs="宋体"/>
          <w:highlight w:val="none"/>
        </w:rPr>
        <w:t>提供本项目的需求建议，对企业整体的需求做出实质性的评估。</w:t>
      </w:r>
    </w:p>
    <w:p>
      <w:pPr>
        <w:pStyle w:val="3"/>
        <w:jc w:val="left"/>
        <w:rPr>
          <w:color w:val="000000"/>
          <w:highlight w:val="none"/>
        </w:rPr>
      </w:pPr>
      <w:r>
        <w:rPr>
          <w:rFonts w:hint="eastAsia"/>
          <w:color w:val="000000"/>
          <w:highlight w:val="none"/>
        </w:rPr>
        <w:t>安全要求</w:t>
      </w:r>
    </w:p>
    <w:p>
      <w:pPr>
        <w:rPr>
          <w:highlight w:val="none"/>
        </w:rPr>
      </w:pPr>
      <w:r>
        <w:rPr>
          <w:rFonts w:hint="eastAsia"/>
          <w:highlight w:val="none"/>
        </w:rPr>
        <w:t>（1）、投标方及其产品和服务的提供者须配合招标方进行网络安全审查。</w:t>
      </w:r>
    </w:p>
    <w:p>
      <w:pPr>
        <w:rPr>
          <w:highlight w:val="none"/>
        </w:rPr>
      </w:pPr>
      <w:r>
        <w:rPr>
          <w:rFonts w:hint="eastAsia"/>
          <w:highlight w:val="none"/>
        </w:rPr>
        <w:t>（2）、投标方及其产品和服务的提供者须承诺不利用提供产品和服务的便利条件非法获取用户数据、非法控制和操纵用户设备。无正当理由不中断产品供应或必要的技术支持服务等。</w:t>
      </w:r>
    </w:p>
    <w:p>
      <w:pPr>
        <w:pStyle w:val="2"/>
        <w:keepNext w:val="0"/>
        <w:keepLines w:val="0"/>
        <w:numPr>
          <w:ilvl w:val="0"/>
          <w:numId w:val="1"/>
        </w:numPr>
        <w:rPr>
          <w:rFonts w:hint="eastAsia"/>
          <w:color w:val="000000"/>
          <w:szCs w:val="24"/>
        </w:rPr>
      </w:pPr>
      <w:r>
        <w:rPr>
          <w:rFonts w:hint="eastAsia"/>
          <w:color w:val="000000"/>
        </w:rPr>
        <w:t>主要技术要求</w:t>
      </w:r>
      <w:bookmarkEnd w:id="18"/>
      <w:bookmarkEnd w:id="19"/>
    </w:p>
    <w:p>
      <w:pPr>
        <w:pStyle w:val="25"/>
        <w:numPr>
          <w:ilvl w:val="2"/>
          <w:numId w:val="1"/>
        </w:numPr>
        <w:rPr>
          <w:rFonts w:hint="eastAsia" w:hAnsi="宋体" w:cs="宋体"/>
        </w:rPr>
      </w:pPr>
      <w:r>
        <w:rPr>
          <w:rFonts w:hint="eastAsia" w:hAnsi="宋体" w:cs="宋体"/>
          <w:kern w:val="0"/>
          <w:lang w:val="en-US" w:eastAsia="zh-CN"/>
        </w:rPr>
        <w:t>新增基础信息支持服务</w:t>
      </w:r>
    </w:p>
    <w:p>
      <w:pPr>
        <w:pStyle w:val="42"/>
        <w:ind w:firstLine="480"/>
        <w:rPr>
          <w:rFonts w:hint="eastAsia" w:hAnsi="宋体" w:cs="宋体"/>
        </w:rPr>
      </w:pPr>
      <w:r>
        <w:rPr>
          <w:rFonts w:hint="eastAsia" w:hAnsi="宋体" w:cs="宋体"/>
          <w:lang w:val="en-US" w:eastAsia="zh-CN"/>
        </w:rPr>
        <w:t>提供工会账套中</w:t>
      </w:r>
      <w:r>
        <w:rPr>
          <w:rFonts w:hint="eastAsia" w:hAnsi="宋体" w:cs="宋体"/>
        </w:rPr>
        <w:t>新增组织机构、职工信息、用户账号、业务活动、费用项目等基础信息</w:t>
      </w:r>
      <w:r>
        <w:rPr>
          <w:rFonts w:hint="eastAsia" w:hAnsi="宋体" w:cs="宋体"/>
          <w:lang w:val="en-US" w:eastAsia="zh-CN"/>
        </w:rPr>
        <w:t>技术支持</w:t>
      </w:r>
      <w:r>
        <w:rPr>
          <w:rFonts w:hint="eastAsia" w:hAnsi="宋体" w:cs="宋体"/>
        </w:rPr>
        <w:t>。</w:t>
      </w:r>
    </w:p>
    <w:p>
      <w:pPr>
        <w:pStyle w:val="25"/>
        <w:numPr>
          <w:ilvl w:val="2"/>
          <w:numId w:val="1"/>
        </w:numPr>
        <w:rPr>
          <w:rFonts w:hint="eastAsia" w:hAnsi="宋体" w:cs="宋体"/>
        </w:rPr>
      </w:pPr>
      <w:r>
        <w:rPr>
          <w:rFonts w:hint="eastAsia" w:hAnsi="宋体" w:cs="宋体"/>
          <w:kern w:val="0"/>
          <w:lang w:val="en-US" w:eastAsia="zh-CN"/>
        </w:rPr>
        <w:t>新增流程支持服务</w:t>
      </w:r>
    </w:p>
    <w:p>
      <w:pPr>
        <w:pStyle w:val="42"/>
        <w:ind w:firstLine="480"/>
        <w:rPr>
          <w:rFonts w:hint="eastAsia" w:hAnsi="宋体" w:eastAsia="宋体" w:cs="宋体"/>
          <w:lang w:val="en-US" w:eastAsia="zh-CN"/>
        </w:rPr>
      </w:pPr>
      <w:r>
        <w:rPr>
          <w:rFonts w:hint="eastAsia" w:hAnsi="宋体" w:cs="宋体"/>
          <w:lang w:val="en-US" w:eastAsia="zh-CN"/>
        </w:rPr>
        <w:t>提供工会账套中</w:t>
      </w:r>
      <w:r>
        <w:rPr>
          <w:rFonts w:hint="eastAsia" w:hAnsi="宋体" w:cs="宋体"/>
        </w:rPr>
        <w:t>涉及报账业务的单据流程、收款方账户新增、收款方账户变更流程等</w:t>
      </w:r>
      <w:r>
        <w:rPr>
          <w:rFonts w:hint="eastAsia" w:hAnsi="宋体" w:cs="宋体"/>
          <w:lang w:val="en-US" w:eastAsia="zh-CN"/>
        </w:rPr>
        <w:t>流程技术支持</w:t>
      </w:r>
      <w:r>
        <w:rPr>
          <w:rFonts w:hint="eastAsia" w:hAnsi="宋体" w:cs="宋体"/>
        </w:rPr>
        <w:t>。</w:t>
      </w:r>
    </w:p>
    <w:p>
      <w:pPr>
        <w:pStyle w:val="25"/>
        <w:numPr>
          <w:ilvl w:val="2"/>
          <w:numId w:val="1"/>
        </w:numPr>
        <w:rPr>
          <w:rFonts w:hint="eastAsia" w:hAnsi="宋体" w:cs="宋体"/>
        </w:rPr>
      </w:pPr>
      <w:r>
        <w:rPr>
          <w:rFonts w:hint="eastAsia" w:hAnsi="宋体" w:cs="宋体"/>
          <w:kern w:val="0"/>
          <w:lang w:val="en-US" w:eastAsia="zh-CN"/>
        </w:rPr>
        <w:t>新增岗位及权限</w:t>
      </w:r>
    </w:p>
    <w:p>
      <w:pPr>
        <w:ind w:firstLine="480" w:firstLineChars="200"/>
        <w:rPr>
          <w:rFonts w:hint="eastAsia" w:hAnsi="宋体" w:cs="宋体"/>
        </w:rPr>
      </w:pPr>
      <w:r>
        <w:rPr>
          <w:rFonts w:hint="eastAsia" w:hAnsi="宋体" w:cs="宋体"/>
          <w:lang w:val="en-US" w:eastAsia="zh-CN"/>
        </w:rPr>
        <w:t>提供工会账套中涉及</w:t>
      </w:r>
      <w:r>
        <w:rPr>
          <w:rFonts w:hint="eastAsia" w:hAnsi="宋体" w:cs="宋体"/>
        </w:rPr>
        <w:t>报账业务的岗位信息、用户权限、菜单权限等</w:t>
      </w:r>
      <w:r>
        <w:rPr>
          <w:rFonts w:hint="eastAsia" w:hAnsi="宋体" w:cs="宋体"/>
          <w:lang w:val="en-US" w:eastAsia="zh-CN"/>
        </w:rPr>
        <w:t>新增技术支持</w:t>
      </w:r>
      <w:r>
        <w:rPr>
          <w:rFonts w:hint="eastAsia" w:hAnsi="宋体" w:cs="宋体"/>
        </w:rPr>
        <w:t>。</w:t>
      </w:r>
    </w:p>
    <w:p>
      <w:pPr>
        <w:pStyle w:val="25"/>
        <w:numPr>
          <w:ilvl w:val="2"/>
          <w:numId w:val="1"/>
        </w:numPr>
        <w:rPr>
          <w:rFonts w:hint="eastAsia" w:hAnsi="宋体" w:cs="宋体"/>
        </w:rPr>
      </w:pPr>
      <w:r>
        <w:rPr>
          <w:rFonts w:hint="eastAsia" w:hAnsi="宋体" w:cs="宋体"/>
          <w:kern w:val="0"/>
          <w:lang w:val="en-US" w:eastAsia="zh-CN"/>
        </w:rPr>
        <w:t>新增打印格式及方案</w:t>
      </w:r>
    </w:p>
    <w:p>
      <w:pPr>
        <w:pStyle w:val="42"/>
        <w:ind w:firstLine="480"/>
        <w:rPr>
          <w:rFonts w:hint="eastAsia" w:hAnsi="宋体" w:cs="宋体"/>
        </w:rPr>
      </w:pPr>
      <w:r>
        <w:rPr>
          <w:rFonts w:hint="eastAsia" w:hAnsi="宋体" w:cs="宋体"/>
          <w:lang w:val="en-US" w:eastAsia="zh-CN"/>
        </w:rPr>
        <w:t>提供</w:t>
      </w:r>
      <w:r>
        <w:rPr>
          <w:rFonts w:hint="eastAsia" w:hAnsi="宋体" w:cs="宋体"/>
          <w:kern w:val="0"/>
          <w:lang w:val="en-US" w:eastAsia="zh-CN"/>
        </w:rPr>
        <w:t>工会账套新增</w:t>
      </w:r>
      <w:r>
        <w:rPr>
          <w:rFonts w:hint="eastAsia" w:hAnsi="宋体" w:cs="宋体"/>
          <w:kern w:val="0"/>
        </w:rPr>
        <w:t>单据打印格式、</w:t>
      </w:r>
      <w:r>
        <w:rPr>
          <w:rFonts w:hint="eastAsia" w:hAnsi="宋体" w:cs="宋体"/>
          <w:kern w:val="0"/>
          <w:lang w:val="en-US" w:eastAsia="zh-CN"/>
        </w:rPr>
        <w:t>打印方案及</w:t>
      </w:r>
      <w:r>
        <w:rPr>
          <w:rFonts w:hint="eastAsia" w:hAnsi="宋体" w:cs="宋体"/>
          <w:kern w:val="0"/>
        </w:rPr>
        <w:t>单据推生成凭证方案</w:t>
      </w:r>
      <w:r>
        <w:rPr>
          <w:rFonts w:hint="eastAsia" w:hAnsi="宋体" w:cs="宋体"/>
          <w:kern w:val="0"/>
          <w:lang w:val="en-US" w:eastAsia="zh-CN"/>
        </w:rPr>
        <w:t>等技术支持</w:t>
      </w:r>
      <w:r>
        <w:rPr>
          <w:rFonts w:hint="eastAsia" w:hAnsi="宋体" w:cs="宋体"/>
        </w:rPr>
        <w:t>。</w:t>
      </w:r>
    </w:p>
    <w:p>
      <w:pPr>
        <w:pStyle w:val="25"/>
        <w:numPr>
          <w:ilvl w:val="2"/>
          <w:numId w:val="1"/>
        </w:numPr>
        <w:rPr>
          <w:rFonts w:hint="eastAsia" w:hAnsi="宋体" w:cs="宋体"/>
        </w:rPr>
      </w:pPr>
      <w:r>
        <w:rPr>
          <w:rFonts w:hint="eastAsia" w:hAnsi="宋体" w:cs="宋体"/>
          <w:kern w:val="0"/>
          <w:lang w:val="en-US" w:eastAsia="zh-CN"/>
        </w:rPr>
        <w:t>新增报表</w:t>
      </w:r>
    </w:p>
    <w:p>
      <w:pPr>
        <w:pStyle w:val="42"/>
        <w:ind w:firstLine="480"/>
        <w:rPr>
          <w:rFonts w:hint="eastAsia" w:hAnsi="宋体" w:cs="宋体"/>
        </w:rPr>
      </w:pPr>
      <w:r>
        <w:rPr>
          <w:rFonts w:hint="eastAsia" w:hAnsi="宋体" w:cs="宋体"/>
          <w:lang w:val="en-US" w:eastAsia="zh-CN"/>
        </w:rPr>
        <w:t>提供</w:t>
      </w:r>
      <w:r>
        <w:rPr>
          <w:rFonts w:hint="eastAsia" w:hAnsi="宋体" w:cs="宋体"/>
        </w:rPr>
        <w:t>工会账套新增一张个性化管理报表</w:t>
      </w:r>
      <w:r>
        <w:rPr>
          <w:rFonts w:hint="eastAsia" w:hAnsi="宋体" w:cs="宋体"/>
          <w:lang w:val="en-US" w:eastAsia="zh-CN"/>
        </w:rPr>
        <w:t>技术支持</w:t>
      </w:r>
      <w:r>
        <w:rPr>
          <w:rFonts w:hint="eastAsia" w:hAnsi="宋体" w:cs="宋体"/>
        </w:rPr>
        <w:t>。</w:t>
      </w:r>
    </w:p>
    <w:p>
      <w:pPr>
        <w:pStyle w:val="25"/>
        <w:numPr>
          <w:ilvl w:val="2"/>
          <w:numId w:val="1"/>
        </w:numPr>
        <w:rPr>
          <w:rFonts w:hint="eastAsia" w:hAnsi="宋体" w:cs="宋体"/>
        </w:rPr>
      </w:pPr>
      <w:r>
        <w:rPr>
          <w:rFonts w:hint="eastAsia" w:hAnsi="宋体" w:cs="宋体"/>
          <w:kern w:val="0"/>
          <w:lang w:val="en-US" w:eastAsia="zh-CN"/>
        </w:rPr>
        <w:t>工会账套报账应用指导</w:t>
      </w:r>
    </w:p>
    <w:p>
      <w:pPr>
        <w:pStyle w:val="42"/>
        <w:ind w:firstLine="480"/>
        <w:rPr>
          <w:rFonts w:hint="eastAsia" w:hAnsi="宋体" w:cs="宋体"/>
        </w:rPr>
      </w:pPr>
      <w:r>
        <w:rPr>
          <w:rFonts w:hint="eastAsia" w:hAnsi="宋体" w:cs="宋体"/>
        </w:rPr>
        <w:t>对用户在使用系统过程中遇到的操作问题，投标方将通过电话、企信远程等方式指导、协助用户进行正确的系统操作。</w:t>
      </w:r>
    </w:p>
    <w:p>
      <w:pPr>
        <w:pStyle w:val="2"/>
        <w:numPr>
          <w:ilvl w:val="0"/>
          <w:numId w:val="1"/>
        </w:numPr>
        <w:rPr>
          <w:color w:val="000000"/>
        </w:rPr>
      </w:pPr>
      <w:bookmarkStart w:id="20" w:name="_Toc477377761"/>
      <w:bookmarkStart w:id="21" w:name="_Toc360609689"/>
      <w:bookmarkStart w:id="22" w:name="_Toc351129175"/>
      <w:bookmarkStart w:id="23" w:name="_Toc354640321"/>
      <w:r>
        <w:rPr>
          <w:rFonts w:hint="eastAsia"/>
          <w:color w:val="000000"/>
        </w:rPr>
        <w:t>其他要求</w:t>
      </w:r>
      <w:bookmarkEnd w:id="20"/>
      <w:bookmarkEnd w:id="21"/>
      <w:bookmarkEnd w:id="22"/>
      <w:bookmarkEnd w:id="23"/>
    </w:p>
    <w:p>
      <w:pPr>
        <w:pStyle w:val="3"/>
        <w:numPr>
          <w:ilvl w:val="1"/>
          <w:numId w:val="1"/>
        </w:numPr>
        <w:rPr>
          <w:color w:val="000000"/>
        </w:rPr>
      </w:pPr>
      <w:bookmarkStart w:id="24" w:name="_Toc477266279"/>
      <w:bookmarkStart w:id="25" w:name="_Toc477370881"/>
      <w:bookmarkStart w:id="26" w:name="_Toc477294542"/>
      <w:bookmarkStart w:id="27" w:name="_Toc477377762"/>
      <w:r>
        <w:rPr>
          <w:rFonts w:hint="eastAsia"/>
          <w:color w:val="000000"/>
        </w:rPr>
        <w:t>项目进度</w:t>
      </w:r>
      <w:bookmarkEnd w:id="24"/>
      <w:bookmarkEnd w:id="25"/>
      <w:bookmarkEnd w:id="26"/>
      <w:bookmarkEnd w:id="27"/>
    </w:p>
    <w:p>
      <w:pPr>
        <w:pStyle w:val="25"/>
        <w:numPr>
          <w:ilvl w:val="2"/>
          <w:numId w:val="1"/>
        </w:numPr>
        <w:rPr>
          <w:rFonts w:hint="eastAsia"/>
          <w:color w:val="000000"/>
        </w:rPr>
      </w:pPr>
      <w:r>
        <w:rPr>
          <w:rFonts w:hint="eastAsia"/>
          <w:color w:val="000000"/>
          <w:highlight w:val="none"/>
        </w:rPr>
        <w:t>本技术规范书范围和内容要求</w:t>
      </w:r>
      <w:r>
        <w:rPr>
          <w:rFonts w:hint="eastAsia"/>
          <w:color w:val="000000"/>
          <w:highlight w:val="none"/>
          <w:lang w:val="en-US" w:eastAsia="zh-CN"/>
        </w:rPr>
        <w:t>服务</w:t>
      </w:r>
      <w:r>
        <w:rPr>
          <w:rFonts w:hint="eastAsia"/>
          <w:color w:val="000000"/>
          <w:highlight w:val="none"/>
        </w:rPr>
        <w:t>期</w:t>
      </w:r>
      <w:r>
        <w:rPr>
          <w:rFonts w:hint="eastAsia"/>
          <w:color w:val="000000"/>
          <w:highlight w:val="none"/>
          <w:lang w:eastAsia="zh-CN"/>
        </w:rPr>
        <w:t>为</w:t>
      </w:r>
      <w:r>
        <w:rPr>
          <w:rFonts w:hint="eastAsia"/>
          <w:color w:val="000000"/>
          <w:highlight w:val="none"/>
          <w:lang w:val="en-US" w:eastAsia="zh-CN"/>
        </w:rPr>
        <w:t>自合同约定之日起至2024年12月15日</w:t>
      </w:r>
      <w:r>
        <w:rPr>
          <w:rFonts w:hint="eastAsia"/>
          <w:color w:val="000000"/>
        </w:rPr>
        <w:t>。</w:t>
      </w:r>
    </w:p>
    <w:p>
      <w:pPr>
        <w:pStyle w:val="25"/>
        <w:numPr>
          <w:ilvl w:val="2"/>
          <w:numId w:val="1"/>
        </w:numPr>
        <w:rPr>
          <w:rFonts w:hint="eastAsia"/>
          <w:color w:val="000000"/>
        </w:rPr>
      </w:pPr>
      <w:r>
        <w:rPr>
          <w:rFonts w:hint="eastAsia"/>
          <w:color w:val="000000"/>
        </w:rPr>
        <w:t>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pStyle w:val="3"/>
        <w:numPr>
          <w:ilvl w:val="1"/>
          <w:numId w:val="1"/>
        </w:numPr>
        <w:rPr>
          <w:color w:val="000000"/>
        </w:rPr>
      </w:pPr>
      <w:bookmarkStart w:id="28" w:name="_Toc477370882"/>
      <w:bookmarkStart w:id="29" w:name="_Toc477266280"/>
      <w:bookmarkStart w:id="30" w:name="_Toc477377763"/>
      <w:bookmarkStart w:id="31" w:name="_Toc477294543"/>
      <w:r>
        <w:rPr>
          <w:rFonts w:hint="eastAsia"/>
          <w:color w:val="000000"/>
        </w:rPr>
        <w:t>项目联络</w:t>
      </w:r>
      <w:bookmarkEnd w:id="28"/>
      <w:bookmarkEnd w:id="29"/>
      <w:bookmarkEnd w:id="30"/>
      <w:bookmarkEnd w:id="31"/>
    </w:p>
    <w:p>
      <w:pPr>
        <w:pStyle w:val="25"/>
        <w:numPr>
          <w:ilvl w:val="2"/>
          <w:numId w:val="1"/>
        </w:numPr>
        <w:rPr>
          <w:color w:val="000000"/>
        </w:rPr>
      </w:pPr>
      <w:r>
        <w:rPr>
          <w:rFonts w:hint="eastAsia"/>
          <w:color w:val="000000"/>
        </w:rPr>
        <w:t>为审查和确认本项目的工作方案，便于合同按期执行，在系统维护过程中投标方根据招标方要求召开联络会，协调解决项目实施中的工作。</w:t>
      </w:r>
    </w:p>
    <w:p>
      <w:pPr>
        <w:pStyle w:val="25"/>
        <w:numPr>
          <w:ilvl w:val="2"/>
          <w:numId w:val="1"/>
        </w:numPr>
        <w:rPr>
          <w:color w:val="000000"/>
        </w:rPr>
      </w:pPr>
      <w:r>
        <w:rPr>
          <w:rFonts w:hint="eastAsia"/>
          <w:color w:val="000000"/>
        </w:rPr>
        <w:t>联络会内容由招标方确定，包括但不限于如下内容：</w:t>
      </w:r>
    </w:p>
    <w:p>
      <w:pPr>
        <w:numPr>
          <w:ilvl w:val="0"/>
          <w:numId w:val="3"/>
        </w:numPr>
        <w:tabs>
          <w:tab w:val="left" w:pos="900"/>
          <w:tab w:val="clear" w:pos="420"/>
        </w:tabs>
        <w:ind w:left="480" w:leftChars="200"/>
        <w:rPr>
          <w:color w:val="000000"/>
        </w:rPr>
      </w:pPr>
      <w:r>
        <w:rPr>
          <w:rFonts w:hint="eastAsia"/>
          <w:color w:val="000000"/>
        </w:rPr>
        <w:t>确认服务、工作产品的性能是否满足规范书要求。</w:t>
      </w:r>
    </w:p>
    <w:p>
      <w:pPr>
        <w:numPr>
          <w:ilvl w:val="0"/>
          <w:numId w:val="3"/>
        </w:numPr>
        <w:tabs>
          <w:tab w:val="left" w:pos="900"/>
          <w:tab w:val="clear" w:pos="420"/>
        </w:tabs>
        <w:ind w:left="480" w:leftChars="200"/>
        <w:rPr>
          <w:color w:val="000000"/>
        </w:rPr>
      </w:pPr>
      <w:r>
        <w:rPr>
          <w:rFonts w:hint="eastAsia"/>
          <w:color w:val="000000"/>
        </w:rPr>
        <w:t>确认服务、工作产品的实施方案。</w:t>
      </w:r>
    </w:p>
    <w:p>
      <w:pPr>
        <w:numPr>
          <w:ilvl w:val="0"/>
          <w:numId w:val="3"/>
        </w:numPr>
        <w:tabs>
          <w:tab w:val="left" w:pos="900"/>
          <w:tab w:val="clear" w:pos="420"/>
        </w:tabs>
        <w:ind w:left="480" w:leftChars="200"/>
        <w:rPr>
          <w:rFonts w:hint="eastAsia"/>
          <w:color w:val="000000"/>
        </w:rPr>
      </w:pPr>
      <w:r>
        <w:rPr>
          <w:rFonts w:hint="eastAsia"/>
          <w:color w:val="000000"/>
        </w:rPr>
        <w:t>检查、确认投标方提供的技术文件和图纸。</w:t>
      </w:r>
    </w:p>
    <w:p>
      <w:pPr>
        <w:numPr>
          <w:ilvl w:val="0"/>
          <w:numId w:val="3"/>
        </w:numPr>
        <w:tabs>
          <w:tab w:val="left" w:pos="900"/>
          <w:tab w:val="clear" w:pos="420"/>
        </w:tabs>
        <w:ind w:left="480" w:leftChars="200"/>
        <w:rPr>
          <w:rFonts w:hint="eastAsia"/>
          <w:color w:val="000000"/>
        </w:rPr>
      </w:pPr>
      <w:r>
        <w:rPr>
          <w:rFonts w:hint="eastAsia"/>
          <w:color w:val="000000"/>
        </w:rPr>
        <w:t>其他有关事项。</w:t>
      </w:r>
    </w:p>
    <w:p>
      <w:pPr>
        <w:pStyle w:val="3"/>
        <w:numPr>
          <w:ilvl w:val="1"/>
          <w:numId w:val="1"/>
        </w:numPr>
        <w:rPr>
          <w:color w:val="000000"/>
        </w:rPr>
      </w:pPr>
      <w:bookmarkStart w:id="32" w:name="_Toc477370883"/>
      <w:bookmarkStart w:id="33" w:name="_Toc477294544"/>
      <w:bookmarkStart w:id="34" w:name="_Toc477266281"/>
      <w:bookmarkStart w:id="35" w:name="_Toc477377764"/>
      <w:r>
        <w:rPr>
          <w:rFonts w:hint="eastAsia"/>
          <w:color w:val="000000"/>
        </w:rPr>
        <w:t>人员要求</w:t>
      </w:r>
      <w:bookmarkEnd w:id="32"/>
      <w:bookmarkEnd w:id="33"/>
      <w:bookmarkEnd w:id="34"/>
      <w:bookmarkEnd w:id="35"/>
    </w:p>
    <w:p>
      <w:pPr>
        <w:pStyle w:val="4"/>
        <w:keepNext w:val="0"/>
        <w:keepLines w:val="0"/>
        <w:numPr>
          <w:ilvl w:val="2"/>
          <w:numId w:val="1"/>
        </w:numPr>
        <w:spacing w:before="0" w:after="0" w:line="360" w:lineRule="auto"/>
        <w:rPr>
          <w:color w:val="000000"/>
          <w:sz w:val="24"/>
          <w:szCs w:val="24"/>
        </w:rPr>
      </w:pPr>
      <w:bookmarkStart w:id="36" w:name="_Toc477377765"/>
      <w:bookmarkStart w:id="37" w:name="_Toc477266282"/>
      <w:bookmarkStart w:id="38" w:name="_Toc477370884"/>
      <w:bookmarkStart w:id="39" w:name="_Toc477294545"/>
      <w:r>
        <w:rPr>
          <w:rFonts w:hint="eastAsia"/>
          <w:color w:val="000000"/>
          <w:sz w:val="24"/>
          <w:szCs w:val="24"/>
        </w:rPr>
        <w:t>维护团队</w:t>
      </w:r>
      <w:bookmarkEnd w:id="36"/>
      <w:bookmarkEnd w:id="37"/>
      <w:bookmarkEnd w:id="38"/>
      <w:bookmarkEnd w:id="39"/>
    </w:p>
    <w:p>
      <w:pPr>
        <w:pStyle w:val="44"/>
        <w:numPr>
          <w:ilvl w:val="3"/>
          <w:numId w:val="1"/>
        </w:numPr>
        <w:rPr>
          <w:rFonts w:hint="eastAsia"/>
          <w:color w:val="000000"/>
        </w:rPr>
      </w:pPr>
      <w:r>
        <w:rPr>
          <w:rFonts w:hint="eastAsia"/>
          <w:color w:val="000000"/>
        </w:rPr>
        <w:t>★投标方应在技术建议书中明确参与本项目的技术支持人员姓名、职务、职称和工作内容。</w:t>
      </w:r>
    </w:p>
    <w:p>
      <w:pPr>
        <w:pStyle w:val="44"/>
        <w:numPr>
          <w:ilvl w:val="3"/>
          <w:numId w:val="1"/>
        </w:numPr>
        <w:rPr>
          <w:rFonts w:hint="eastAsia"/>
          <w:color w:val="000000"/>
        </w:rPr>
      </w:pPr>
      <w:r>
        <w:rPr>
          <w:rFonts w:hint="eastAsia"/>
          <w:color w:val="000000"/>
        </w:rPr>
        <w:t>★提供7x24小时热线电话、疑难技术问题解答等技术支持，保证招标方能够在规定的服务及响应时间内得到相应的技术支持服务。</w:t>
      </w:r>
    </w:p>
    <w:p>
      <w:pPr>
        <w:pStyle w:val="3"/>
        <w:numPr>
          <w:ilvl w:val="1"/>
          <w:numId w:val="1"/>
        </w:numPr>
        <w:rPr>
          <w:color w:val="000000"/>
        </w:rPr>
      </w:pPr>
      <w:bookmarkStart w:id="40" w:name="_Toc477370886"/>
      <w:bookmarkStart w:id="41" w:name="_Toc477266284"/>
      <w:bookmarkStart w:id="42" w:name="_Toc477377767"/>
      <w:bookmarkStart w:id="43" w:name="_Toc477294547"/>
      <w:r>
        <w:rPr>
          <w:rFonts w:hint="eastAsia"/>
          <w:color w:val="000000"/>
        </w:rPr>
        <w:t>评审与验收</w:t>
      </w:r>
      <w:bookmarkEnd w:id="40"/>
      <w:bookmarkEnd w:id="41"/>
      <w:bookmarkEnd w:id="42"/>
      <w:bookmarkEnd w:id="43"/>
    </w:p>
    <w:p>
      <w:pPr>
        <w:pStyle w:val="25"/>
        <w:numPr>
          <w:ilvl w:val="2"/>
          <w:numId w:val="1"/>
        </w:numPr>
        <w:rPr>
          <w:rFonts w:hint="eastAsia"/>
          <w:color w:val="000000"/>
        </w:rPr>
      </w:pPr>
      <w:bookmarkStart w:id="44" w:name="_Toc477266285"/>
      <w:r>
        <w:rPr>
          <w:rFonts w:hint="eastAsia"/>
          <w:color w:val="000000"/>
        </w:rPr>
        <w:t>投标方应负责在项目服务期满时将项目的全部有关技术文件包括不限于技术支持记录、</w:t>
      </w:r>
      <w:r>
        <w:rPr>
          <w:rFonts w:hint="eastAsia"/>
          <w:color w:val="000000"/>
          <w:lang w:val="en-US" w:eastAsia="zh-CN"/>
        </w:rPr>
        <w:t>技术支持</w:t>
      </w:r>
      <w:r>
        <w:rPr>
          <w:rFonts w:hint="eastAsia"/>
          <w:color w:val="000000"/>
        </w:rPr>
        <w:t>服务报告等文档汇集成册交付给招标方。</w:t>
      </w:r>
    </w:p>
    <w:p>
      <w:pPr>
        <w:pStyle w:val="25"/>
        <w:numPr>
          <w:ilvl w:val="2"/>
          <w:numId w:val="1"/>
        </w:numPr>
        <w:rPr>
          <w:rFonts w:hint="eastAsia"/>
          <w:color w:val="000000"/>
        </w:rPr>
      </w:pPr>
      <w:r>
        <w:rPr>
          <w:rFonts w:hint="eastAsia"/>
          <w:color w:val="000000"/>
        </w:rPr>
        <w:t>招标方可根据合同及招标书和招标方的有关规定进行修改和补充, 经双方签字确认后形成验收文件，并出具</w:t>
      </w:r>
      <w:r>
        <w:rPr>
          <w:rFonts w:hint="eastAsia"/>
          <w:color w:val="000000"/>
          <w:lang w:val="en-US" w:eastAsia="zh-CN"/>
        </w:rPr>
        <w:t>技术支持服务</w:t>
      </w:r>
      <w:r>
        <w:rPr>
          <w:rFonts w:hint="eastAsia"/>
          <w:color w:val="000000"/>
        </w:rPr>
        <w:t>完结证明。</w:t>
      </w:r>
    </w:p>
    <w:p>
      <w:pPr>
        <w:pStyle w:val="25"/>
        <w:numPr>
          <w:ilvl w:val="2"/>
          <w:numId w:val="1"/>
        </w:numPr>
        <w:rPr>
          <w:rFonts w:hint="eastAsia"/>
          <w:color w:val="000000"/>
        </w:rPr>
      </w:pPr>
      <w:r>
        <w:rPr>
          <w:rFonts w:hint="eastAsia"/>
          <w:color w:val="000000"/>
        </w:rPr>
        <w:t>如果在签署</w:t>
      </w:r>
      <w:r>
        <w:rPr>
          <w:rFonts w:hint="eastAsia"/>
          <w:color w:val="000000"/>
          <w:lang w:val="en-US" w:eastAsia="zh-CN"/>
        </w:rPr>
        <w:t>技术支持服务</w:t>
      </w:r>
      <w:r>
        <w:rPr>
          <w:rFonts w:hint="eastAsia"/>
          <w:color w:val="000000"/>
        </w:rPr>
        <w:t>完结证明后</w:t>
      </w:r>
      <w:r>
        <w:rPr>
          <w:rFonts w:hint="eastAsia"/>
          <w:color w:val="000000"/>
          <w:lang w:val="en-US" w:eastAsia="zh-CN"/>
        </w:rPr>
        <w:t>4</w:t>
      </w:r>
      <w:r>
        <w:rPr>
          <w:rFonts w:hint="eastAsia"/>
          <w:color w:val="000000"/>
        </w:rPr>
        <w:t>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3"/>
        <w:numPr>
          <w:ilvl w:val="1"/>
          <w:numId w:val="1"/>
        </w:numPr>
        <w:rPr>
          <w:color w:val="000000"/>
        </w:rPr>
      </w:pPr>
      <w:bookmarkStart w:id="45" w:name="_Toc477377768"/>
      <w:bookmarkStart w:id="46" w:name="_Toc477294548"/>
      <w:bookmarkStart w:id="47" w:name="_Toc477370887"/>
      <w:r>
        <w:rPr>
          <w:rFonts w:hint="eastAsia"/>
          <w:color w:val="000000"/>
        </w:rPr>
        <w:t>技术资料和文件</w:t>
      </w:r>
      <w:bookmarkEnd w:id="44"/>
      <w:bookmarkEnd w:id="45"/>
      <w:bookmarkEnd w:id="46"/>
      <w:bookmarkEnd w:id="47"/>
    </w:p>
    <w:p>
      <w:pPr>
        <w:pStyle w:val="25"/>
        <w:numPr>
          <w:ilvl w:val="2"/>
          <w:numId w:val="1"/>
        </w:numPr>
        <w:rPr>
          <w:color w:val="000000"/>
        </w:rPr>
      </w:pPr>
      <w:r>
        <w:rPr>
          <w:rFonts w:hint="eastAsia"/>
          <w:color w:val="000000"/>
        </w:rPr>
        <w:t>投标方提供的文件和资料应能满足招标方进行维护和进一步完善的需要，应符合招标方标准规格。</w:t>
      </w:r>
    </w:p>
    <w:p>
      <w:pPr>
        <w:pStyle w:val="25"/>
        <w:numPr>
          <w:ilvl w:val="2"/>
          <w:numId w:val="1"/>
        </w:numPr>
        <w:rPr>
          <w:color w:val="000000"/>
        </w:rPr>
      </w:pPr>
      <w:r>
        <w:rPr>
          <w:rFonts w:hint="eastAsia"/>
          <w:color w:val="000000"/>
        </w:rPr>
        <w:t>投标方应向招标方需求提供项目的全部过程资料的电子版。</w:t>
      </w:r>
    </w:p>
    <w:p>
      <w:pPr>
        <w:pStyle w:val="3"/>
        <w:numPr>
          <w:ilvl w:val="1"/>
          <w:numId w:val="1"/>
        </w:numPr>
        <w:rPr>
          <w:color w:val="000000"/>
        </w:rPr>
      </w:pPr>
      <w:bookmarkStart w:id="48" w:name="_Toc477266286"/>
      <w:bookmarkStart w:id="49" w:name="_Toc477377769"/>
      <w:bookmarkStart w:id="50" w:name="_Toc477294549"/>
      <w:bookmarkStart w:id="51" w:name="_Toc477370888"/>
      <w:r>
        <w:rPr>
          <w:rFonts w:hint="eastAsia"/>
          <w:color w:val="000000"/>
        </w:rPr>
        <w:t>服务要求</w:t>
      </w:r>
      <w:bookmarkEnd w:id="48"/>
      <w:bookmarkEnd w:id="49"/>
      <w:bookmarkEnd w:id="50"/>
      <w:bookmarkEnd w:id="51"/>
    </w:p>
    <w:p>
      <w:pPr>
        <w:pStyle w:val="25"/>
        <w:numPr>
          <w:ilvl w:val="2"/>
          <w:numId w:val="1"/>
        </w:numPr>
        <w:rPr>
          <w:color w:val="000000"/>
        </w:rPr>
      </w:pPr>
      <w:r>
        <w:rPr>
          <w:rFonts w:hint="eastAsia"/>
          <w:color w:val="000000"/>
        </w:rPr>
        <w:t>投标方必须有专门的维护部门及规范的维护服务管理体系，须在招标方当地有专业维护人员，能按要求及时响应。</w:t>
      </w:r>
    </w:p>
    <w:p>
      <w:pPr>
        <w:pStyle w:val="25"/>
        <w:numPr>
          <w:ilvl w:val="2"/>
          <w:numId w:val="1"/>
        </w:numPr>
        <w:rPr>
          <w:color w:val="000000"/>
        </w:rPr>
      </w:pPr>
      <w:r>
        <w:rPr>
          <w:rFonts w:hint="eastAsia"/>
          <w:color w:val="000000"/>
        </w:rPr>
        <w:t>服务考核办法参照《</w:t>
      </w:r>
      <w:r>
        <w:rPr>
          <w:color w:val="000000"/>
        </w:rPr>
        <w:t>中国南方电网有限责任公司信息类服务商管理业务指导书</w:t>
      </w:r>
      <w:r>
        <w:rPr>
          <w:rFonts w:hint="eastAsia"/>
          <w:color w:val="000000"/>
        </w:rPr>
        <w:t>》执行。</w:t>
      </w:r>
    </w:p>
    <w:p>
      <w:pPr>
        <w:pStyle w:val="2"/>
        <w:numPr>
          <w:ilvl w:val="0"/>
          <w:numId w:val="1"/>
        </w:numPr>
        <w:rPr>
          <w:color w:val="000000"/>
        </w:rPr>
      </w:pPr>
      <w:bookmarkStart w:id="52" w:name="_Toc477377770"/>
      <w:bookmarkStart w:id="53" w:name="_Toc351129176"/>
      <w:bookmarkStart w:id="54" w:name="_Toc93490801"/>
      <w:bookmarkStart w:id="55" w:name="_Toc93490630"/>
      <w:bookmarkStart w:id="56" w:name="_Toc167003829"/>
      <w:bookmarkStart w:id="57" w:name="_Toc137397828"/>
      <w:bookmarkStart w:id="58" w:name="_Toc93490580"/>
      <w:bookmarkStart w:id="59" w:name="_Toc360609690"/>
      <w:r>
        <w:rPr>
          <w:rFonts w:hint="eastAsia"/>
          <w:color w:val="000000"/>
        </w:rPr>
        <w:t>附件</w:t>
      </w:r>
      <w:bookmarkEnd w:id="52"/>
      <w:bookmarkEnd w:id="53"/>
      <w:bookmarkEnd w:id="54"/>
      <w:bookmarkEnd w:id="55"/>
      <w:bookmarkEnd w:id="56"/>
      <w:bookmarkEnd w:id="57"/>
      <w:bookmarkEnd w:id="58"/>
      <w:bookmarkEnd w:id="59"/>
    </w:p>
    <w:p>
      <w:pPr>
        <w:pStyle w:val="3"/>
        <w:numPr>
          <w:ilvl w:val="1"/>
          <w:numId w:val="1"/>
        </w:numPr>
        <w:rPr>
          <w:color w:val="000000"/>
        </w:rPr>
      </w:pPr>
      <w:bookmarkStart w:id="60" w:name="_Toc477377771"/>
      <w:r>
        <w:rPr>
          <w:rFonts w:hint="eastAsia"/>
          <w:color w:val="000000"/>
        </w:rPr>
        <w:t>差异表</w:t>
      </w:r>
      <w:bookmarkEnd w:id="60"/>
    </w:p>
    <w:tbl>
      <w:tblPr>
        <w:tblStyle w:val="17"/>
        <w:tblW w:w="88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pPr>
              <w:rPr>
                <w:color w:val="000000"/>
              </w:rPr>
            </w:pPr>
            <w:r>
              <w:rPr>
                <w:rFonts w:hint="eastAsia"/>
                <w:color w:val="000000"/>
              </w:rPr>
              <w:t>序号</w:t>
            </w:r>
          </w:p>
        </w:tc>
        <w:tc>
          <w:tcPr>
            <w:tcW w:w="3855" w:type="dxa"/>
            <w:gridSpan w:val="2"/>
            <w:tcBorders>
              <w:top w:val="single" w:color="auto" w:sz="4" w:space="0"/>
              <w:left w:val="single" w:color="auto" w:sz="4" w:space="0"/>
              <w:bottom w:val="single" w:color="auto" w:sz="4" w:space="0"/>
              <w:right w:val="single" w:color="auto" w:sz="4" w:space="0"/>
            </w:tcBorders>
            <w:noWrap w:val="0"/>
            <w:vAlign w:val="center"/>
          </w:tcPr>
          <w:p>
            <w:pPr>
              <w:rPr>
                <w:color w:val="000000"/>
              </w:rPr>
            </w:pPr>
            <w:r>
              <w:rPr>
                <w:rFonts w:hint="eastAsia"/>
                <w:color w:val="000000"/>
              </w:rPr>
              <w:t>招标文件</w:t>
            </w:r>
          </w:p>
        </w:tc>
        <w:tc>
          <w:tcPr>
            <w:tcW w:w="4299" w:type="dxa"/>
            <w:gridSpan w:val="2"/>
            <w:tcBorders>
              <w:top w:val="single" w:color="auto" w:sz="4" w:space="0"/>
              <w:left w:val="single" w:color="auto" w:sz="4" w:space="0"/>
              <w:bottom w:val="single" w:color="auto" w:sz="4" w:space="0"/>
              <w:right w:val="single" w:color="auto" w:sz="4" w:space="0"/>
            </w:tcBorders>
            <w:noWrap w:val="0"/>
            <w:vAlign w:val="center"/>
          </w:tcPr>
          <w:p>
            <w:pPr>
              <w:rPr>
                <w:color w:val="000000"/>
              </w:rPr>
            </w:pPr>
            <w:r>
              <w:rPr>
                <w:rFonts w:hint="eastAsia"/>
                <w:color w:val="000000"/>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pPr>
              <w:rPr>
                <w:color w:val="000000"/>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rPr>
                <w:color w:val="000000"/>
              </w:rPr>
            </w:pPr>
            <w:r>
              <w:rPr>
                <w:rFonts w:hint="eastAsia"/>
                <w:color w:val="000000"/>
              </w:rPr>
              <w:t>条目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rPr>
                <w:color w:val="000000"/>
              </w:rPr>
            </w:pPr>
            <w:r>
              <w:rPr>
                <w:rFonts w:hint="eastAsia"/>
                <w:color w:val="000000"/>
              </w:rPr>
              <w:t>简要内容</w:t>
            </w:r>
          </w:p>
        </w:tc>
        <w:tc>
          <w:tcPr>
            <w:tcW w:w="1605" w:type="dxa"/>
            <w:tcBorders>
              <w:top w:val="single" w:color="auto" w:sz="4" w:space="0"/>
              <w:left w:val="single" w:color="auto" w:sz="4" w:space="0"/>
              <w:bottom w:val="single" w:color="auto" w:sz="4" w:space="0"/>
              <w:right w:val="single" w:color="auto" w:sz="4" w:space="0"/>
            </w:tcBorders>
            <w:noWrap w:val="0"/>
            <w:vAlign w:val="center"/>
          </w:tcPr>
          <w:p>
            <w:pPr>
              <w:rPr>
                <w:color w:val="000000"/>
              </w:rPr>
            </w:pPr>
            <w:r>
              <w:rPr>
                <w:rFonts w:hint="eastAsia"/>
                <w:color w:val="000000"/>
              </w:rPr>
              <w:t>条目</w:t>
            </w:r>
          </w:p>
        </w:tc>
        <w:tc>
          <w:tcPr>
            <w:tcW w:w="2694" w:type="dxa"/>
            <w:tcBorders>
              <w:top w:val="single" w:color="auto" w:sz="4" w:space="0"/>
              <w:left w:val="single" w:color="auto" w:sz="4" w:space="0"/>
              <w:bottom w:val="single" w:color="auto" w:sz="4" w:space="0"/>
              <w:right w:val="single" w:color="auto" w:sz="4" w:space="0"/>
            </w:tcBorders>
            <w:noWrap w:val="0"/>
            <w:vAlign w:val="center"/>
          </w:tcPr>
          <w:p>
            <w:pPr>
              <w:rPr>
                <w:color w:val="000000"/>
              </w:rPr>
            </w:pPr>
            <w:r>
              <w:rPr>
                <w:rFonts w:hint="eastAsia"/>
                <w:color w:val="000000"/>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c>
          <w:tcPr>
            <w:tcW w:w="1605"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c>
          <w:tcPr>
            <w:tcW w:w="2694"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c>
          <w:tcPr>
            <w:tcW w:w="1605"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c>
          <w:tcPr>
            <w:tcW w:w="2694" w:type="dxa"/>
            <w:tcBorders>
              <w:top w:val="single" w:color="auto" w:sz="4" w:space="0"/>
              <w:left w:val="single" w:color="auto" w:sz="4" w:space="0"/>
              <w:bottom w:val="single" w:color="auto" w:sz="4" w:space="0"/>
              <w:right w:val="single" w:color="auto" w:sz="4" w:space="0"/>
            </w:tcBorders>
            <w:noWrap w:val="0"/>
            <w:vAlign w:val="top"/>
          </w:tcPr>
          <w:p>
            <w:pPr>
              <w:rPr>
                <w:color w:val="000000"/>
              </w:rPr>
            </w:pPr>
          </w:p>
        </w:tc>
      </w:tr>
    </w:tbl>
    <w:p>
      <w:pPr>
        <w:pStyle w:val="3"/>
        <w:numPr>
          <w:ilvl w:val="1"/>
          <w:numId w:val="1"/>
        </w:numPr>
        <w:rPr>
          <w:color w:val="000000"/>
        </w:rPr>
      </w:pPr>
      <w:bookmarkStart w:id="61" w:name="_Toc477377772"/>
      <w:r>
        <w:rPr>
          <w:rFonts w:hint="eastAsia"/>
          <w:color w:val="000000"/>
        </w:rPr>
        <w:t>投标方需要说明的其它问题</w:t>
      </w:r>
      <w:bookmarkEnd w:id="61"/>
    </w:p>
    <w:p>
      <w:pPr>
        <w:rPr>
          <w:color w:val="000000"/>
        </w:rPr>
      </w:pPr>
    </w:p>
    <w:sectPr>
      <w:headerReference r:id="rId5" w:type="default"/>
      <w:footerReference r:id="rId6"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4</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drawing>
        <wp:inline distT="0" distB="0" distL="114300" distR="114300">
          <wp:extent cx="1562100" cy="270510"/>
          <wp:effectExtent l="0" t="0" r="0" b="8890"/>
          <wp:docPr id="1" name="图片 1" descr="说明: 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tttt"/>
                  <pic:cNvPicPr>
                    <a:picLocks noChangeAspect="1"/>
                  </pic:cNvPicPr>
                </pic:nvPicPr>
                <pic:blipFill>
                  <a:blip r:embed="rId1"/>
                  <a:stretch>
                    <a:fillRect/>
                  </a:stretch>
                </pic:blipFill>
                <pic:spPr>
                  <a:xfrm>
                    <a:off x="0" y="0"/>
                    <a:ext cx="1562100" cy="2705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501A"/>
    <w:multiLevelType w:val="multilevel"/>
    <w:tmpl w:val="0595501A"/>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0" w:firstLine="0"/>
      </w:pPr>
      <w:rPr>
        <w:rFonts w:hint="eastAsia"/>
        <w:b/>
        <w:color w:val="auto"/>
      </w:rPr>
    </w:lvl>
    <w:lvl w:ilvl="2" w:tentative="0">
      <w:start w:val="1"/>
      <w:numFmt w:val="decimal"/>
      <w:pStyle w:val="25"/>
      <w:isLgl/>
      <w:suff w:val="space"/>
      <w:lvlText w:val="%1.%2.%3"/>
      <w:lvlJc w:val="left"/>
      <w:pPr>
        <w:ind w:left="0" w:firstLine="0"/>
      </w:pPr>
      <w:rPr>
        <w:rFonts w:hint="eastAsia"/>
        <w:b/>
        <w:i w:val="0"/>
        <w:color w:val="000000"/>
        <w:sz w:val="24"/>
        <w:szCs w:val="28"/>
      </w:rPr>
    </w:lvl>
    <w:lvl w:ilvl="3" w:tentative="0">
      <w:start w:val="1"/>
      <w:numFmt w:val="decimal"/>
      <w:pStyle w:val="44"/>
      <w:isLgl/>
      <w:suff w:val="space"/>
      <w:lvlText w:val="%1.%2.%3.%4"/>
      <w:lvlJc w:val="left"/>
      <w:pPr>
        <w:ind w:left="0" w:firstLine="0"/>
      </w:pPr>
      <w:rPr>
        <w:rFonts w:hint="eastAsia"/>
        <w:b/>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RkYjNlMGEwODhmMjYxNzI0ZTVhM2QwNTUzZjc3Y2UifQ=="/>
  </w:docVars>
  <w:rsids>
    <w:rsidRoot w:val="0010525E"/>
    <w:rsid w:val="00002D54"/>
    <w:rsid w:val="00003977"/>
    <w:rsid w:val="000052CC"/>
    <w:rsid w:val="00006612"/>
    <w:rsid w:val="0000722B"/>
    <w:rsid w:val="000075C2"/>
    <w:rsid w:val="0001172A"/>
    <w:rsid w:val="00013642"/>
    <w:rsid w:val="00017F07"/>
    <w:rsid w:val="00020EA9"/>
    <w:rsid w:val="00025656"/>
    <w:rsid w:val="00027642"/>
    <w:rsid w:val="00030E79"/>
    <w:rsid w:val="0003254D"/>
    <w:rsid w:val="00033F7B"/>
    <w:rsid w:val="000362F0"/>
    <w:rsid w:val="000366BD"/>
    <w:rsid w:val="000369F9"/>
    <w:rsid w:val="00037C3B"/>
    <w:rsid w:val="00037E33"/>
    <w:rsid w:val="00040969"/>
    <w:rsid w:val="00044E83"/>
    <w:rsid w:val="00045C4E"/>
    <w:rsid w:val="000461AC"/>
    <w:rsid w:val="00046413"/>
    <w:rsid w:val="00050065"/>
    <w:rsid w:val="0005273C"/>
    <w:rsid w:val="00053268"/>
    <w:rsid w:val="00060C38"/>
    <w:rsid w:val="00061AF8"/>
    <w:rsid w:val="00063778"/>
    <w:rsid w:val="00064E2E"/>
    <w:rsid w:val="00066C5F"/>
    <w:rsid w:val="000725CD"/>
    <w:rsid w:val="00072918"/>
    <w:rsid w:val="00073BA7"/>
    <w:rsid w:val="000812B6"/>
    <w:rsid w:val="00082960"/>
    <w:rsid w:val="0008708E"/>
    <w:rsid w:val="000874B8"/>
    <w:rsid w:val="00093FFD"/>
    <w:rsid w:val="000A0AC8"/>
    <w:rsid w:val="000A130C"/>
    <w:rsid w:val="000A2057"/>
    <w:rsid w:val="000A651B"/>
    <w:rsid w:val="000B1195"/>
    <w:rsid w:val="000B180B"/>
    <w:rsid w:val="000B2E75"/>
    <w:rsid w:val="000B4BD8"/>
    <w:rsid w:val="000B5265"/>
    <w:rsid w:val="000C4FB6"/>
    <w:rsid w:val="000C6808"/>
    <w:rsid w:val="000C6881"/>
    <w:rsid w:val="000C72B5"/>
    <w:rsid w:val="000D06AF"/>
    <w:rsid w:val="000D3950"/>
    <w:rsid w:val="000D3F2A"/>
    <w:rsid w:val="000E22DC"/>
    <w:rsid w:val="000E26C4"/>
    <w:rsid w:val="000E4125"/>
    <w:rsid w:val="000E6D93"/>
    <w:rsid w:val="000E7363"/>
    <w:rsid w:val="000F00CA"/>
    <w:rsid w:val="000F0EFA"/>
    <w:rsid w:val="000F1C34"/>
    <w:rsid w:val="000F35ED"/>
    <w:rsid w:val="000F7F60"/>
    <w:rsid w:val="0010212F"/>
    <w:rsid w:val="0010525E"/>
    <w:rsid w:val="001074C6"/>
    <w:rsid w:val="00107B8A"/>
    <w:rsid w:val="00110214"/>
    <w:rsid w:val="00114F63"/>
    <w:rsid w:val="00115F74"/>
    <w:rsid w:val="00115F79"/>
    <w:rsid w:val="001234E4"/>
    <w:rsid w:val="0012433B"/>
    <w:rsid w:val="00127AE9"/>
    <w:rsid w:val="00127D12"/>
    <w:rsid w:val="001323CE"/>
    <w:rsid w:val="0013271E"/>
    <w:rsid w:val="00132B0C"/>
    <w:rsid w:val="001340F8"/>
    <w:rsid w:val="00137EBC"/>
    <w:rsid w:val="00141E44"/>
    <w:rsid w:val="00141EDB"/>
    <w:rsid w:val="00150326"/>
    <w:rsid w:val="00150EFE"/>
    <w:rsid w:val="00154F2B"/>
    <w:rsid w:val="001551C6"/>
    <w:rsid w:val="001577CF"/>
    <w:rsid w:val="001629C5"/>
    <w:rsid w:val="001641C0"/>
    <w:rsid w:val="0016562E"/>
    <w:rsid w:val="00173E2E"/>
    <w:rsid w:val="0017691D"/>
    <w:rsid w:val="00176DA7"/>
    <w:rsid w:val="00176F9E"/>
    <w:rsid w:val="00181F98"/>
    <w:rsid w:val="00187120"/>
    <w:rsid w:val="001915DA"/>
    <w:rsid w:val="001926FA"/>
    <w:rsid w:val="00195302"/>
    <w:rsid w:val="0019639D"/>
    <w:rsid w:val="00196980"/>
    <w:rsid w:val="00196D17"/>
    <w:rsid w:val="001A3C73"/>
    <w:rsid w:val="001A4975"/>
    <w:rsid w:val="001A734E"/>
    <w:rsid w:val="001B0C54"/>
    <w:rsid w:val="001B1CE7"/>
    <w:rsid w:val="001C156E"/>
    <w:rsid w:val="001C1F69"/>
    <w:rsid w:val="001C2450"/>
    <w:rsid w:val="001D2162"/>
    <w:rsid w:val="001D372C"/>
    <w:rsid w:val="001D77CE"/>
    <w:rsid w:val="001D798F"/>
    <w:rsid w:val="001F405E"/>
    <w:rsid w:val="00203DEA"/>
    <w:rsid w:val="00207210"/>
    <w:rsid w:val="0020758F"/>
    <w:rsid w:val="00211288"/>
    <w:rsid w:val="00213836"/>
    <w:rsid w:val="00213DD1"/>
    <w:rsid w:val="00214B7B"/>
    <w:rsid w:val="00215816"/>
    <w:rsid w:val="00215B8C"/>
    <w:rsid w:val="002232C4"/>
    <w:rsid w:val="002251ED"/>
    <w:rsid w:val="00225DBD"/>
    <w:rsid w:val="00226CCD"/>
    <w:rsid w:val="00235613"/>
    <w:rsid w:val="00236822"/>
    <w:rsid w:val="0024204F"/>
    <w:rsid w:val="0024353A"/>
    <w:rsid w:val="00245D92"/>
    <w:rsid w:val="00251F54"/>
    <w:rsid w:val="00253AE0"/>
    <w:rsid w:val="00253C85"/>
    <w:rsid w:val="00256155"/>
    <w:rsid w:val="002570C4"/>
    <w:rsid w:val="002577A4"/>
    <w:rsid w:val="002614A6"/>
    <w:rsid w:val="0026202A"/>
    <w:rsid w:val="00262059"/>
    <w:rsid w:val="00267869"/>
    <w:rsid w:val="00270A35"/>
    <w:rsid w:val="00273D72"/>
    <w:rsid w:val="00274B93"/>
    <w:rsid w:val="00275EF7"/>
    <w:rsid w:val="002771CD"/>
    <w:rsid w:val="00280D66"/>
    <w:rsid w:val="00281987"/>
    <w:rsid w:val="0028273C"/>
    <w:rsid w:val="0028573D"/>
    <w:rsid w:val="00286012"/>
    <w:rsid w:val="002908EB"/>
    <w:rsid w:val="00290B38"/>
    <w:rsid w:val="002927A6"/>
    <w:rsid w:val="00293087"/>
    <w:rsid w:val="00293163"/>
    <w:rsid w:val="00297918"/>
    <w:rsid w:val="002A00E5"/>
    <w:rsid w:val="002A3589"/>
    <w:rsid w:val="002B0D65"/>
    <w:rsid w:val="002B4864"/>
    <w:rsid w:val="002B4D4C"/>
    <w:rsid w:val="002B6473"/>
    <w:rsid w:val="002C5B17"/>
    <w:rsid w:val="002D011D"/>
    <w:rsid w:val="002D0B89"/>
    <w:rsid w:val="002D0D27"/>
    <w:rsid w:val="002D576C"/>
    <w:rsid w:val="002D718B"/>
    <w:rsid w:val="002E066B"/>
    <w:rsid w:val="002E2646"/>
    <w:rsid w:val="002E2D48"/>
    <w:rsid w:val="002E4DAC"/>
    <w:rsid w:val="002E6254"/>
    <w:rsid w:val="002E7795"/>
    <w:rsid w:val="002F14FE"/>
    <w:rsid w:val="002F4666"/>
    <w:rsid w:val="002F4F04"/>
    <w:rsid w:val="002F743C"/>
    <w:rsid w:val="00307269"/>
    <w:rsid w:val="003127C6"/>
    <w:rsid w:val="003148B7"/>
    <w:rsid w:val="003155B1"/>
    <w:rsid w:val="003165E7"/>
    <w:rsid w:val="00316724"/>
    <w:rsid w:val="00316F09"/>
    <w:rsid w:val="0031714F"/>
    <w:rsid w:val="00321B27"/>
    <w:rsid w:val="00323CB1"/>
    <w:rsid w:val="00323E52"/>
    <w:rsid w:val="003259FB"/>
    <w:rsid w:val="00326010"/>
    <w:rsid w:val="00327272"/>
    <w:rsid w:val="00334CBD"/>
    <w:rsid w:val="00335410"/>
    <w:rsid w:val="00335D99"/>
    <w:rsid w:val="00340237"/>
    <w:rsid w:val="00340564"/>
    <w:rsid w:val="00340C62"/>
    <w:rsid w:val="003458EB"/>
    <w:rsid w:val="00353FB5"/>
    <w:rsid w:val="003552C4"/>
    <w:rsid w:val="00356CB2"/>
    <w:rsid w:val="00362BB9"/>
    <w:rsid w:val="00367FAD"/>
    <w:rsid w:val="00370A2C"/>
    <w:rsid w:val="00374BD0"/>
    <w:rsid w:val="00376BF6"/>
    <w:rsid w:val="00382B67"/>
    <w:rsid w:val="00384F5C"/>
    <w:rsid w:val="00390D7B"/>
    <w:rsid w:val="00390F58"/>
    <w:rsid w:val="00391A82"/>
    <w:rsid w:val="00391E61"/>
    <w:rsid w:val="0039324F"/>
    <w:rsid w:val="00393B04"/>
    <w:rsid w:val="00393B33"/>
    <w:rsid w:val="00394D97"/>
    <w:rsid w:val="003964DA"/>
    <w:rsid w:val="00396901"/>
    <w:rsid w:val="00397F44"/>
    <w:rsid w:val="003B0762"/>
    <w:rsid w:val="003B3F43"/>
    <w:rsid w:val="003B4E21"/>
    <w:rsid w:val="003C259A"/>
    <w:rsid w:val="003C441B"/>
    <w:rsid w:val="003C45FD"/>
    <w:rsid w:val="003D0E7B"/>
    <w:rsid w:val="003D0F76"/>
    <w:rsid w:val="003D4003"/>
    <w:rsid w:val="003E26AA"/>
    <w:rsid w:val="003E5080"/>
    <w:rsid w:val="003F2B30"/>
    <w:rsid w:val="003F37A1"/>
    <w:rsid w:val="003F3995"/>
    <w:rsid w:val="003F73DC"/>
    <w:rsid w:val="004030AF"/>
    <w:rsid w:val="00404524"/>
    <w:rsid w:val="00406371"/>
    <w:rsid w:val="00407300"/>
    <w:rsid w:val="00407841"/>
    <w:rsid w:val="00407F2E"/>
    <w:rsid w:val="00412F2B"/>
    <w:rsid w:val="00413327"/>
    <w:rsid w:val="004164D5"/>
    <w:rsid w:val="00421D8E"/>
    <w:rsid w:val="004236F5"/>
    <w:rsid w:val="00423F8D"/>
    <w:rsid w:val="00426475"/>
    <w:rsid w:val="004317DA"/>
    <w:rsid w:val="004332CF"/>
    <w:rsid w:val="00433DBD"/>
    <w:rsid w:val="0043515E"/>
    <w:rsid w:val="00435D55"/>
    <w:rsid w:val="00436147"/>
    <w:rsid w:val="004361C5"/>
    <w:rsid w:val="0043770A"/>
    <w:rsid w:val="00441D9B"/>
    <w:rsid w:val="0044414E"/>
    <w:rsid w:val="00445E82"/>
    <w:rsid w:val="00446039"/>
    <w:rsid w:val="00451405"/>
    <w:rsid w:val="00460DCC"/>
    <w:rsid w:val="00461096"/>
    <w:rsid w:val="004670CD"/>
    <w:rsid w:val="00471994"/>
    <w:rsid w:val="00475469"/>
    <w:rsid w:val="00480830"/>
    <w:rsid w:val="00480C16"/>
    <w:rsid w:val="00483351"/>
    <w:rsid w:val="00483FF7"/>
    <w:rsid w:val="00487C44"/>
    <w:rsid w:val="00491B87"/>
    <w:rsid w:val="00491F9D"/>
    <w:rsid w:val="00492327"/>
    <w:rsid w:val="004935AD"/>
    <w:rsid w:val="004977ED"/>
    <w:rsid w:val="004A1003"/>
    <w:rsid w:val="004A1710"/>
    <w:rsid w:val="004A17DF"/>
    <w:rsid w:val="004A1D01"/>
    <w:rsid w:val="004A3236"/>
    <w:rsid w:val="004A3917"/>
    <w:rsid w:val="004A7407"/>
    <w:rsid w:val="004B03F4"/>
    <w:rsid w:val="004B05CB"/>
    <w:rsid w:val="004B2056"/>
    <w:rsid w:val="004B2499"/>
    <w:rsid w:val="004B3ADC"/>
    <w:rsid w:val="004B3C03"/>
    <w:rsid w:val="004C23C7"/>
    <w:rsid w:val="004C2D0C"/>
    <w:rsid w:val="004C3012"/>
    <w:rsid w:val="004C31B0"/>
    <w:rsid w:val="004C37EC"/>
    <w:rsid w:val="004C5D1C"/>
    <w:rsid w:val="004C6A7B"/>
    <w:rsid w:val="004D45AE"/>
    <w:rsid w:val="004D4656"/>
    <w:rsid w:val="004D5A52"/>
    <w:rsid w:val="004D6C98"/>
    <w:rsid w:val="004E2F87"/>
    <w:rsid w:val="004E4E73"/>
    <w:rsid w:val="004E5897"/>
    <w:rsid w:val="004F26B1"/>
    <w:rsid w:val="004F3907"/>
    <w:rsid w:val="004F4965"/>
    <w:rsid w:val="004F552C"/>
    <w:rsid w:val="0050086A"/>
    <w:rsid w:val="005021CE"/>
    <w:rsid w:val="00506DC8"/>
    <w:rsid w:val="005104CB"/>
    <w:rsid w:val="00511285"/>
    <w:rsid w:val="00513861"/>
    <w:rsid w:val="005148F5"/>
    <w:rsid w:val="005207B3"/>
    <w:rsid w:val="00521A10"/>
    <w:rsid w:val="005225A2"/>
    <w:rsid w:val="005269C1"/>
    <w:rsid w:val="00531058"/>
    <w:rsid w:val="0053179E"/>
    <w:rsid w:val="00531ADC"/>
    <w:rsid w:val="005322B9"/>
    <w:rsid w:val="00536018"/>
    <w:rsid w:val="00540AF8"/>
    <w:rsid w:val="00542500"/>
    <w:rsid w:val="0054553F"/>
    <w:rsid w:val="005510CD"/>
    <w:rsid w:val="00553E99"/>
    <w:rsid w:val="00554B03"/>
    <w:rsid w:val="00560327"/>
    <w:rsid w:val="00562813"/>
    <w:rsid w:val="00562D96"/>
    <w:rsid w:val="00566BAC"/>
    <w:rsid w:val="0057082E"/>
    <w:rsid w:val="00571355"/>
    <w:rsid w:val="00571A2B"/>
    <w:rsid w:val="00571B3A"/>
    <w:rsid w:val="00577868"/>
    <w:rsid w:val="005852B9"/>
    <w:rsid w:val="00586379"/>
    <w:rsid w:val="005928C8"/>
    <w:rsid w:val="00593557"/>
    <w:rsid w:val="00595DE6"/>
    <w:rsid w:val="00596D39"/>
    <w:rsid w:val="005A0739"/>
    <w:rsid w:val="005A752D"/>
    <w:rsid w:val="005B1B55"/>
    <w:rsid w:val="005B2BAA"/>
    <w:rsid w:val="005B5A16"/>
    <w:rsid w:val="005B5E72"/>
    <w:rsid w:val="005B63BA"/>
    <w:rsid w:val="005C0AC1"/>
    <w:rsid w:val="005C0FDC"/>
    <w:rsid w:val="005C355E"/>
    <w:rsid w:val="005C3BE9"/>
    <w:rsid w:val="005C765A"/>
    <w:rsid w:val="005D04D6"/>
    <w:rsid w:val="005D1B27"/>
    <w:rsid w:val="005D2BFD"/>
    <w:rsid w:val="005D2C62"/>
    <w:rsid w:val="005D4306"/>
    <w:rsid w:val="005D59BA"/>
    <w:rsid w:val="005E09D4"/>
    <w:rsid w:val="005E33DA"/>
    <w:rsid w:val="005E427D"/>
    <w:rsid w:val="005E6B17"/>
    <w:rsid w:val="005E7DB1"/>
    <w:rsid w:val="005F1E59"/>
    <w:rsid w:val="005F390B"/>
    <w:rsid w:val="00600CB4"/>
    <w:rsid w:val="00601F0A"/>
    <w:rsid w:val="00604109"/>
    <w:rsid w:val="006130E9"/>
    <w:rsid w:val="00613DDC"/>
    <w:rsid w:val="0062518D"/>
    <w:rsid w:val="0063039C"/>
    <w:rsid w:val="00632ED3"/>
    <w:rsid w:val="00644277"/>
    <w:rsid w:val="00645CC1"/>
    <w:rsid w:val="006468D4"/>
    <w:rsid w:val="00650312"/>
    <w:rsid w:val="0065051B"/>
    <w:rsid w:val="006506D2"/>
    <w:rsid w:val="00652D47"/>
    <w:rsid w:val="00657607"/>
    <w:rsid w:val="00660EEE"/>
    <w:rsid w:val="00660FE1"/>
    <w:rsid w:val="0066677A"/>
    <w:rsid w:val="00666E2B"/>
    <w:rsid w:val="0066732B"/>
    <w:rsid w:val="00667F35"/>
    <w:rsid w:val="00671DCD"/>
    <w:rsid w:val="006744B5"/>
    <w:rsid w:val="0067616B"/>
    <w:rsid w:val="006761D0"/>
    <w:rsid w:val="006800B5"/>
    <w:rsid w:val="00681303"/>
    <w:rsid w:val="00684322"/>
    <w:rsid w:val="00685A38"/>
    <w:rsid w:val="006879AA"/>
    <w:rsid w:val="006916CE"/>
    <w:rsid w:val="00693943"/>
    <w:rsid w:val="006965C7"/>
    <w:rsid w:val="006A0BEC"/>
    <w:rsid w:val="006A19FB"/>
    <w:rsid w:val="006A1E03"/>
    <w:rsid w:val="006A4B79"/>
    <w:rsid w:val="006A7A89"/>
    <w:rsid w:val="006B1E17"/>
    <w:rsid w:val="006B3D85"/>
    <w:rsid w:val="006B6BC4"/>
    <w:rsid w:val="006C11C0"/>
    <w:rsid w:val="006C4BF6"/>
    <w:rsid w:val="006C7819"/>
    <w:rsid w:val="006D2C3C"/>
    <w:rsid w:val="006D41CC"/>
    <w:rsid w:val="006D6566"/>
    <w:rsid w:val="006D76D5"/>
    <w:rsid w:val="006D7AFC"/>
    <w:rsid w:val="006E02A9"/>
    <w:rsid w:val="006E3F12"/>
    <w:rsid w:val="006E6693"/>
    <w:rsid w:val="006F14D4"/>
    <w:rsid w:val="006F1759"/>
    <w:rsid w:val="006F4E17"/>
    <w:rsid w:val="006F7843"/>
    <w:rsid w:val="00700357"/>
    <w:rsid w:val="0070041E"/>
    <w:rsid w:val="0070074A"/>
    <w:rsid w:val="00701714"/>
    <w:rsid w:val="007019BD"/>
    <w:rsid w:val="007028BC"/>
    <w:rsid w:val="00706104"/>
    <w:rsid w:val="00710382"/>
    <w:rsid w:val="0071494C"/>
    <w:rsid w:val="00715BA2"/>
    <w:rsid w:val="00721FA2"/>
    <w:rsid w:val="00725E84"/>
    <w:rsid w:val="00726576"/>
    <w:rsid w:val="0073053C"/>
    <w:rsid w:val="00733282"/>
    <w:rsid w:val="0073462C"/>
    <w:rsid w:val="00734983"/>
    <w:rsid w:val="007349D8"/>
    <w:rsid w:val="00737612"/>
    <w:rsid w:val="0074279E"/>
    <w:rsid w:val="00742A72"/>
    <w:rsid w:val="00742E31"/>
    <w:rsid w:val="0074694C"/>
    <w:rsid w:val="007505F3"/>
    <w:rsid w:val="00752CB5"/>
    <w:rsid w:val="00752FA2"/>
    <w:rsid w:val="00755850"/>
    <w:rsid w:val="007609F1"/>
    <w:rsid w:val="007631FE"/>
    <w:rsid w:val="007632FB"/>
    <w:rsid w:val="0076510D"/>
    <w:rsid w:val="007658F2"/>
    <w:rsid w:val="00766F52"/>
    <w:rsid w:val="00767298"/>
    <w:rsid w:val="00767E9E"/>
    <w:rsid w:val="00772ABA"/>
    <w:rsid w:val="00772E94"/>
    <w:rsid w:val="0078033E"/>
    <w:rsid w:val="007859C5"/>
    <w:rsid w:val="00785D4B"/>
    <w:rsid w:val="0078697A"/>
    <w:rsid w:val="00790616"/>
    <w:rsid w:val="00791975"/>
    <w:rsid w:val="007928BE"/>
    <w:rsid w:val="0079427B"/>
    <w:rsid w:val="00795E80"/>
    <w:rsid w:val="00796045"/>
    <w:rsid w:val="00796560"/>
    <w:rsid w:val="00797231"/>
    <w:rsid w:val="007A63F4"/>
    <w:rsid w:val="007A6AEB"/>
    <w:rsid w:val="007B02D1"/>
    <w:rsid w:val="007B44D4"/>
    <w:rsid w:val="007B4A53"/>
    <w:rsid w:val="007B4AF7"/>
    <w:rsid w:val="007B58C1"/>
    <w:rsid w:val="007B6286"/>
    <w:rsid w:val="007B6DED"/>
    <w:rsid w:val="007B7B07"/>
    <w:rsid w:val="007B7F1A"/>
    <w:rsid w:val="007C06E1"/>
    <w:rsid w:val="007C3F36"/>
    <w:rsid w:val="007C49F6"/>
    <w:rsid w:val="007C5926"/>
    <w:rsid w:val="007C5D77"/>
    <w:rsid w:val="007C6F1B"/>
    <w:rsid w:val="007D2085"/>
    <w:rsid w:val="007D4AE0"/>
    <w:rsid w:val="007D66B3"/>
    <w:rsid w:val="007E1B34"/>
    <w:rsid w:val="007E707E"/>
    <w:rsid w:val="007E777D"/>
    <w:rsid w:val="007F2DED"/>
    <w:rsid w:val="007F57AB"/>
    <w:rsid w:val="007F5ADB"/>
    <w:rsid w:val="007F5DDD"/>
    <w:rsid w:val="0080103F"/>
    <w:rsid w:val="0080632E"/>
    <w:rsid w:val="00810018"/>
    <w:rsid w:val="00810A09"/>
    <w:rsid w:val="008119E5"/>
    <w:rsid w:val="00811AF9"/>
    <w:rsid w:val="00816875"/>
    <w:rsid w:val="00823AA7"/>
    <w:rsid w:val="0082437B"/>
    <w:rsid w:val="00831E3A"/>
    <w:rsid w:val="00834241"/>
    <w:rsid w:val="008367CE"/>
    <w:rsid w:val="00837219"/>
    <w:rsid w:val="0084156C"/>
    <w:rsid w:val="008423BB"/>
    <w:rsid w:val="0084523C"/>
    <w:rsid w:val="00847EDF"/>
    <w:rsid w:val="00855136"/>
    <w:rsid w:val="00855B3A"/>
    <w:rsid w:val="0085679D"/>
    <w:rsid w:val="00857056"/>
    <w:rsid w:val="00863E2F"/>
    <w:rsid w:val="00867252"/>
    <w:rsid w:val="0086791A"/>
    <w:rsid w:val="008705EF"/>
    <w:rsid w:val="00870637"/>
    <w:rsid w:val="0087065F"/>
    <w:rsid w:val="00870B1E"/>
    <w:rsid w:val="00872697"/>
    <w:rsid w:val="0087498F"/>
    <w:rsid w:val="00875439"/>
    <w:rsid w:val="008769A5"/>
    <w:rsid w:val="008801B8"/>
    <w:rsid w:val="00880F55"/>
    <w:rsid w:val="008811B6"/>
    <w:rsid w:val="00882460"/>
    <w:rsid w:val="0088443F"/>
    <w:rsid w:val="008871E3"/>
    <w:rsid w:val="00892C2E"/>
    <w:rsid w:val="008945E6"/>
    <w:rsid w:val="00894EEA"/>
    <w:rsid w:val="00896C0E"/>
    <w:rsid w:val="0089786C"/>
    <w:rsid w:val="008A03DE"/>
    <w:rsid w:val="008A16A2"/>
    <w:rsid w:val="008A3DC4"/>
    <w:rsid w:val="008A510C"/>
    <w:rsid w:val="008B3B9C"/>
    <w:rsid w:val="008B5444"/>
    <w:rsid w:val="008B68D6"/>
    <w:rsid w:val="008C1AB4"/>
    <w:rsid w:val="008C3AB5"/>
    <w:rsid w:val="008C7B4A"/>
    <w:rsid w:val="008D0174"/>
    <w:rsid w:val="008D0612"/>
    <w:rsid w:val="008D138F"/>
    <w:rsid w:val="008D14DF"/>
    <w:rsid w:val="008D365F"/>
    <w:rsid w:val="008D752A"/>
    <w:rsid w:val="008E3E14"/>
    <w:rsid w:val="008E4784"/>
    <w:rsid w:val="008E5C8A"/>
    <w:rsid w:val="008E62E3"/>
    <w:rsid w:val="008E6435"/>
    <w:rsid w:val="008F05D1"/>
    <w:rsid w:val="008F722B"/>
    <w:rsid w:val="00900E31"/>
    <w:rsid w:val="00900FFA"/>
    <w:rsid w:val="00903158"/>
    <w:rsid w:val="0090470F"/>
    <w:rsid w:val="009047E7"/>
    <w:rsid w:val="00904CA4"/>
    <w:rsid w:val="00910F13"/>
    <w:rsid w:val="00912C8E"/>
    <w:rsid w:val="00913709"/>
    <w:rsid w:val="00913B9E"/>
    <w:rsid w:val="009140AC"/>
    <w:rsid w:val="00915DE0"/>
    <w:rsid w:val="009171C2"/>
    <w:rsid w:val="00920EFA"/>
    <w:rsid w:val="0092202D"/>
    <w:rsid w:val="0092627A"/>
    <w:rsid w:val="00927B7F"/>
    <w:rsid w:val="00930472"/>
    <w:rsid w:val="00930656"/>
    <w:rsid w:val="00936E61"/>
    <w:rsid w:val="0094122F"/>
    <w:rsid w:val="00942735"/>
    <w:rsid w:val="009438CC"/>
    <w:rsid w:val="009507EE"/>
    <w:rsid w:val="0095157F"/>
    <w:rsid w:val="009521CA"/>
    <w:rsid w:val="00953A1E"/>
    <w:rsid w:val="009544EE"/>
    <w:rsid w:val="009551FC"/>
    <w:rsid w:val="00956468"/>
    <w:rsid w:val="00960B8C"/>
    <w:rsid w:val="009831C7"/>
    <w:rsid w:val="00985A36"/>
    <w:rsid w:val="00985B9A"/>
    <w:rsid w:val="00986A0B"/>
    <w:rsid w:val="009872F7"/>
    <w:rsid w:val="009918B0"/>
    <w:rsid w:val="00992935"/>
    <w:rsid w:val="009A251F"/>
    <w:rsid w:val="009A27B6"/>
    <w:rsid w:val="009B0503"/>
    <w:rsid w:val="009B2818"/>
    <w:rsid w:val="009B63A1"/>
    <w:rsid w:val="009B7B70"/>
    <w:rsid w:val="009C22F6"/>
    <w:rsid w:val="009C3B4D"/>
    <w:rsid w:val="009C4298"/>
    <w:rsid w:val="009C4384"/>
    <w:rsid w:val="009C5461"/>
    <w:rsid w:val="009C689A"/>
    <w:rsid w:val="009C7D05"/>
    <w:rsid w:val="009D3FA8"/>
    <w:rsid w:val="009D785C"/>
    <w:rsid w:val="009E0A75"/>
    <w:rsid w:val="009E206A"/>
    <w:rsid w:val="009E2538"/>
    <w:rsid w:val="009E449B"/>
    <w:rsid w:val="009E4E97"/>
    <w:rsid w:val="009E6F17"/>
    <w:rsid w:val="009F2F33"/>
    <w:rsid w:val="009F3B7A"/>
    <w:rsid w:val="009F67B5"/>
    <w:rsid w:val="00A00A49"/>
    <w:rsid w:val="00A02AE9"/>
    <w:rsid w:val="00A045AD"/>
    <w:rsid w:val="00A05822"/>
    <w:rsid w:val="00A070B5"/>
    <w:rsid w:val="00A12A1E"/>
    <w:rsid w:val="00A15F07"/>
    <w:rsid w:val="00A16586"/>
    <w:rsid w:val="00A17F01"/>
    <w:rsid w:val="00A201EB"/>
    <w:rsid w:val="00A2038E"/>
    <w:rsid w:val="00A20BE5"/>
    <w:rsid w:val="00A23683"/>
    <w:rsid w:val="00A3137C"/>
    <w:rsid w:val="00A34E3E"/>
    <w:rsid w:val="00A3715A"/>
    <w:rsid w:val="00A4261C"/>
    <w:rsid w:val="00A445CD"/>
    <w:rsid w:val="00A52BE1"/>
    <w:rsid w:val="00A53737"/>
    <w:rsid w:val="00A55DF7"/>
    <w:rsid w:val="00A573FC"/>
    <w:rsid w:val="00A604E8"/>
    <w:rsid w:val="00A60BA3"/>
    <w:rsid w:val="00A65D06"/>
    <w:rsid w:val="00A674CC"/>
    <w:rsid w:val="00A72ED4"/>
    <w:rsid w:val="00A736E6"/>
    <w:rsid w:val="00A80C3C"/>
    <w:rsid w:val="00A80EEB"/>
    <w:rsid w:val="00A849ED"/>
    <w:rsid w:val="00A85FDF"/>
    <w:rsid w:val="00A87125"/>
    <w:rsid w:val="00A91A6B"/>
    <w:rsid w:val="00A91E69"/>
    <w:rsid w:val="00A926DB"/>
    <w:rsid w:val="00A92795"/>
    <w:rsid w:val="00A92C74"/>
    <w:rsid w:val="00A9675E"/>
    <w:rsid w:val="00AA12BF"/>
    <w:rsid w:val="00AA2A7F"/>
    <w:rsid w:val="00AB30C2"/>
    <w:rsid w:val="00AB67D3"/>
    <w:rsid w:val="00AB6825"/>
    <w:rsid w:val="00AC0641"/>
    <w:rsid w:val="00AC0E12"/>
    <w:rsid w:val="00AC0EAC"/>
    <w:rsid w:val="00AC102E"/>
    <w:rsid w:val="00AC1AAE"/>
    <w:rsid w:val="00AC41C9"/>
    <w:rsid w:val="00AC4526"/>
    <w:rsid w:val="00AC5C64"/>
    <w:rsid w:val="00AC7B73"/>
    <w:rsid w:val="00AC7E44"/>
    <w:rsid w:val="00AD12CC"/>
    <w:rsid w:val="00AD25AE"/>
    <w:rsid w:val="00AD46E9"/>
    <w:rsid w:val="00AD68F3"/>
    <w:rsid w:val="00AD7C11"/>
    <w:rsid w:val="00AE1E09"/>
    <w:rsid w:val="00AE553E"/>
    <w:rsid w:val="00AF24CC"/>
    <w:rsid w:val="00AF76F5"/>
    <w:rsid w:val="00B00E48"/>
    <w:rsid w:val="00B014FC"/>
    <w:rsid w:val="00B03D87"/>
    <w:rsid w:val="00B07A6A"/>
    <w:rsid w:val="00B106FB"/>
    <w:rsid w:val="00B11057"/>
    <w:rsid w:val="00B13F67"/>
    <w:rsid w:val="00B16481"/>
    <w:rsid w:val="00B166B9"/>
    <w:rsid w:val="00B2269F"/>
    <w:rsid w:val="00B24A6E"/>
    <w:rsid w:val="00B33A45"/>
    <w:rsid w:val="00B40458"/>
    <w:rsid w:val="00B420B3"/>
    <w:rsid w:val="00B42340"/>
    <w:rsid w:val="00B45C70"/>
    <w:rsid w:val="00B46D14"/>
    <w:rsid w:val="00B512AB"/>
    <w:rsid w:val="00B5494C"/>
    <w:rsid w:val="00B6021E"/>
    <w:rsid w:val="00B60557"/>
    <w:rsid w:val="00B644EC"/>
    <w:rsid w:val="00B655C6"/>
    <w:rsid w:val="00B67F57"/>
    <w:rsid w:val="00B717BF"/>
    <w:rsid w:val="00B73B7F"/>
    <w:rsid w:val="00B77337"/>
    <w:rsid w:val="00B80D0F"/>
    <w:rsid w:val="00B81659"/>
    <w:rsid w:val="00B8314D"/>
    <w:rsid w:val="00B83D89"/>
    <w:rsid w:val="00B85DCE"/>
    <w:rsid w:val="00B85EB0"/>
    <w:rsid w:val="00B918B6"/>
    <w:rsid w:val="00B921E7"/>
    <w:rsid w:val="00B9373C"/>
    <w:rsid w:val="00B951BA"/>
    <w:rsid w:val="00B97034"/>
    <w:rsid w:val="00B97B8E"/>
    <w:rsid w:val="00BA0783"/>
    <w:rsid w:val="00BA0F17"/>
    <w:rsid w:val="00BA2AA6"/>
    <w:rsid w:val="00BA398E"/>
    <w:rsid w:val="00BA419C"/>
    <w:rsid w:val="00BA4E66"/>
    <w:rsid w:val="00BA5724"/>
    <w:rsid w:val="00BB04B3"/>
    <w:rsid w:val="00BB34E0"/>
    <w:rsid w:val="00BB4ED8"/>
    <w:rsid w:val="00BC0752"/>
    <w:rsid w:val="00BC29BB"/>
    <w:rsid w:val="00BC2A2A"/>
    <w:rsid w:val="00BC72A6"/>
    <w:rsid w:val="00BD0C72"/>
    <w:rsid w:val="00BD1591"/>
    <w:rsid w:val="00BD1654"/>
    <w:rsid w:val="00BD2632"/>
    <w:rsid w:val="00BD2B4D"/>
    <w:rsid w:val="00BD3253"/>
    <w:rsid w:val="00BE3173"/>
    <w:rsid w:val="00BE79B9"/>
    <w:rsid w:val="00BE7E40"/>
    <w:rsid w:val="00BF207C"/>
    <w:rsid w:val="00BF365C"/>
    <w:rsid w:val="00BF41A4"/>
    <w:rsid w:val="00BF4542"/>
    <w:rsid w:val="00BF5DCA"/>
    <w:rsid w:val="00C00544"/>
    <w:rsid w:val="00C00BEF"/>
    <w:rsid w:val="00C01CDF"/>
    <w:rsid w:val="00C03479"/>
    <w:rsid w:val="00C07AFB"/>
    <w:rsid w:val="00C129D0"/>
    <w:rsid w:val="00C14EDE"/>
    <w:rsid w:val="00C15A2E"/>
    <w:rsid w:val="00C15BC5"/>
    <w:rsid w:val="00C219B5"/>
    <w:rsid w:val="00C21E66"/>
    <w:rsid w:val="00C23B8C"/>
    <w:rsid w:val="00C264F7"/>
    <w:rsid w:val="00C30531"/>
    <w:rsid w:val="00C32BA1"/>
    <w:rsid w:val="00C32D03"/>
    <w:rsid w:val="00C34764"/>
    <w:rsid w:val="00C36D77"/>
    <w:rsid w:val="00C36E74"/>
    <w:rsid w:val="00C3715A"/>
    <w:rsid w:val="00C40733"/>
    <w:rsid w:val="00C4321A"/>
    <w:rsid w:val="00C47222"/>
    <w:rsid w:val="00C53564"/>
    <w:rsid w:val="00C54D43"/>
    <w:rsid w:val="00C570B9"/>
    <w:rsid w:val="00C57713"/>
    <w:rsid w:val="00C57775"/>
    <w:rsid w:val="00C60860"/>
    <w:rsid w:val="00C62211"/>
    <w:rsid w:val="00C74000"/>
    <w:rsid w:val="00C75931"/>
    <w:rsid w:val="00C77045"/>
    <w:rsid w:val="00C775C8"/>
    <w:rsid w:val="00C8006C"/>
    <w:rsid w:val="00C8104E"/>
    <w:rsid w:val="00C825D3"/>
    <w:rsid w:val="00C82D2A"/>
    <w:rsid w:val="00C847E8"/>
    <w:rsid w:val="00C84AD4"/>
    <w:rsid w:val="00C8533E"/>
    <w:rsid w:val="00C86FE0"/>
    <w:rsid w:val="00C91D3C"/>
    <w:rsid w:val="00C9257E"/>
    <w:rsid w:val="00CA1843"/>
    <w:rsid w:val="00CA40F6"/>
    <w:rsid w:val="00CA6A00"/>
    <w:rsid w:val="00CB0E03"/>
    <w:rsid w:val="00CB5A1D"/>
    <w:rsid w:val="00CB64FE"/>
    <w:rsid w:val="00CB7406"/>
    <w:rsid w:val="00CB741E"/>
    <w:rsid w:val="00CC1F99"/>
    <w:rsid w:val="00CD339A"/>
    <w:rsid w:val="00CD355D"/>
    <w:rsid w:val="00CD3880"/>
    <w:rsid w:val="00CD4CF9"/>
    <w:rsid w:val="00CD586B"/>
    <w:rsid w:val="00CD6CE1"/>
    <w:rsid w:val="00CE185B"/>
    <w:rsid w:val="00CE36BA"/>
    <w:rsid w:val="00CE4BB3"/>
    <w:rsid w:val="00CE5240"/>
    <w:rsid w:val="00CE5AE8"/>
    <w:rsid w:val="00CE7A31"/>
    <w:rsid w:val="00CF1649"/>
    <w:rsid w:val="00CF3ECE"/>
    <w:rsid w:val="00CF61D0"/>
    <w:rsid w:val="00D01719"/>
    <w:rsid w:val="00D01FC0"/>
    <w:rsid w:val="00D04D1B"/>
    <w:rsid w:val="00D0527B"/>
    <w:rsid w:val="00D101D3"/>
    <w:rsid w:val="00D125E7"/>
    <w:rsid w:val="00D15290"/>
    <w:rsid w:val="00D177DF"/>
    <w:rsid w:val="00D214D6"/>
    <w:rsid w:val="00D24EC3"/>
    <w:rsid w:val="00D2528D"/>
    <w:rsid w:val="00D306D1"/>
    <w:rsid w:val="00D36605"/>
    <w:rsid w:val="00D410F1"/>
    <w:rsid w:val="00D43896"/>
    <w:rsid w:val="00D443C7"/>
    <w:rsid w:val="00D46101"/>
    <w:rsid w:val="00D47C1F"/>
    <w:rsid w:val="00D50E6D"/>
    <w:rsid w:val="00D527F4"/>
    <w:rsid w:val="00D53209"/>
    <w:rsid w:val="00D57316"/>
    <w:rsid w:val="00D61867"/>
    <w:rsid w:val="00D6573D"/>
    <w:rsid w:val="00D66641"/>
    <w:rsid w:val="00D70A1D"/>
    <w:rsid w:val="00D70F91"/>
    <w:rsid w:val="00D73A86"/>
    <w:rsid w:val="00D7460F"/>
    <w:rsid w:val="00D75E6C"/>
    <w:rsid w:val="00D76BBC"/>
    <w:rsid w:val="00D8064D"/>
    <w:rsid w:val="00D86291"/>
    <w:rsid w:val="00D87879"/>
    <w:rsid w:val="00D924F4"/>
    <w:rsid w:val="00D945FE"/>
    <w:rsid w:val="00D9565C"/>
    <w:rsid w:val="00D9734B"/>
    <w:rsid w:val="00D97F0F"/>
    <w:rsid w:val="00DA2220"/>
    <w:rsid w:val="00DA7E40"/>
    <w:rsid w:val="00DB028A"/>
    <w:rsid w:val="00DB0CF7"/>
    <w:rsid w:val="00DB1405"/>
    <w:rsid w:val="00DB43D5"/>
    <w:rsid w:val="00DB6AD3"/>
    <w:rsid w:val="00DB6D53"/>
    <w:rsid w:val="00DD12DD"/>
    <w:rsid w:val="00DD73F7"/>
    <w:rsid w:val="00DD7FD4"/>
    <w:rsid w:val="00DE0427"/>
    <w:rsid w:val="00DE0651"/>
    <w:rsid w:val="00DE2B87"/>
    <w:rsid w:val="00DE7A89"/>
    <w:rsid w:val="00DF3413"/>
    <w:rsid w:val="00DF4444"/>
    <w:rsid w:val="00DF6687"/>
    <w:rsid w:val="00DF72C8"/>
    <w:rsid w:val="00E0000C"/>
    <w:rsid w:val="00E001AC"/>
    <w:rsid w:val="00E01668"/>
    <w:rsid w:val="00E03857"/>
    <w:rsid w:val="00E059E4"/>
    <w:rsid w:val="00E107E8"/>
    <w:rsid w:val="00E118A9"/>
    <w:rsid w:val="00E11DAC"/>
    <w:rsid w:val="00E11DAD"/>
    <w:rsid w:val="00E122C2"/>
    <w:rsid w:val="00E141CB"/>
    <w:rsid w:val="00E14F49"/>
    <w:rsid w:val="00E15097"/>
    <w:rsid w:val="00E16299"/>
    <w:rsid w:val="00E2276C"/>
    <w:rsid w:val="00E23EB6"/>
    <w:rsid w:val="00E23EC3"/>
    <w:rsid w:val="00E25B15"/>
    <w:rsid w:val="00E278F0"/>
    <w:rsid w:val="00E27A23"/>
    <w:rsid w:val="00E300A0"/>
    <w:rsid w:val="00E32AC5"/>
    <w:rsid w:val="00E332FB"/>
    <w:rsid w:val="00E354D5"/>
    <w:rsid w:val="00E37DEF"/>
    <w:rsid w:val="00E41B71"/>
    <w:rsid w:val="00E43D61"/>
    <w:rsid w:val="00E45B13"/>
    <w:rsid w:val="00E465B2"/>
    <w:rsid w:val="00E5133E"/>
    <w:rsid w:val="00E55116"/>
    <w:rsid w:val="00E57602"/>
    <w:rsid w:val="00E57EDC"/>
    <w:rsid w:val="00E61502"/>
    <w:rsid w:val="00E61828"/>
    <w:rsid w:val="00E63FEB"/>
    <w:rsid w:val="00E65391"/>
    <w:rsid w:val="00E743DB"/>
    <w:rsid w:val="00E7710E"/>
    <w:rsid w:val="00E83968"/>
    <w:rsid w:val="00E83E4C"/>
    <w:rsid w:val="00E8448B"/>
    <w:rsid w:val="00E87B54"/>
    <w:rsid w:val="00E90CA8"/>
    <w:rsid w:val="00E90EB8"/>
    <w:rsid w:val="00E93D29"/>
    <w:rsid w:val="00E94061"/>
    <w:rsid w:val="00E9578A"/>
    <w:rsid w:val="00E95940"/>
    <w:rsid w:val="00E96531"/>
    <w:rsid w:val="00E96DA8"/>
    <w:rsid w:val="00EA2324"/>
    <w:rsid w:val="00EA2C80"/>
    <w:rsid w:val="00EB0847"/>
    <w:rsid w:val="00EB3CCA"/>
    <w:rsid w:val="00EB792D"/>
    <w:rsid w:val="00EC16BA"/>
    <w:rsid w:val="00EC4634"/>
    <w:rsid w:val="00EC57BC"/>
    <w:rsid w:val="00ED1590"/>
    <w:rsid w:val="00ED1BE4"/>
    <w:rsid w:val="00ED55A4"/>
    <w:rsid w:val="00EE01F2"/>
    <w:rsid w:val="00EE2F95"/>
    <w:rsid w:val="00EE79A5"/>
    <w:rsid w:val="00EF1453"/>
    <w:rsid w:val="00EF7E9B"/>
    <w:rsid w:val="00F07B73"/>
    <w:rsid w:val="00F11872"/>
    <w:rsid w:val="00F126E1"/>
    <w:rsid w:val="00F14CDD"/>
    <w:rsid w:val="00F15560"/>
    <w:rsid w:val="00F15D0D"/>
    <w:rsid w:val="00F22D1F"/>
    <w:rsid w:val="00F23044"/>
    <w:rsid w:val="00F234CC"/>
    <w:rsid w:val="00F267B0"/>
    <w:rsid w:val="00F30222"/>
    <w:rsid w:val="00F328A1"/>
    <w:rsid w:val="00F34DE2"/>
    <w:rsid w:val="00F376CC"/>
    <w:rsid w:val="00F403D9"/>
    <w:rsid w:val="00F412D3"/>
    <w:rsid w:val="00F43B4B"/>
    <w:rsid w:val="00F47325"/>
    <w:rsid w:val="00F509D1"/>
    <w:rsid w:val="00F52BEA"/>
    <w:rsid w:val="00F555D9"/>
    <w:rsid w:val="00F5726E"/>
    <w:rsid w:val="00F615FD"/>
    <w:rsid w:val="00F61EA6"/>
    <w:rsid w:val="00F629D8"/>
    <w:rsid w:val="00F63FA1"/>
    <w:rsid w:val="00F6549F"/>
    <w:rsid w:val="00F6608B"/>
    <w:rsid w:val="00F6634A"/>
    <w:rsid w:val="00F664B0"/>
    <w:rsid w:val="00F719F6"/>
    <w:rsid w:val="00F71DB5"/>
    <w:rsid w:val="00F71FF3"/>
    <w:rsid w:val="00F74794"/>
    <w:rsid w:val="00F808CF"/>
    <w:rsid w:val="00F80B6E"/>
    <w:rsid w:val="00F83271"/>
    <w:rsid w:val="00F84273"/>
    <w:rsid w:val="00F90D18"/>
    <w:rsid w:val="00F91728"/>
    <w:rsid w:val="00F93EFA"/>
    <w:rsid w:val="00F94EDC"/>
    <w:rsid w:val="00F9566D"/>
    <w:rsid w:val="00F96B3C"/>
    <w:rsid w:val="00FA03B9"/>
    <w:rsid w:val="00FA1AF9"/>
    <w:rsid w:val="00FA2E33"/>
    <w:rsid w:val="00FA2F10"/>
    <w:rsid w:val="00FB0F83"/>
    <w:rsid w:val="00FB60B1"/>
    <w:rsid w:val="00FC0029"/>
    <w:rsid w:val="00FC186E"/>
    <w:rsid w:val="00FC4832"/>
    <w:rsid w:val="00FC6E72"/>
    <w:rsid w:val="00FD18C9"/>
    <w:rsid w:val="00FD7C3C"/>
    <w:rsid w:val="00FE1A7B"/>
    <w:rsid w:val="00FE5D1F"/>
    <w:rsid w:val="00FE6F23"/>
    <w:rsid w:val="00FF2BED"/>
    <w:rsid w:val="00FF4DF8"/>
    <w:rsid w:val="00FF53B8"/>
    <w:rsid w:val="00FF604B"/>
    <w:rsid w:val="01FA3420"/>
    <w:rsid w:val="037303F6"/>
    <w:rsid w:val="04C070A7"/>
    <w:rsid w:val="057D5965"/>
    <w:rsid w:val="08AA23AF"/>
    <w:rsid w:val="09BE28D2"/>
    <w:rsid w:val="0B4A3581"/>
    <w:rsid w:val="0DB37113"/>
    <w:rsid w:val="12081A83"/>
    <w:rsid w:val="13982333"/>
    <w:rsid w:val="153101B7"/>
    <w:rsid w:val="15342BC7"/>
    <w:rsid w:val="15B43159"/>
    <w:rsid w:val="160D720C"/>
    <w:rsid w:val="1845145E"/>
    <w:rsid w:val="185365BF"/>
    <w:rsid w:val="19533F99"/>
    <w:rsid w:val="199944A6"/>
    <w:rsid w:val="1A091F78"/>
    <w:rsid w:val="1BA67BE4"/>
    <w:rsid w:val="1D4209B0"/>
    <w:rsid w:val="1D724E0F"/>
    <w:rsid w:val="1E27608E"/>
    <w:rsid w:val="1F0446BC"/>
    <w:rsid w:val="1F21469D"/>
    <w:rsid w:val="202F348C"/>
    <w:rsid w:val="20BF282B"/>
    <w:rsid w:val="221802A5"/>
    <w:rsid w:val="22421AE6"/>
    <w:rsid w:val="225C1895"/>
    <w:rsid w:val="22C252A7"/>
    <w:rsid w:val="245F1650"/>
    <w:rsid w:val="247B1C76"/>
    <w:rsid w:val="253D3AEA"/>
    <w:rsid w:val="262575D5"/>
    <w:rsid w:val="28740F8C"/>
    <w:rsid w:val="2898365D"/>
    <w:rsid w:val="29C91397"/>
    <w:rsid w:val="2BAF69DE"/>
    <w:rsid w:val="2CBF2C2C"/>
    <w:rsid w:val="2CCB4545"/>
    <w:rsid w:val="2D8A43D9"/>
    <w:rsid w:val="2DE01426"/>
    <w:rsid w:val="2F5144F6"/>
    <w:rsid w:val="301C3084"/>
    <w:rsid w:val="30D664E6"/>
    <w:rsid w:val="319F55CE"/>
    <w:rsid w:val="326F5AB6"/>
    <w:rsid w:val="340053F5"/>
    <w:rsid w:val="35A224C8"/>
    <w:rsid w:val="35B41B1F"/>
    <w:rsid w:val="38462528"/>
    <w:rsid w:val="39A73D64"/>
    <w:rsid w:val="39D04805"/>
    <w:rsid w:val="3AFF1D97"/>
    <w:rsid w:val="3B5A236B"/>
    <w:rsid w:val="3BF22272"/>
    <w:rsid w:val="3CA509BC"/>
    <w:rsid w:val="3CCD6091"/>
    <w:rsid w:val="3DD35F54"/>
    <w:rsid w:val="3F862308"/>
    <w:rsid w:val="40A25E08"/>
    <w:rsid w:val="41F878D6"/>
    <w:rsid w:val="464949DA"/>
    <w:rsid w:val="475121F3"/>
    <w:rsid w:val="48811844"/>
    <w:rsid w:val="48A9188E"/>
    <w:rsid w:val="498062A3"/>
    <w:rsid w:val="4A9326C8"/>
    <w:rsid w:val="4A9763AD"/>
    <w:rsid w:val="4A9D3955"/>
    <w:rsid w:val="4B665D47"/>
    <w:rsid w:val="4DA07A9C"/>
    <w:rsid w:val="4DB379D3"/>
    <w:rsid w:val="50DE503B"/>
    <w:rsid w:val="52291B63"/>
    <w:rsid w:val="52350508"/>
    <w:rsid w:val="525F471D"/>
    <w:rsid w:val="53C81F43"/>
    <w:rsid w:val="582F6749"/>
    <w:rsid w:val="587C13DB"/>
    <w:rsid w:val="587E12D0"/>
    <w:rsid w:val="5A53152E"/>
    <w:rsid w:val="5AA61CAF"/>
    <w:rsid w:val="5AE603F3"/>
    <w:rsid w:val="5B653C0C"/>
    <w:rsid w:val="5C9078D6"/>
    <w:rsid w:val="5CE96177"/>
    <w:rsid w:val="5DB7412D"/>
    <w:rsid w:val="5E412BD5"/>
    <w:rsid w:val="5EE31AFE"/>
    <w:rsid w:val="5FA45185"/>
    <w:rsid w:val="606B7C88"/>
    <w:rsid w:val="6199138B"/>
    <w:rsid w:val="63C976B3"/>
    <w:rsid w:val="65382A43"/>
    <w:rsid w:val="663742DC"/>
    <w:rsid w:val="676D624D"/>
    <w:rsid w:val="681252AA"/>
    <w:rsid w:val="68D9402C"/>
    <w:rsid w:val="69754771"/>
    <w:rsid w:val="69D424AE"/>
    <w:rsid w:val="6A2368E5"/>
    <w:rsid w:val="6AD35263"/>
    <w:rsid w:val="6B737B43"/>
    <w:rsid w:val="6B8922FC"/>
    <w:rsid w:val="6C5374D3"/>
    <w:rsid w:val="6D136B29"/>
    <w:rsid w:val="6F443A3F"/>
    <w:rsid w:val="6FED3D79"/>
    <w:rsid w:val="72142791"/>
    <w:rsid w:val="73C72177"/>
    <w:rsid w:val="7843349B"/>
    <w:rsid w:val="7936053E"/>
    <w:rsid w:val="7A3F48A6"/>
    <w:rsid w:val="7B6B7D1A"/>
    <w:rsid w:val="7BD51316"/>
    <w:rsid w:val="7CC23A93"/>
    <w:rsid w:val="7F6000C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1"/>
    <w:basedOn w:val="1"/>
    <w:next w:val="1"/>
    <w:link w:val="26"/>
    <w:qFormat/>
    <w:uiPriority w:val="9"/>
    <w:pPr>
      <w:keepNext/>
      <w:keepLines/>
      <w:numPr>
        <w:ilvl w:val="0"/>
        <w:numId w:val="1"/>
      </w:numPr>
      <w:outlineLvl w:val="0"/>
    </w:pPr>
    <w:rPr>
      <w:b/>
      <w:bCs/>
      <w:kern w:val="44"/>
      <w:szCs w:val="44"/>
    </w:rPr>
  </w:style>
  <w:style w:type="paragraph" w:styleId="3">
    <w:name w:val="heading 2"/>
    <w:basedOn w:val="1"/>
    <w:next w:val="1"/>
    <w:link w:val="31"/>
    <w:qFormat/>
    <w:uiPriority w:val="0"/>
    <w:pPr>
      <w:keepNext/>
      <w:keepLines/>
      <w:numPr>
        <w:ilvl w:val="1"/>
        <w:numId w:val="1"/>
      </w:numPr>
      <w:outlineLvl w:val="1"/>
    </w:pPr>
    <w:rPr>
      <w:rFonts w:hAnsi="Arial"/>
      <w:b/>
      <w:bCs/>
      <w:szCs w:val="32"/>
    </w:rPr>
  </w:style>
  <w:style w:type="paragraph" w:styleId="4">
    <w:name w:val="heading 3"/>
    <w:basedOn w:val="1"/>
    <w:next w:val="1"/>
    <w:link w:val="30"/>
    <w:qFormat/>
    <w:uiPriority w:val="9"/>
    <w:pPr>
      <w:keepNext/>
      <w:keepLines/>
      <w:spacing w:before="260" w:after="260" w:line="416" w:lineRule="auto"/>
      <w:outlineLvl w:val="2"/>
    </w:pPr>
    <w:rPr>
      <w:b/>
      <w:bCs/>
      <w:sz w:val="32"/>
      <w:szCs w:val="32"/>
    </w:rPr>
  </w:style>
  <w:style w:type="paragraph" w:styleId="5">
    <w:name w:val="heading 4"/>
    <w:basedOn w:val="1"/>
    <w:next w:val="1"/>
    <w:link w:val="38"/>
    <w:qFormat/>
    <w:uiPriority w:val="9"/>
    <w:pPr>
      <w:keepNext/>
      <w:keepLines/>
      <w:spacing w:before="280" w:after="290" w:line="376" w:lineRule="auto"/>
      <w:outlineLvl w:val="3"/>
    </w:pPr>
    <w:rPr>
      <w:rFonts w:ascii="Cambria" w:hAnsi="Cambria" w:eastAsia="宋体" w:cs="Times New Roman"/>
      <w:b/>
      <w:bCs/>
      <w:sz w:val="28"/>
      <w:szCs w:val="28"/>
    </w:rPr>
  </w:style>
  <w:style w:type="paragraph" w:styleId="6">
    <w:name w:val="heading 5"/>
    <w:basedOn w:val="1"/>
    <w:next w:val="1"/>
    <w:link w:val="36"/>
    <w:qFormat/>
    <w:uiPriority w:val="9"/>
    <w:pPr>
      <w:keepNext/>
      <w:keepLines/>
      <w:spacing w:before="280" w:after="290" w:line="376" w:lineRule="auto"/>
      <w:outlineLvl w:val="4"/>
    </w:pPr>
    <w:rPr>
      <w:b/>
      <w:bCs/>
      <w:sz w:val="28"/>
      <w:szCs w:val="28"/>
    </w:rPr>
  </w:style>
  <w:style w:type="character" w:default="1" w:styleId="18">
    <w:name w:val="Default Paragraph Font"/>
    <w:unhideWhenUsed/>
    <w:qFormat/>
    <w:uiPriority w:val="1"/>
  </w:style>
  <w:style w:type="table" w:default="1" w:styleId="17">
    <w:name w:val="Normal Table"/>
    <w:unhideWhenUsed/>
    <w:qFormat/>
    <w:uiPriority w:val="99"/>
    <w:tblPr>
      <w:tblLayout w:type="fixed"/>
      <w:tblCellMar>
        <w:top w:w="0" w:type="dxa"/>
        <w:left w:w="108" w:type="dxa"/>
        <w:bottom w:w="0" w:type="dxa"/>
        <w:right w:w="108" w:type="dxa"/>
      </w:tblCellMar>
    </w:tblPr>
  </w:style>
  <w:style w:type="paragraph" w:styleId="7">
    <w:name w:val="Normal Indent"/>
    <w:basedOn w:val="1"/>
    <w:link w:val="41"/>
    <w:qFormat/>
    <w:uiPriority w:val="0"/>
    <w:pPr>
      <w:ind w:firstLine="200" w:firstLineChars="200"/>
    </w:pPr>
    <w:rPr>
      <w:rFonts w:ascii="Calibri" w:hAnsi="Calibri" w:eastAsia="宋体" w:cs="Times New Roman"/>
      <w:szCs w:val="22"/>
    </w:rPr>
  </w:style>
  <w:style w:type="paragraph" w:styleId="8">
    <w:name w:val="Document Map"/>
    <w:basedOn w:val="1"/>
    <w:link w:val="40"/>
    <w:unhideWhenUsed/>
    <w:qFormat/>
    <w:uiPriority w:val="99"/>
    <w:rPr>
      <w:sz w:val="18"/>
      <w:szCs w:val="18"/>
    </w:rPr>
  </w:style>
  <w:style w:type="paragraph" w:styleId="9">
    <w:name w:val="Body Text"/>
    <w:basedOn w:val="1"/>
    <w:qFormat/>
    <w:uiPriority w:val="0"/>
    <w:pPr>
      <w:spacing w:after="120"/>
    </w:pPr>
  </w:style>
  <w:style w:type="paragraph" w:styleId="10">
    <w:name w:val="Body Text Indent"/>
    <w:basedOn w:val="1"/>
    <w:link w:val="39"/>
    <w:qFormat/>
    <w:uiPriority w:val="0"/>
    <w:pPr>
      <w:adjustRightInd w:val="0"/>
      <w:snapToGrid w:val="0"/>
      <w:spacing w:line="300" w:lineRule="auto"/>
    </w:pPr>
    <w:rPr>
      <w:rFonts w:ascii="Calibri" w:hAnsi="Calibri" w:eastAsia="宋体" w:cs="Times New Roman"/>
      <w:sz w:val="21"/>
      <w:szCs w:val="22"/>
      <w:lang w:eastAsia="zh-TW"/>
    </w:rPr>
  </w:style>
  <w:style w:type="paragraph" w:styleId="11">
    <w:name w:val="toc 3"/>
    <w:basedOn w:val="1"/>
    <w:next w:val="1"/>
    <w:unhideWhenUsed/>
    <w:qFormat/>
    <w:uiPriority w:val="39"/>
    <w:pPr>
      <w:ind w:left="840" w:leftChars="400"/>
    </w:pPr>
  </w:style>
  <w:style w:type="paragraph" w:styleId="12">
    <w:name w:val="Balloon Text"/>
    <w:basedOn w:val="1"/>
    <w:link w:val="33"/>
    <w:unhideWhenUsed/>
    <w:qFormat/>
    <w:uiPriority w:val="99"/>
    <w:pPr>
      <w:spacing w:line="240" w:lineRule="auto"/>
    </w:pPr>
    <w:rPr>
      <w:sz w:val="18"/>
      <w:szCs w:val="18"/>
    </w:rPr>
  </w:style>
  <w:style w:type="paragraph" w:styleId="13">
    <w:name w:val="footer"/>
    <w:basedOn w:val="1"/>
    <w:link w:val="27"/>
    <w:unhideWhenUsed/>
    <w:qFormat/>
    <w:uiPriority w:val="99"/>
    <w:pPr>
      <w:tabs>
        <w:tab w:val="center" w:pos="4153"/>
        <w:tab w:val="right" w:pos="8306"/>
      </w:tabs>
      <w:snapToGrid w:val="0"/>
      <w:jc w:val="left"/>
    </w:pPr>
    <w:rPr>
      <w:sz w:val="18"/>
      <w:szCs w:val="18"/>
    </w:rPr>
  </w:style>
  <w:style w:type="paragraph" w:styleId="14">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8296"/>
      </w:tabs>
    </w:pPr>
  </w:style>
  <w:style w:type="paragraph" w:styleId="16">
    <w:name w:val="toc 2"/>
    <w:basedOn w:val="1"/>
    <w:next w:val="1"/>
    <w:qFormat/>
    <w:uiPriority w:val="39"/>
    <w:pPr>
      <w:ind w:left="420" w:leftChars="200"/>
    </w:pPr>
  </w:style>
  <w:style w:type="character" w:styleId="19">
    <w:name w:val="Hyperlink"/>
    <w:unhideWhenUsed/>
    <w:qFormat/>
    <w:uiPriority w:val="99"/>
    <w:rPr>
      <w:color w:val="0000FF"/>
      <w:u w:val="single"/>
    </w:rPr>
  </w:style>
  <w:style w:type="character" w:customStyle="1" w:styleId="20">
    <w:name w:val="列出段落 Char"/>
    <w:link w:val="21"/>
    <w:qFormat/>
    <w:uiPriority w:val="0"/>
    <w:rPr>
      <w:szCs w:val="24"/>
    </w:rPr>
  </w:style>
  <w:style w:type="paragraph" w:styleId="21">
    <w:name w:val="List Paragraph"/>
    <w:basedOn w:val="1"/>
    <w:link w:val="20"/>
    <w:qFormat/>
    <w:uiPriority w:val="0"/>
    <w:pPr>
      <w:spacing w:line="240" w:lineRule="auto"/>
      <w:ind w:firstLine="420" w:firstLineChars="200"/>
    </w:pPr>
    <w:rPr>
      <w:rFonts w:ascii="Calibri" w:hAnsi="Calibri" w:eastAsia="宋体" w:cs="Times New Roman"/>
      <w:sz w:val="21"/>
    </w:rPr>
  </w:style>
  <w:style w:type="character" w:customStyle="1" w:styleId="22">
    <w:name w:val="正文 小四 首行缩进 Char"/>
    <w:link w:val="23"/>
    <w:qFormat/>
    <w:locked/>
    <w:uiPriority w:val="0"/>
    <w:rPr>
      <w:rFonts w:ascii="Times New Roman" w:hAnsi="Times New Roman" w:eastAsia="宋体" w:cs="Times New Roman"/>
      <w:sz w:val="24"/>
      <w:szCs w:val="20"/>
    </w:rPr>
  </w:style>
  <w:style w:type="paragraph" w:customStyle="1" w:styleId="23">
    <w:name w:val="正文 小四 首行缩进"/>
    <w:basedOn w:val="1"/>
    <w:link w:val="22"/>
    <w:qFormat/>
    <w:uiPriority w:val="0"/>
    <w:pPr>
      <w:ind w:firstLine="420"/>
    </w:pPr>
    <w:rPr>
      <w:rFonts w:ascii="Times New Roman"/>
      <w:szCs w:val="20"/>
    </w:rPr>
  </w:style>
  <w:style w:type="character" w:customStyle="1" w:styleId="24">
    <w:name w:val="样式1 Char"/>
    <w:link w:val="25"/>
    <w:qFormat/>
    <w:uiPriority w:val="0"/>
    <w:rPr>
      <w:rFonts w:ascii="宋体" w:hAnsi="Times New Roman"/>
      <w:kern w:val="2"/>
      <w:sz w:val="24"/>
      <w:szCs w:val="24"/>
    </w:rPr>
  </w:style>
  <w:style w:type="paragraph" w:customStyle="1" w:styleId="25">
    <w:name w:val="样式1"/>
    <w:basedOn w:val="1"/>
    <w:link w:val="24"/>
    <w:qFormat/>
    <w:uiPriority w:val="0"/>
    <w:pPr>
      <w:numPr>
        <w:ilvl w:val="2"/>
        <w:numId w:val="1"/>
      </w:numPr>
    </w:pPr>
  </w:style>
  <w:style w:type="character" w:customStyle="1" w:styleId="26">
    <w:name w:val="标题 1 Char"/>
    <w:link w:val="2"/>
    <w:qFormat/>
    <w:uiPriority w:val="9"/>
    <w:rPr>
      <w:rFonts w:ascii="宋体" w:hAnsi="Times New Roman"/>
      <w:b/>
      <w:bCs/>
      <w:kern w:val="44"/>
      <w:sz w:val="24"/>
      <w:szCs w:val="44"/>
    </w:rPr>
  </w:style>
  <w:style w:type="character" w:customStyle="1" w:styleId="27">
    <w:name w:val="页脚 Char"/>
    <w:link w:val="13"/>
    <w:qFormat/>
    <w:uiPriority w:val="99"/>
    <w:rPr>
      <w:sz w:val="18"/>
      <w:szCs w:val="18"/>
    </w:rPr>
  </w:style>
  <w:style w:type="character" w:customStyle="1" w:styleId="28">
    <w:name w:val="我的正文 Char"/>
    <w:link w:val="29"/>
    <w:qFormat/>
    <w:uiPriority w:val="0"/>
    <w:rPr>
      <w:rFonts w:ascii="Arial" w:hAnsi="Arial"/>
      <w:szCs w:val="24"/>
    </w:rPr>
  </w:style>
  <w:style w:type="paragraph" w:customStyle="1" w:styleId="29">
    <w:name w:val="我的正文"/>
    <w:basedOn w:val="1"/>
    <w:link w:val="28"/>
    <w:qFormat/>
    <w:uiPriority w:val="0"/>
    <w:pPr>
      <w:ind w:firstLine="420"/>
    </w:pPr>
    <w:rPr>
      <w:rFonts w:ascii="Arial" w:hAnsi="Arial" w:eastAsia="宋体" w:cs="Times New Roman"/>
      <w:sz w:val="21"/>
    </w:rPr>
  </w:style>
  <w:style w:type="character" w:customStyle="1" w:styleId="30">
    <w:name w:val="标题 3 Char"/>
    <w:link w:val="4"/>
    <w:qFormat/>
    <w:uiPriority w:val="9"/>
    <w:rPr>
      <w:rFonts w:ascii="宋体" w:hAnsi="Times New Roman" w:eastAsia="宋体" w:cs="Times New Roman"/>
      <w:b/>
      <w:bCs/>
      <w:sz w:val="32"/>
      <w:szCs w:val="32"/>
    </w:rPr>
  </w:style>
  <w:style w:type="character" w:customStyle="1" w:styleId="31">
    <w:name w:val="标题 2 Char"/>
    <w:link w:val="3"/>
    <w:qFormat/>
    <w:uiPriority w:val="0"/>
    <w:rPr>
      <w:rFonts w:ascii="宋体" w:hAnsi="Arial"/>
      <w:b/>
      <w:bCs/>
      <w:kern w:val="2"/>
      <w:sz w:val="24"/>
      <w:szCs w:val="32"/>
    </w:rPr>
  </w:style>
  <w:style w:type="character" w:customStyle="1" w:styleId="32">
    <w:name w:val="页眉 Char"/>
    <w:link w:val="14"/>
    <w:qFormat/>
    <w:uiPriority w:val="99"/>
    <w:rPr>
      <w:sz w:val="18"/>
      <w:szCs w:val="18"/>
    </w:rPr>
  </w:style>
  <w:style w:type="character" w:customStyle="1" w:styleId="33">
    <w:name w:val="批注框文本 Char"/>
    <w:link w:val="12"/>
    <w:semiHidden/>
    <w:qFormat/>
    <w:uiPriority w:val="99"/>
    <w:rPr>
      <w:rFonts w:ascii="宋体" w:hAnsi="Times New Roman" w:eastAsia="宋体" w:cs="Times New Roman"/>
      <w:sz w:val="18"/>
      <w:szCs w:val="18"/>
    </w:rPr>
  </w:style>
  <w:style w:type="character" w:customStyle="1" w:styleId="34">
    <w:name w:val="正文文字样式 Char Char"/>
    <w:link w:val="35"/>
    <w:qFormat/>
    <w:uiPriority w:val="0"/>
    <w:rPr>
      <w:rFonts w:ascii="Times New Roman" w:hAnsi="Times New Roman" w:eastAsia="宋体" w:cs="Times New Roman"/>
      <w:sz w:val="24"/>
      <w:szCs w:val="24"/>
    </w:rPr>
  </w:style>
  <w:style w:type="paragraph" w:customStyle="1" w:styleId="35">
    <w:name w:val="正文文字样式"/>
    <w:basedOn w:val="1"/>
    <w:link w:val="34"/>
    <w:qFormat/>
    <w:uiPriority w:val="0"/>
    <w:pPr>
      <w:spacing w:line="480" w:lineRule="atLeast"/>
      <w:ind w:firstLine="200" w:firstLineChars="200"/>
    </w:pPr>
    <w:rPr>
      <w:rFonts w:ascii="Times New Roman"/>
    </w:rPr>
  </w:style>
  <w:style w:type="character" w:customStyle="1" w:styleId="36">
    <w:name w:val="标题 5 Char"/>
    <w:link w:val="6"/>
    <w:qFormat/>
    <w:uiPriority w:val="9"/>
    <w:rPr>
      <w:rFonts w:ascii="宋体" w:hAnsi="Times New Roman" w:eastAsia="宋体" w:cs="Times New Roman"/>
      <w:b/>
      <w:bCs/>
      <w:sz w:val="28"/>
      <w:szCs w:val="28"/>
    </w:rPr>
  </w:style>
  <w:style w:type="character" w:customStyle="1" w:styleId="37">
    <w:name w:val="正文文本缩进 Char1"/>
    <w:semiHidden/>
    <w:qFormat/>
    <w:uiPriority w:val="99"/>
    <w:rPr>
      <w:rFonts w:ascii="宋体" w:hAnsi="Times New Roman" w:eastAsia="宋体" w:cs="Times New Roman"/>
      <w:sz w:val="24"/>
      <w:szCs w:val="24"/>
    </w:rPr>
  </w:style>
  <w:style w:type="character" w:customStyle="1" w:styleId="38">
    <w:name w:val="标题 4 Char"/>
    <w:link w:val="5"/>
    <w:qFormat/>
    <w:uiPriority w:val="9"/>
    <w:rPr>
      <w:rFonts w:ascii="Cambria" w:hAnsi="Cambria" w:eastAsia="宋体" w:cs="Times New Roman"/>
      <w:b/>
      <w:bCs/>
      <w:sz w:val="28"/>
      <w:szCs w:val="28"/>
    </w:rPr>
  </w:style>
  <w:style w:type="character" w:customStyle="1" w:styleId="39">
    <w:name w:val="正文文本缩进 Char"/>
    <w:link w:val="10"/>
    <w:qFormat/>
    <w:uiPriority w:val="0"/>
    <w:rPr>
      <w:lang w:eastAsia="zh-TW"/>
    </w:rPr>
  </w:style>
  <w:style w:type="character" w:customStyle="1" w:styleId="40">
    <w:name w:val="文档结构图 Char"/>
    <w:link w:val="8"/>
    <w:semiHidden/>
    <w:qFormat/>
    <w:uiPriority w:val="99"/>
    <w:rPr>
      <w:rFonts w:ascii="宋体" w:hAnsi="Times New Roman" w:eastAsia="宋体" w:cs="Times New Roman"/>
      <w:sz w:val="18"/>
      <w:szCs w:val="18"/>
    </w:rPr>
  </w:style>
  <w:style w:type="character" w:customStyle="1" w:styleId="41">
    <w:name w:val="正文缩进 Char"/>
    <w:link w:val="7"/>
    <w:qFormat/>
    <w:uiPriority w:val="0"/>
    <w:rPr>
      <w:sz w:val="24"/>
    </w:rPr>
  </w:style>
  <w:style w:type="paragraph" w:customStyle="1" w:styleId="42">
    <w:name w:val="List Paragraph1"/>
    <w:basedOn w:val="1"/>
    <w:qFormat/>
    <w:uiPriority w:val="34"/>
    <w:pPr>
      <w:ind w:firstLine="420" w:firstLineChars="200"/>
    </w:pPr>
  </w:style>
  <w:style w:type="paragraph" w:customStyle="1" w:styleId="43">
    <w:name w:val="目录or列表 标题"/>
    <w:basedOn w:val="1"/>
    <w:qFormat/>
    <w:uiPriority w:val="0"/>
    <w:pPr>
      <w:jc w:val="center"/>
    </w:pPr>
    <w:rPr>
      <w:rFonts w:ascii="Times New Roman" w:cs="宋体"/>
      <w:b/>
      <w:szCs w:val="20"/>
    </w:rPr>
  </w:style>
  <w:style w:type="paragraph" w:customStyle="1" w:styleId="44">
    <w:name w:val="样式2"/>
    <w:basedOn w:val="1"/>
    <w:qFormat/>
    <w:uiPriority w:val="0"/>
    <w:pPr>
      <w:numPr>
        <w:ilvl w:val="3"/>
        <w:numId w:val="1"/>
      </w:numPr>
    </w:pPr>
  </w:style>
  <w:style w:type="paragraph" w:styleId="45">
    <w:name w:val="No Spacing"/>
    <w:qFormat/>
    <w:uiPriority w:val="1"/>
    <w:pPr>
      <w:widowControl w:val="0"/>
      <w:jc w:val="both"/>
    </w:pPr>
    <w:rPr>
      <w:rFonts w:ascii="宋体"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Pages>
  <Words>916</Words>
  <Characters>5227</Characters>
  <Lines>43</Lines>
  <Paragraphs>12</Paragraphs>
  <TotalTime>14</TotalTime>
  <ScaleCrop>false</ScaleCrop>
  <LinksUpToDate>false</LinksUpToDate>
  <CharactersWithSpaces>6131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2017-04-09T07:55:00Z</dcterms:created>
  <dc:creator>黄斯旎</dc:creator>
  <cp:lastModifiedBy>wenwenze.hc</cp:lastModifiedBy>
  <dcterms:modified xsi:type="dcterms:W3CDTF">2024-04-23T07:23:10Z</dcterms:modified>
  <dc:title>2017-2018年信息维护及修理</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B264E3A4FB9C4E8DA9EC6961A797EF52_13</vt:lpwstr>
  </property>
</Properties>
</file>