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60288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1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default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  <w:t>房屋安全性评估报告编制业务</w:t>
      </w:r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  <w:t>技术规范书</w:t>
      </w:r>
      <w:bookmarkStart w:id="8" w:name="_GoBack"/>
      <w:bookmarkEnd w:id="8"/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>
      <w:pPr>
        <w:pStyle w:val="2"/>
        <w:rPr>
          <w:lang w:val="en-US"/>
        </w:rPr>
      </w:pPr>
    </w:p>
    <w:p>
      <w:pPr>
        <w:rPr>
          <w:lang w:val="en-US"/>
        </w:rPr>
      </w:pPr>
    </w:p>
    <w:p>
      <w:pPr>
        <w:pStyle w:val="2"/>
        <w:rPr>
          <w:lang w:val="en-US"/>
        </w:rPr>
      </w:pPr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default"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贵州电网有限责任铜仁思南供电局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48"/>
          <w:szCs w:val="48"/>
          <w:lang w:val="en-US" w:eastAsia="zh-CN" w:bidi="ar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2024年5月</w:t>
      </w:r>
      <w:r>
        <w:rPr>
          <w:rFonts w:hint="eastAsia" w:ascii="宋体" w:hAnsi="Calibri" w:eastAsia="黑体" w:cs="Times New Roman"/>
          <w:spacing w:val="10"/>
          <w:kern w:val="0"/>
          <w:sz w:val="48"/>
          <w:szCs w:val="48"/>
          <w:lang w:val="en-US" w:eastAsia="zh-CN" w:bidi="ar"/>
        </w:rPr>
        <w:t xml:space="preserve">                 </w:t>
      </w:r>
    </w:p>
    <w:p>
      <w:pPr>
        <w:autoSpaceDE w:val="0"/>
        <w:autoSpaceDN w:val="0"/>
        <w:adjustRightInd w:val="0"/>
        <w:spacing w:line="360" w:lineRule="auto"/>
        <w:jc w:val="center"/>
        <w:rPr>
          <w:rFonts w:hint="eastAsia" w:ascii="宋体" w:hAnsi="宋体" w:cs="黑体"/>
          <w:b/>
          <w:bCs/>
          <w:color w:val="000000"/>
          <w:kern w:val="0"/>
          <w:sz w:val="44"/>
          <w:szCs w:val="44"/>
          <w:highlight w:val="none"/>
          <w:u w:val="none" w:color="auto"/>
          <w:lang w:val="en-US" w:eastAsia="zh-CN"/>
        </w:rPr>
      </w:pPr>
    </w:p>
    <w:p>
      <w:pPr>
        <w:autoSpaceDE w:val="0"/>
        <w:autoSpaceDN w:val="0"/>
        <w:adjustRightInd w:val="0"/>
        <w:spacing w:line="360" w:lineRule="auto"/>
        <w:jc w:val="center"/>
        <w:rPr>
          <w:rFonts w:hint="eastAsia" w:ascii="宋体" w:hAnsi="宋体" w:cs="黑体"/>
          <w:b/>
          <w:bCs/>
          <w:color w:val="000000"/>
          <w:kern w:val="0"/>
          <w:sz w:val="44"/>
          <w:szCs w:val="44"/>
          <w:highlight w:val="none"/>
          <w:u w:val="none" w:color="auto"/>
          <w:lang w:val="en-US" w:eastAsia="zh-CN"/>
        </w:rPr>
      </w:pPr>
    </w:p>
    <w:p>
      <w:pPr>
        <w:autoSpaceDE w:val="0"/>
        <w:autoSpaceDN w:val="0"/>
        <w:adjustRightInd w:val="0"/>
        <w:spacing w:line="360" w:lineRule="auto"/>
        <w:jc w:val="center"/>
        <w:rPr>
          <w:rFonts w:hint="eastAsia" w:ascii="宋体" w:hAnsi="宋体" w:cs="黑体"/>
          <w:b/>
          <w:bCs/>
          <w:color w:val="000000"/>
          <w:kern w:val="0"/>
          <w:sz w:val="44"/>
          <w:szCs w:val="44"/>
          <w:highlight w:val="none"/>
          <w:u w:val="none" w:color="auto"/>
          <w:lang w:eastAsia="zh-CN"/>
        </w:rPr>
      </w:pPr>
      <w:r>
        <w:rPr>
          <w:rFonts w:hint="eastAsia" w:ascii="宋体" w:hAnsi="宋体" w:cs="黑体"/>
          <w:b/>
          <w:bCs/>
          <w:color w:val="000000"/>
          <w:kern w:val="0"/>
          <w:sz w:val="44"/>
          <w:szCs w:val="44"/>
          <w:highlight w:val="none"/>
          <w:u w:val="none" w:color="auto"/>
          <w:lang w:val="en-US" w:eastAsia="zh-CN"/>
        </w:rPr>
        <w:t>环</w:t>
      </w:r>
      <w:r>
        <w:rPr>
          <w:rFonts w:hint="eastAsia" w:ascii="宋体" w:hAnsi="宋体" w:cs="黑体"/>
          <w:b/>
          <w:bCs/>
          <w:color w:val="000000"/>
          <w:kern w:val="0"/>
          <w:sz w:val="44"/>
          <w:szCs w:val="44"/>
          <w:highlight w:val="none"/>
          <w:u w:val="none" w:color="auto"/>
        </w:rPr>
        <w:t>境影响评估报告编制及</w:t>
      </w:r>
      <w:r>
        <w:rPr>
          <w:rFonts w:hint="eastAsia" w:ascii="宋体" w:hAnsi="宋体" w:cs="黑体"/>
          <w:b/>
          <w:bCs/>
          <w:color w:val="000000"/>
          <w:kern w:val="0"/>
          <w:sz w:val="44"/>
          <w:szCs w:val="44"/>
          <w:highlight w:val="none"/>
          <w:u w:val="none" w:color="auto"/>
          <w:lang w:eastAsia="zh-CN"/>
        </w:rPr>
        <w:t>报批</w:t>
      </w:r>
    </w:p>
    <w:p>
      <w:pPr>
        <w:autoSpaceDE w:val="0"/>
        <w:autoSpaceDN w:val="0"/>
        <w:adjustRightInd w:val="0"/>
        <w:spacing w:line="360" w:lineRule="auto"/>
        <w:jc w:val="center"/>
        <w:rPr>
          <w:rFonts w:hint="eastAsia" w:ascii="宋体" w:hAnsi="宋体" w:eastAsia="宋体" w:cs="黑体"/>
          <w:b/>
          <w:bCs/>
          <w:color w:val="000000"/>
          <w:kern w:val="0"/>
          <w:sz w:val="44"/>
          <w:szCs w:val="44"/>
          <w:highlight w:val="none"/>
          <w:u w:val="none" w:color="auto"/>
          <w:lang w:eastAsia="zh-CN"/>
        </w:rPr>
      </w:pPr>
      <w:r>
        <w:rPr>
          <w:rFonts w:hint="eastAsia" w:ascii="宋体" w:hAnsi="宋体" w:cs="黑体"/>
          <w:b/>
          <w:bCs/>
          <w:color w:val="000000"/>
          <w:kern w:val="0"/>
          <w:sz w:val="44"/>
          <w:szCs w:val="44"/>
          <w:highlight w:val="none"/>
          <w:u w:val="none" w:color="auto"/>
          <w:lang w:eastAsia="zh-CN"/>
        </w:rPr>
        <w:t>技术规范书</w:t>
      </w:r>
    </w:p>
    <w:p>
      <w:pPr>
        <w:autoSpaceDE w:val="0"/>
        <w:autoSpaceDN w:val="0"/>
        <w:adjustRightInd w:val="0"/>
        <w:spacing w:line="360" w:lineRule="auto"/>
        <w:jc w:val="center"/>
        <w:rPr>
          <w:rFonts w:ascii="宋体" w:hAnsi="宋体" w:cs="黑体"/>
          <w:color w:val="000000"/>
          <w:kern w:val="0"/>
          <w:sz w:val="32"/>
          <w:szCs w:val="32"/>
          <w:highlight w:val="none"/>
          <w:u w:val="none" w:color="auto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textAlignment w:val="auto"/>
        <w:outlineLvl w:val="9"/>
        <w:rPr>
          <w:rFonts w:hint="eastAsia" w:ascii="宋体" w:hAnsi="宋体"/>
          <w:b/>
          <w:color w:val="000000"/>
          <w:sz w:val="28"/>
          <w:szCs w:val="28"/>
          <w:highlight w:val="none"/>
          <w:u w:val="none" w:color="auto"/>
          <w:lang w:eastAsia="zh-CN"/>
        </w:rPr>
      </w:pPr>
      <w:r>
        <w:rPr>
          <w:rFonts w:hint="eastAsia" w:ascii="宋体" w:hAnsi="宋体"/>
          <w:b/>
          <w:color w:val="000000"/>
          <w:sz w:val="28"/>
          <w:szCs w:val="28"/>
          <w:highlight w:val="none"/>
          <w:u w:val="none" w:color="auto"/>
          <w:lang w:eastAsia="zh-CN"/>
        </w:rPr>
        <w:t>项目概况：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ind w:firstLine="560" w:firstLineChars="200"/>
        <w:textAlignment w:val="auto"/>
        <w:outlineLvl w:val="9"/>
        <w:rPr>
          <w:rFonts w:hint="eastAsia" w:ascii="宋体" w:hAnsi="宋体"/>
          <w:b w:val="0"/>
          <w:bCs w:val="0"/>
          <w:sz w:val="28"/>
          <w:szCs w:val="28"/>
          <w:highlight w:val="none"/>
          <w:u w:val="none" w:color="auto"/>
          <w:lang w:val="en-US" w:eastAsia="zh-CN"/>
        </w:rPr>
      </w:pPr>
      <w:r>
        <w:rPr>
          <w:rFonts w:hint="eastAsia" w:ascii="宋体" w:hAnsi="宋体"/>
          <w:b w:val="0"/>
          <w:bCs/>
          <w:sz w:val="28"/>
          <w:szCs w:val="28"/>
          <w:highlight w:val="none"/>
          <w:u w:val="none" w:color="auto"/>
          <w:lang w:val="en-US" w:eastAsia="zh-CN"/>
        </w:rPr>
        <w:t>思南供电局凉水井供电所原办公楼存在地质滑坡隐患，已于2021年1月安置到新的过渡性办公场地，根据思府工议〔2023〕145号县政府专题会议要求，为积极配合县政府解决该历史遗留隐患问题，现需思南供电局督促第三方机构开展凉水井办公楼安全性评估工作。</w:t>
      </w:r>
    </w:p>
    <w:p>
      <w:pPr>
        <w:rPr>
          <w:rFonts w:ascii="宋体" w:hAnsi="宋体"/>
          <w:b/>
          <w:color w:val="000000"/>
          <w:sz w:val="28"/>
          <w:szCs w:val="28"/>
          <w:highlight w:val="none"/>
          <w:u w:val="none" w:color="auto"/>
        </w:rPr>
      </w:pPr>
      <w:r>
        <w:rPr>
          <w:rFonts w:hint="eastAsia" w:ascii="宋体" w:hAnsi="宋体"/>
          <w:b/>
          <w:color w:val="000000"/>
          <w:sz w:val="28"/>
          <w:szCs w:val="28"/>
          <w:highlight w:val="none"/>
          <w:u w:val="none" w:color="auto"/>
          <w:lang w:eastAsia="zh-CN"/>
        </w:rPr>
        <w:t>二</w:t>
      </w:r>
      <w:r>
        <w:rPr>
          <w:rFonts w:hint="eastAsia" w:ascii="宋体" w:hAnsi="宋体"/>
          <w:b/>
          <w:color w:val="000000"/>
          <w:sz w:val="28"/>
          <w:szCs w:val="28"/>
          <w:highlight w:val="none"/>
          <w:u w:val="none" w:color="auto"/>
        </w:rPr>
        <w:t>、报告编制依据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1、</w:t>
      </w:r>
      <w:r>
        <w:rPr>
          <w:rFonts w:hint="eastAsia" w:ascii="宋体" w:hAnsi="宋体" w:eastAsia="宋体" w:cs="宋体"/>
          <w:sz w:val="28"/>
          <w:szCs w:val="28"/>
        </w:rPr>
        <w:t>《民用建筑可靠性鉴定标准》(GB 50292-2015)；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2、</w:t>
      </w:r>
      <w:r>
        <w:rPr>
          <w:rFonts w:hint="eastAsia" w:ascii="宋体" w:hAnsi="宋体" w:eastAsia="宋体" w:cs="宋体"/>
          <w:sz w:val="28"/>
          <w:szCs w:val="28"/>
        </w:rPr>
        <w:t>《建筑结构检测技术标准》(GB/T 50344-2019)；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3、</w:t>
      </w:r>
      <w:r>
        <w:rPr>
          <w:rFonts w:hint="eastAsia" w:ascii="宋体" w:hAnsi="宋体" w:eastAsia="宋体" w:cs="宋体"/>
          <w:sz w:val="28"/>
          <w:szCs w:val="28"/>
        </w:rPr>
        <w:t>《混凝土结构设计规范》(GB 50010-201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0</w:t>
      </w:r>
      <w:r>
        <w:rPr>
          <w:rFonts w:hint="eastAsia" w:ascii="宋体" w:hAnsi="宋体" w:eastAsia="宋体" w:cs="宋体"/>
          <w:sz w:val="28"/>
          <w:szCs w:val="28"/>
        </w:rPr>
        <w:t>)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2015</w:t>
      </w:r>
      <w:r>
        <w:rPr>
          <w:rFonts w:hint="eastAsia" w:ascii="宋体" w:hAnsi="宋体" w:eastAsia="宋体" w:cs="宋体"/>
          <w:sz w:val="28"/>
          <w:szCs w:val="28"/>
        </w:rPr>
        <w:t>版；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4、</w:t>
      </w:r>
      <w:r>
        <w:rPr>
          <w:rFonts w:hint="eastAsia" w:ascii="宋体" w:hAnsi="宋体" w:eastAsia="宋体" w:cs="宋体"/>
          <w:sz w:val="28"/>
          <w:szCs w:val="28"/>
        </w:rPr>
        <w:t>《混凝土中钢筋检测技术标准》(JGJ/T 152-2019)；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5、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《混凝土结构工程施工质量验收规范》(GB 50204-2015)；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outlineLvl w:val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bookmarkStart w:id="0" w:name="_Toc28362"/>
      <w:bookmarkStart w:id="1" w:name="_Toc30116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6、</w:t>
      </w:r>
      <w:r>
        <w:rPr>
          <w:rFonts w:hint="eastAsia" w:ascii="宋体" w:hAnsi="宋体" w:eastAsia="宋体" w:cs="宋体"/>
          <w:sz w:val="28"/>
          <w:szCs w:val="28"/>
        </w:rPr>
        <w:t>《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砌体结构设计规范</w:t>
      </w:r>
      <w:r>
        <w:rPr>
          <w:rFonts w:hint="eastAsia" w:ascii="宋体" w:hAnsi="宋体" w:eastAsia="宋体" w:cs="宋体"/>
          <w:sz w:val="28"/>
          <w:szCs w:val="28"/>
        </w:rPr>
        <w:t>》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(</w:t>
      </w:r>
      <w:r>
        <w:rPr>
          <w:rFonts w:hint="eastAsia" w:ascii="宋体" w:hAnsi="宋体" w:eastAsia="宋体" w:cs="宋体"/>
          <w:sz w:val="28"/>
          <w:szCs w:val="28"/>
        </w:rPr>
        <w:t>GB 50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003</w:t>
      </w:r>
      <w:r>
        <w:rPr>
          <w:rFonts w:hint="eastAsia" w:ascii="宋体" w:hAnsi="宋体" w:eastAsia="宋体" w:cs="宋体"/>
          <w:sz w:val="28"/>
          <w:szCs w:val="28"/>
        </w:rPr>
        <w:t>-201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1)；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outlineLvl w:val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bookmarkStart w:id="2" w:name="_Toc8367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7、</w:t>
      </w:r>
      <w:r>
        <w:rPr>
          <w:rFonts w:hint="eastAsia" w:ascii="宋体" w:hAnsi="宋体" w:eastAsia="宋体" w:cs="宋体"/>
          <w:sz w:val="28"/>
          <w:szCs w:val="28"/>
        </w:rPr>
        <w:t>《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建筑结构荷载规范</w:t>
      </w:r>
      <w:r>
        <w:rPr>
          <w:rFonts w:hint="eastAsia" w:ascii="宋体" w:hAnsi="宋体" w:eastAsia="宋体" w:cs="宋体"/>
          <w:sz w:val="28"/>
          <w:szCs w:val="28"/>
        </w:rPr>
        <w:t>》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(</w:t>
      </w:r>
      <w:r>
        <w:rPr>
          <w:rFonts w:hint="eastAsia" w:ascii="宋体" w:hAnsi="宋体" w:eastAsia="宋体" w:cs="宋体"/>
          <w:sz w:val="28"/>
          <w:szCs w:val="28"/>
        </w:rPr>
        <w:t>GB 50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009</w:t>
      </w:r>
      <w:r>
        <w:rPr>
          <w:rFonts w:hint="eastAsia" w:ascii="宋体" w:hAnsi="宋体" w:eastAsia="宋体" w:cs="宋体"/>
          <w:sz w:val="28"/>
          <w:szCs w:val="28"/>
        </w:rPr>
        <w:t>-201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2)；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outlineLvl w:val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8、《既有建筑鉴定与加固通用规范》(GB 55021-2021)；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outlineLvl w:val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9、</w:t>
      </w:r>
      <w:r>
        <w:rPr>
          <w:rFonts w:hint="eastAsia" w:ascii="宋体" w:hAnsi="宋体" w:eastAsia="宋体" w:cs="宋体"/>
          <w:sz w:val="28"/>
          <w:szCs w:val="28"/>
        </w:rPr>
        <w:t>《贯入法检测砌筑砂浆抗压强度技术规程》(JGJ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/</w:t>
      </w:r>
      <w:r>
        <w:rPr>
          <w:rFonts w:hint="eastAsia" w:ascii="宋体" w:hAnsi="宋体" w:eastAsia="宋体" w:cs="宋体"/>
          <w:sz w:val="28"/>
          <w:szCs w:val="28"/>
        </w:rPr>
        <w:t>T 136-2017)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outlineLvl w:val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10、《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fldChar w:fldCharType="begin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instrText xml:space="preserve"> HYPERLINK "http://www.jianbiaoku.com/webarbs/book/70645/1402570.shtml" \o "回弹仪评定烧结普通砖强度等级的方法JC/T 796-2013" \t "http://s.jianbiaoku.com/sou/?module=criterion&amp;keyword=JC/_blank" </w:instrTex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fldChar w:fldCharType="separate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混凝土实心砖》(G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fldChar w:fldCharType="end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B/T21144-2023)；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outlineLvl w:val="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11、《砌墙砖试验方法》(GB/T2542-2012)；</w:t>
      </w:r>
    </w:p>
    <w:p>
      <w:pPr>
        <w:spacing w:line="360" w:lineRule="auto"/>
        <w:ind w:firstLine="280" w:firstLineChars="100"/>
        <w:outlineLvl w:val="0"/>
        <w:rPr>
          <w:rFonts w:hint="eastAsia" w:ascii="宋体" w:hAnsi="宋体"/>
          <w:color w:val="000000"/>
          <w:sz w:val="28"/>
          <w:szCs w:val="28"/>
          <w:highlight w:val="none"/>
          <w:u w:val="none" w:color="auto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12、</w:t>
      </w:r>
      <w:r>
        <w:rPr>
          <w:rFonts w:hint="eastAsia" w:ascii="宋体" w:hAnsi="宋体" w:eastAsia="宋体" w:cs="宋体"/>
          <w:sz w:val="28"/>
          <w:szCs w:val="28"/>
        </w:rPr>
        <w:t>其它有关的国家检测标准、规范、规程。</w:t>
      </w:r>
      <w:bookmarkEnd w:id="1"/>
      <w:bookmarkEnd w:id="2"/>
    </w:p>
    <w:p>
      <w:pPr>
        <w:rPr>
          <w:rFonts w:ascii="宋体" w:hAnsi="宋体"/>
          <w:b/>
          <w:color w:val="000000"/>
          <w:sz w:val="28"/>
          <w:szCs w:val="28"/>
          <w:highlight w:val="none"/>
          <w:u w:val="none" w:color="auto"/>
        </w:rPr>
      </w:pPr>
      <w:r>
        <w:rPr>
          <w:rFonts w:hint="eastAsia" w:ascii="宋体" w:hAnsi="宋体"/>
          <w:b/>
          <w:color w:val="000000"/>
          <w:sz w:val="28"/>
          <w:szCs w:val="28"/>
          <w:highlight w:val="none"/>
          <w:u w:val="none" w:color="auto"/>
          <w:lang w:eastAsia="zh-CN"/>
        </w:rPr>
        <w:t>三</w:t>
      </w:r>
      <w:r>
        <w:rPr>
          <w:rFonts w:hint="eastAsia" w:ascii="宋体" w:hAnsi="宋体"/>
          <w:b/>
          <w:color w:val="000000"/>
          <w:sz w:val="28"/>
          <w:szCs w:val="28"/>
          <w:highlight w:val="none"/>
          <w:u w:val="none" w:color="auto"/>
        </w:rPr>
        <w:t>、拟编制报告的提纲目录</w:t>
      </w:r>
    </w:p>
    <w:p>
      <w:pPr>
        <w:ind w:firstLine="560" w:firstLineChars="200"/>
        <w:rPr>
          <w:rFonts w:hint="eastAsia" w:ascii="宋体" w:hAnsi="宋体"/>
          <w:color w:val="auto"/>
          <w:sz w:val="28"/>
          <w:szCs w:val="28"/>
          <w:highlight w:val="none"/>
          <w:u w:val="none" w:color="auto"/>
          <w:lang w:val="en-US" w:eastAsia="zh-CN"/>
        </w:rPr>
      </w:pPr>
      <w:r>
        <w:rPr>
          <w:rFonts w:hint="eastAsia" w:ascii="宋体" w:hAnsi="宋体"/>
          <w:color w:val="auto"/>
          <w:sz w:val="28"/>
          <w:szCs w:val="28"/>
          <w:highlight w:val="none"/>
          <w:u w:val="none" w:color="auto"/>
          <w:lang w:val="en-US" w:eastAsia="zh-CN"/>
        </w:rPr>
        <w:t>1、地基基础检测</w:t>
      </w:r>
    </w:p>
    <w:p>
      <w:pPr>
        <w:ind w:firstLine="560" w:firstLineChars="200"/>
        <w:rPr>
          <w:rFonts w:hint="eastAsia" w:ascii="宋体" w:hAnsi="宋体"/>
          <w:color w:val="auto"/>
          <w:sz w:val="28"/>
          <w:szCs w:val="28"/>
          <w:highlight w:val="none"/>
          <w:u w:val="none" w:color="auto"/>
          <w:lang w:val="en-US" w:eastAsia="zh-CN"/>
        </w:rPr>
      </w:pPr>
      <w:r>
        <w:rPr>
          <w:rFonts w:hint="eastAsia" w:ascii="宋体" w:hAnsi="宋体"/>
          <w:color w:val="auto"/>
          <w:sz w:val="28"/>
          <w:szCs w:val="28"/>
          <w:highlight w:val="none"/>
          <w:u w:val="none" w:color="auto"/>
          <w:lang w:val="en-US" w:eastAsia="zh-CN"/>
        </w:rPr>
        <w:t>2、主体结构检测</w:t>
      </w:r>
    </w:p>
    <w:p>
      <w:pPr>
        <w:ind w:firstLine="560" w:firstLineChars="200"/>
        <w:rPr>
          <w:rFonts w:hint="eastAsia" w:ascii="宋体" w:hAnsi="宋体"/>
          <w:color w:val="auto"/>
          <w:sz w:val="28"/>
          <w:szCs w:val="28"/>
          <w:highlight w:val="none"/>
          <w:u w:val="none" w:color="auto"/>
          <w:lang w:val="en-US" w:eastAsia="zh-CN"/>
        </w:rPr>
      </w:pPr>
      <w:r>
        <w:rPr>
          <w:rFonts w:hint="eastAsia" w:ascii="宋体" w:hAnsi="宋体"/>
          <w:color w:val="auto"/>
          <w:sz w:val="28"/>
          <w:szCs w:val="28"/>
          <w:highlight w:val="none"/>
          <w:u w:val="none" w:color="auto"/>
          <w:lang w:val="en-US" w:eastAsia="zh-CN"/>
        </w:rPr>
        <w:t>3、构件安全性鉴定评级</w:t>
      </w:r>
    </w:p>
    <w:p>
      <w:pPr>
        <w:ind w:firstLine="560" w:firstLineChars="200"/>
        <w:rPr>
          <w:rFonts w:hint="eastAsia" w:ascii="宋体" w:hAnsi="宋体"/>
          <w:color w:val="auto"/>
          <w:sz w:val="28"/>
          <w:szCs w:val="28"/>
          <w:highlight w:val="none"/>
          <w:u w:val="none" w:color="auto"/>
          <w:lang w:val="en-US" w:eastAsia="zh-CN"/>
        </w:rPr>
      </w:pPr>
      <w:r>
        <w:rPr>
          <w:rFonts w:hint="eastAsia" w:ascii="宋体" w:hAnsi="宋体"/>
          <w:color w:val="auto"/>
          <w:sz w:val="28"/>
          <w:szCs w:val="28"/>
          <w:highlight w:val="none"/>
          <w:u w:val="none" w:color="auto"/>
          <w:lang w:val="en-US" w:eastAsia="zh-CN"/>
        </w:rPr>
        <w:t>4、子单元安全性鉴定评级</w:t>
      </w:r>
    </w:p>
    <w:p>
      <w:pPr>
        <w:ind w:firstLine="560" w:firstLineChars="200"/>
        <w:rPr>
          <w:rFonts w:hint="default" w:ascii="宋体" w:hAnsi="宋体"/>
          <w:color w:val="auto"/>
          <w:sz w:val="28"/>
          <w:szCs w:val="28"/>
          <w:highlight w:val="none"/>
          <w:u w:val="none" w:color="auto"/>
          <w:lang w:val="en-US" w:eastAsia="zh-CN"/>
        </w:rPr>
      </w:pPr>
      <w:r>
        <w:rPr>
          <w:rFonts w:hint="eastAsia" w:ascii="宋体" w:hAnsi="宋体"/>
          <w:color w:val="auto"/>
          <w:sz w:val="28"/>
          <w:szCs w:val="28"/>
          <w:highlight w:val="none"/>
          <w:u w:val="none" w:color="auto"/>
          <w:lang w:val="en-US" w:eastAsia="zh-CN"/>
        </w:rPr>
        <w:t>5、鉴定结论</w:t>
      </w:r>
    </w:p>
    <w:p>
      <w:pPr>
        <w:rPr>
          <w:rFonts w:hint="eastAsia" w:ascii="宋体" w:hAnsi="宋体"/>
          <w:b/>
          <w:color w:val="000000"/>
          <w:sz w:val="28"/>
          <w:szCs w:val="28"/>
          <w:highlight w:val="none"/>
          <w:u w:val="none" w:color="auto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8"/>
          <w:highlight w:val="none"/>
          <w:u w:val="none" w:color="auto"/>
          <w:lang w:eastAsia="zh-CN"/>
        </w:rPr>
        <w:t>四</w:t>
      </w:r>
      <w:r>
        <w:rPr>
          <w:rFonts w:hint="eastAsia" w:ascii="宋体" w:hAnsi="宋体"/>
          <w:b/>
          <w:color w:val="000000"/>
          <w:sz w:val="28"/>
          <w:szCs w:val="28"/>
          <w:highlight w:val="none"/>
          <w:u w:val="none" w:color="auto"/>
        </w:rPr>
        <w:t>、</w:t>
      </w:r>
      <w:r>
        <w:rPr>
          <w:rFonts w:hint="eastAsia" w:ascii="宋体" w:hAnsi="宋体"/>
          <w:b/>
          <w:color w:val="000000"/>
          <w:sz w:val="28"/>
          <w:szCs w:val="28"/>
          <w:highlight w:val="none"/>
          <w:u w:val="none" w:color="auto"/>
          <w:lang w:val="en-US" w:eastAsia="zh-CN"/>
        </w:rPr>
        <w:t>项目实施各阶段主要内容及进度计划安排、实施方案</w:t>
      </w:r>
    </w:p>
    <w:p>
      <w:pPr>
        <w:ind w:firstLine="560" w:firstLineChars="200"/>
        <w:rPr>
          <w:rFonts w:hint="default" w:ascii="宋体" w:hAnsi="宋体" w:eastAsia="宋体"/>
          <w:color w:val="auto"/>
          <w:sz w:val="28"/>
          <w:szCs w:val="28"/>
          <w:highlight w:val="none"/>
          <w:u w:val="none" w:color="auto"/>
          <w:lang w:val="en-US" w:eastAsia="zh-CN"/>
        </w:rPr>
      </w:pPr>
      <w:bookmarkStart w:id="3" w:name="_Toc4849"/>
      <w:r>
        <w:rPr>
          <w:rFonts w:hint="eastAsia" w:ascii="宋体" w:hAnsi="宋体" w:eastAsia="宋体"/>
          <w:color w:val="auto"/>
          <w:sz w:val="28"/>
          <w:szCs w:val="28"/>
          <w:highlight w:val="none"/>
          <w:u w:val="none" w:color="auto"/>
          <w:lang w:val="en-US" w:eastAsia="zh-CN"/>
        </w:rPr>
        <w:t>1、现场工作阶段</w:t>
      </w:r>
    </w:p>
    <w:p>
      <w:pPr>
        <w:ind w:firstLine="560" w:firstLineChars="200"/>
        <w:rPr>
          <w:rFonts w:hint="eastAsia" w:ascii="宋体" w:hAnsi="宋体" w:eastAsia="宋体"/>
          <w:color w:val="auto"/>
          <w:sz w:val="28"/>
          <w:szCs w:val="28"/>
          <w:highlight w:val="none"/>
          <w:u w:val="none" w:color="auto"/>
          <w:lang w:val="en-US" w:eastAsia="zh-CN"/>
        </w:rPr>
      </w:pPr>
      <w:r>
        <w:rPr>
          <w:rFonts w:hint="eastAsia" w:ascii="宋体" w:hAnsi="宋体" w:eastAsia="宋体"/>
          <w:color w:val="auto"/>
          <w:sz w:val="28"/>
          <w:szCs w:val="28"/>
          <w:highlight w:val="none"/>
          <w:u w:val="none" w:color="auto"/>
          <w:lang w:val="en-US" w:eastAsia="zh-CN"/>
        </w:rPr>
        <w:t>（1）砌筑砖强度</w:t>
      </w:r>
      <w:bookmarkEnd w:id="3"/>
    </w:p>
    <w:p>
      <w:pPr>
        <w:ind w:firstLine="560" w:firstLineChars="200"/>
        <w:rPr>
          <w:rFonts w:hint="eastAsia" w:ascii="宋体" w:hAnsi="宋体" w:eastAsia="宋体"/>
          <w:color w:val="auto"/>
          <w:sz w:val="28"/>
          <w:szCs w:val="28"/>
          <w:highlight w:val="none"/>
          <w:u w:val="none" w:color="auto"/>
          <w:lang w:val="en-US" w:eastAsia="zh-CN"/>
        </w:rPr>
      </w:pPr>
      <w:r>
        <w:rPr>
          <w:rFonts w:hint="eastAsia" w:ascii="宋体" w:hAnsi="宋体" w:eastAsia="宋体"/>
          <w:color w:val="auto"/>
          <w:sz w:val="28"/>
          <w:szCs w:val="28"/>
          <w:highlight w:val="none"/>
          <w:u w:val="none" w:color="auto"/>
          <w:lang w:val="en-US" w:eastAsia="zh-CN"/>
        </w:rPr>
        <w:t>每层按一个批次随机抽取1组（10块）砌筑用砖进行强度检测。依据《混凝土实心砖》GB／T21144-2007规定：“混凝土实心砖每10万块为一批，不足10万块亦为一批”。</w:t>
      </w:r>
      <w:bookmarkStart w:id="4" w:name="_Toc13753"/>
    </w:p>
    <w:p>
      <w:pPr>
        <w:ind w:firstLine="560" w:firstLineChars="200"/>
        <w:rPr>
          <w:rFonts w:hint="eastAsia" w:ascii="宋体" w:hAnsi="宋体" w:eastAsia="宋体"/>
          <w:color w:val="auto"/>
          <w:sz w:val="28"/>
          <w:szCs w:val="28"/>
          <w:highlight w:val="none"/>
          <w:u w:val="none" w:color="auto"/>
          <w:lang w:val="en-US" w:eastAsia="zh-CN"/>
        </w:rPr>
      </w:pPr>
      <w:r>
        <w:rPr>
          <w:rFonts w:hint="eastAsia" w:ascii="宋体" w:hAnsi="宋体" w:eastAsia="宋体"/>
          <w:color w:val="auto"/>
          <w:sz w:val="28"/>
          <w:szCs w:val="28"/>
          <w:highlight w:val="none"/>
          <w:u w:val="none" w:color="auto"/>
          <w:lang w:val="en-US" w:eastAsia="zh-CN"/>
        </w:rPr>
        <w:t>（2）砌筑砂浆强度</w:t>
      </w:r>
      <w:bookmarkEnd w:id="4"/>
    </w:p>
    <w:p>
      <w:pPr>
        <w:ind w:firstLine="560" w:firstLineChars="200"/>
        <w:rPr>
          <w:rFonts w:hint="eastAsia" w:ascii="宋体" w:hAnsi="宋体" w:eastAsia="宋体"/>
          <w:color w:val="auto"/>
          <w:sz w:val="28"/>
          <w:szCs w:val="28"/>
          <w:highlight w:val="none"/>
          <w:u w:val="none" w:color="auto"/>
          <w:lang w:val="en-US" w:eastAsia="zh-CN"/>
        </w:rPr>
      </w:pPr>
      <w:r>
        <w:rPr>
          <w:rFonts w:hint="eastAsia" w:ascii="宋体" w:hAnsi="宋体" w:eastAsia="宋体"/>
          <w:color w:val="auto"/>
          <w:sz w:val="28"/>
          <w:szCs w:val="28"/>
          <w:highlight w:val="none"/>
          <w:u w:val="none" w:color="auto"/>
          <w:lang w:val="en-US" w:eastAsia="zh-CN"/>
        </w:rPr>
        <w:t>采用砂浆贯入法对每层抽取承重墙体砂浆强度进行检测。依据《贯入法检测山砂砌筑抗压强度》（DB 22/41-2004）规定：“不少于砌体总构件数30％</w:t>
      </w:r>
      <w:r>
        <w:rPr>
          <w:rFonts w:hint="default" w:ascii="宋体" w:hAnsi="宋体" w:eastAsia="宋体"/>
          <w:color w:val="auto"/>
          <w:sz w:val="28"/>
          <w:szCs w:val="28"/>
          <w:highlight w:val="none"/>
          <w:u w:val="none" w:color="auto"/>
          <w:lang w:val="en-US" w:eastAsia="zh-CN"/>
        </w:rPr>
        <w:t>”</w:t>
      </w:r>
      <w:r>
        <w:rPr>
          <w:rFonts w:hint="eastAsia" w:ascii="宋体" w:hAnsi="宋体" w:eastAsia="宋体"/>
          <w:color w:val="auto"/>
          <w:sz w:val="28"/>
          <w:szCs w:val="28"/>
          <w:highlight w:val="none"/>
          <w:u w:val="none" w:color="auto"/>
          <w:lang w:val="en-US" w:eastAsia="zh-CN"/>
        </w:rPr>
        <w:t>。</w:t>
      </w:r>
      <w:bookmarkStart w:id="5" w:name="_Toc19703"/>
    </w:p>
    <w:p>
      <w:pPr>
        <w:ind w:firstLine="560" w:firstLineChars="200"/>
        <w:rPr>
          <w:rFonts w:hint="eastAsia" w:ascii="宋体" w:hAnsi="宋体" w:eastAsia="宋体"/>
          <w:color w:val="auto"/>
          <w:sz w:val="28"/>
          <w:szCs w:val="28"/>
          <w:highlight w:val="none"/>
          <w:u w:val="none" w:color="auto"/>
          <w:lang w:val="en-US" w:eastAsia="zh-CN"/>
        </w:rPr>
      </w:pPr>
      <w:r>
        <w:rPr>
          <w:rFonts w:hint="eastAsia" w:ascii="宋体" w:hAnsi="宋体" w:eastAsia="宋体"/>
          <w:color w:val="auto"/>
          <w:sz w:val="28"/>
          <w:szCs w:val="28"/>
          <w:highlight w:val="none"/>
          <w:u w:val="none" w:color="auto"/>
          <w:lang w:val="en-US" w:eastAsia="zh-CN"/>
        </w:rPr>
        <w:t>（3）侧向位移检测</w:t>
      </w:r>
      <w:bookmarkEnd w:id="5"/>
    </w:p>
    <w:p>
      <w:pPr>
        <w:ind w:firstLine="560" w:firstLineChars="200"/>
        <w:rPr>
          <w:rFonts w:hint="eastAsia" w:ascii="宋体" w:hAnsi="宋体" w:eastAsia="宋体"/>
          <w:color w:val="auto"/>
          <w:sz w:val="28"/>
          <w:szCs w:val="28"/>
          <w:highlight w:val="none"/>
          <w:u w:val="none" w:color="auto"/>
          <w:lang w:val="en-US" w:eastAsia="zh-CN"/>
        </w:rPr>
      </w:pPr>
      <w:r>
        <w:rPr>
          <w:rFonts w:hint="eastAsia" w:ascii="宋体" w:hAnsi="宋体" w:eastAsia="宋体"/>
          <w:color w:val="auto"/>
          <w:sz w:val="28"/>
          <w:szCs w:val="28"/>
          <w:highlight w:val="none"/>
          <w:u w:val="none" w:color="auto"/>
          <w:lang w:val="en-US" w:eastAsia="zh-CN"/>
        </w:rPr>
        <w:t>采用全站仪对建筑单体外角侧向位移进行测量检测。依据《民用建筑可靠性鉴定标准》（GB 50292-2015）7.3.10条的规定进行评定</w:t>
      </w:r>
      <w:bookmarkStart w:id="6" w:name="_Toc1963"/>
      <w:r>
        <w:rPr>
          <w:rFonts w:hint="eastAsia" w:ascii="宋体" w:hAnsi="宋体" w:eastAsia="宋体"/>
          <w:color w:val="auto"/>
          <w:sz w:val="28"/>
          <w:szCs w:val="28"/>
          <w:highlight w:val="none"/>
          <w:u w:val="none" w:color="auto"/>
          <w:lang w:val="en-US" w:eastAsia="zh-CN"/>
        </w:rPr>
        <w:t>。</w:t>
      </w:r>
    </w:p>
    <w:p>
      <w:pPr>
        <w:ind w:firstLine="560" w:firstLineChars="200"/>
        <w:rPr>
          <w:rFonts w:hint="eastAsia" w:ascii="宋体" w:hAnsi="宋体" w:eastAsia="宋体"/>
          <w:color w:val="auto"/>
          <w:sz w:val="28"/>
          <w:szCs w:val="28"/>
          <w:highlight w:val="none"/>
          <w:u w:val="none" w:color="auto"/>
          <w:lang w:val="en-US" w:eastAsia="zh-CN"/>
        </w:rPr>
      </w:pPr>
      <w:r>
        <w:rPr>
          <w:rFonts w:hint="eastAsia" w:ascii="宋体" w:hAnsi="宋体" w:eastAsia="宋体"/>
          <w:color w:val="auto"/>
          <w:sz w:val="28"/>
          <w:szCs w:val="28"/>
          <w:highlight w:val="none"/>
          <w:u w:val="none" w:color="auto"/>
          <w:lang w:val="en-US" w:eastAsia="zh-CN"/>
        </w:rPr>
        <w:t>（4）连接及构造</w:t>
      </w:r>
      <w:bookmarkEnd w:id="6"/>
    </w:p>
    <w:p>
      <w:pPr>
        <w:ind w:firstLine="560" w:firstLineChars="200"/>
        <w:rPr>
          <w:rFonts w:hint="eastAsia" w:ascii="宋体" w:hAnsi="宋体" w:eastAsia="宋体"/>
          <w:color w:val="auto"/>
          <w:sz w:val="28"/>
          <w:szCs w:val="28"/>
          <w:highlight w:val="none"/>
          <w:u w:val="none" w:color="auto"/>
          <w:lang w:val="en-US" w:eastAsia="zh-CN"/>
        </w:rPr>
      </w:pPr>
      <w:r>
        <w:rPr>
          <w:rFonts w:hint="eastAsia" w:ascii="宋体" w:hAnsi="宋体" w:eastAsia="宋体"/>
          <w:color w:val="auto"/>
          <w:sz w:val="28"/>
          <w:szCs w:val="28"/>
          <w:highlight w:val="none"/>
          <w:u w:val="none" w:color="auto"/>
          <w:lang w:val="en-US" w:eastAsia="zh-CN"/>
        </w:rPr>
        <w:t>根据设计图纸及相关规范要求，检查砌体结构的布置和构造、连接等情况。</w:t>
      </w:r>
    </w:p>
    <w:p>
      <w:pPr>
        <w:ind w:firstLine="560" w:firstLineChars="200"/>
        <w:rPr>
          <w:rFonts w:hint="eastAsia" w:ascii="宋体" w:hAnsi="宋体" w:eastAsia="宋体"/>
          <w:color w:val="auto"/>
          <w:sz w:val="28"/>
          <w:szCs w:val="28"/>
          <w:highlight w:val="none"/>
          <w:u w:val="none" w:color="auto"/>
          <w:lang w:val="en-US" w:eastAsia="zh-CN"/>
        </w:rPr>
      </w:pPr>
      <w:bookmarkStart w:id="7" w:name="_Toc6327"/>
      <w:r>
        <w:rPr>
          <w:rFonts w:hint="eastAsia" w:ascii="宋体" w:hAnsi="宋体" w:eastAsia="宋体"/>
          <w:color w:val="auto"/>
          <w:sz w:val="28"/>
          <w:szCs w:val="28"/>
          <w:highlight w:val="none"/>
          <w:u w:val="none" w:color="auto"/>
          <w:lang w:val="en-US" w:eastAsia="zh-CN"/>
        </w:rPr>
        <w:t>（5）裂缝</w:t>
      </w:r>
      <w:bookmarkEnd w:id="7"/>
    </w:p>
    <w:p>
      <w:pPr>
        <w:ind w:firstLine="560" w:firstLineChars="200"/>
        <w:rPr>
          <w:rFonts w:hint="eastAsia" w:ascii="宋体" w:hAnsi="宋体" w:eastAsia="宋体"/>
          <w:color w:val="auto"/>
          <w:sz w:val="28"/>
          <w:szCs w:val="28"/>
          <w:highlight w:val="none"/>
          <w:u w:val="none" w:color="auto"/>
          <w:lang w:val="en-US" w:eastAsia="zh-CN"/>
        </w:rPr>
      </w:pPr>
      <w:r>
        <w:rPr>
          <w:rFonts w:hint="eastAsia" w:ascii="宋体" w:hAnsi="宋体" w:eastAsia="宋体"/>
          <w:color w:val="auto"/>
          <w:sz w:val="28"/>
          <w:szCs w:val="28"/>
          <w:highlight w:val="none"/>
          <w:u w:val="none" w:color="auto"/>
          <w:lang w:val="en-US" w:eastAsia="zh-CN"/>
        </w:rPr>
        <w:t xml:space="preserve"> 采用裂缝测宽仪、钢尺及目测的方法对墙体全数进行裂缝检测，包括裂缝的位置、长度、宽度、形态、是否贯通等特征进行描述。</w:t>
      </w:r>
    </w:p>
    <w:p>
      <w:pPr>
        <w:ind w:firstLine="560" w:firstLineChars="200"/>
        <w:rPr>
          <w:rFonts w:hint="eastAsia" w:ascii="宋体" w:hAnsi="宋体" w:eastAsia="宋体"/>
          <w:color w:val="auto"/>
          <w:sz w:val="28"/>
          <w:szCs w:val="28"/>
          <w:highlight w:val="none"/>
          <w:u w:val="none" w:color="auto"/>
          <w:lang w:val="en-US" w:eastAsia="zh-CN"/>
        </w:rPr>
      </w:pPr>
      <w:r>
        <w:rPr>
          <w:rFonts w:hint="eastAsia" w:ascii="宋体" w:hAnsi="宋体" w:eastAsia="宋体"/>
          <w:color w:val="auto"/>
          <w:sz w:val="28"/>
          <w:szCs w:val="28"/>
          <w:highlight w:val="none"/>
          <w:u w:val="none" w:color="auto"/>
          <w:lang w:val="en-US" w:eastAsia="zh-CN"/>
        </w:rPr>
        <w:t>2、报告编制阶段</w:t>
      </w:r>
    </w:p>
    <w:p>
      <w:pPr>
        <w:ind w:firstLine="560" w:firstLineChars="200"/>
        <w:rPr>
          <w:rFonts w:hint="eastAsia" w:ascii="宋体" w:hAnsi="宋体" w:eastAsia="宋体"/>
          <w:color w:val="auto"/>
          <w:sz w:val="28"/>
          <w:szCs w:val="28"/>
          <w:highlight w:val="none"/>
          <w:u w:val="none" w:color="auto"/>
          <w:lang w:val="en-US" w:eastAsia="zh-CN"/>
        </w:rPr>
      </w:pPr>
      <w:r>
        <w:rPr>
          <w:rFonts w:hint="eastAsia" w:ascii="宋体" w:hAnsi="宋体" w:eastAsia="宋体"/>
          <w:color w:val="auto"/>
          <w:sz w:val="28"/>
          <w:szCs w:val="28"/>
          <w:highlight w:val="none"/>
          <w:u w:val="none" w:color="auto"/>
          <w:lang w:val="en-US" w:eastAsia="zh-CN"/>
        </w:rPr>
        <w:t>（1）构件安全性鉴定评级</w:t>
      </w:r>
    </w:p>
    <w:p>
      <w:pPr>
        <w:ind w:firstLine="560" w:firstLineChars="200"/>
        <w:rPr>
          <w:rFonts w:hint="default" w:ascii="宋体" w:hAnsi="宋体" w:eastAsia="宋体"/>
          <w:color w:val="auto"/>
          <w:sz w:val="28"/>
          <w:szCs w:val="28"/>
          <w:highlight w:val="none"/>
          <w:u w:val="none" w:color="auto"/>
          <w:lang w:val="en-US" w:eastAsia="zh-CN"/>
        </w:rPr>
      </w:pPr>
      <w:r>
        <w:rPr>
          <w:rFonts w:hint="eastAsia" w:ascii="宋体" w:hAnsi="宋体" w:eastAsia="宋体"/>
          <w:color w:val="auto"/>
          <w:sz w:val="28"/>
          <w:szCs w:val="28"/>
          <w:highlight w:val="none"/>
          <w:u w:val="none" w:color="auto"/>
          <w:lang w:val="en-US" w:eastAsia="zh-CN"/>
        </w:rPr>
        <w:t>（2）子单元安全性鉴定评级</w:t>
      </w:r>
    </w:p>
    <w:p>
      <w:pPr>
        <w:ind w:firstLine="560" w:firstLineChars="200"/>
        <w:rPr>
          <w:rFonts w:hint="default" w:ascii="宋体" w:hAnsi="宋体" w:eastAsia="宋体"/>
          <w:color w:val="auto"/>
          <w:sz w:val="28"/>
          <w:szCs w:val="28"/>
          <w:highlight w:val="none"/>
          <w:u w:val="none" w:color="auto"/>
          <w:lang w:val="en-US" w:eastAsia="zh-CN"/>
        </w:rPr>
      </w:pPr>
      <w:r>
        <w:rPr>
          <w:rFonts w:hint="eastAsia" w:ascii="宋体" w:hAnsi="宋体" w:eastAsia="宋体"/>
          <w:color w:val="auto"/>
          <w:sz w:val="28"/>
          <w:szCs w:val="28"/>
          <w:highlight w:val="none"/>
          <w:u w:val="none" w:color="auto"/>
          <w:lang w:val="en-US" w:eastAsia="zh-CN"/>
        </w:rPr>
        <w:t>（3）鉴定单元安全性鉴定评级</w:t>
      </w:r>
    </w:p>
    <w:p>
      <w:pPr>
        <w:ind w:firstLine="560" w:firstLineChars="200"/>
        <w:rPr>
          <w:rFonts w:hint="default" w:ascii="宋体" w:hAnsi="宋体" w:eastAsia="宋体"/>
          <w:color w:val="auto"/>
          <w:sz w:val="28"/>
          <w:szCs w:val="28"/>
          <w:highlight w:val="none"/>
          <w:u w:val="none" w:color="auto"/>
          <w:lang w:val="en-US" w:eastAsia="zh-CN"/>
        </w:rPr>
      </w:pPr>
      <w:r>
        <w:rPr>
          <w:rFonts w:hint="eastAsia" w:ascii="宋体" w:hAnsi="宋体" w:eastAsia="宋体"/>
          <w:color w:val="auto"/>
          <w:sz w:val="28"/>
          <w:szCs w:val="28"/>
          <w:highlight w:val="none"/>
          <w:u w:val="none" w:color="auto"/>
          <w:lang w:val="en-US" w:eastAsia="zh-CN"/>
        </w:rPr>
        <w:t>（4）鉴定结论及建议</w:t>
      </w:r>
    </w:p>
    <w:p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3、工期：现场检测工作3天  报告编制及审核7个工作日</w:t>
      </w:r>
    </w:p>
    <w:p>
      <w:pPr>
        <w:rPr>
          <w:rFonts w:ascii="宋体" w:hAnsi="宋体"/>
          <w:b/>
          <w:color w:val="000000"/>
          <w:sz w:val="28"/>
          <w:szCs w:val="28"/>
          <w:highlight w:val="none"/>
          <w:u w:val="none" w:color="auto"/>
        </w:rPr>
      </w:pPr>
      <w:r>
        <w:rPr>
          <w:rFonts w:hint="eastAsia" w:ascii="宋体" w:hAnsi="宋体"/>
          <w:b/>
          <w:color w:val="000000"/>
          <w:sz w:val="28"/>
          <w:szCs w:val="28"/>
          <w:highlight w:val="none"/>
          <w:u w:val="none" w:color="auto"/>
          <w:lang w:eastAsia="zh-CN"/>
        </w:rPr>
        <w:t>五</w:t>
      </w:r>
      <w:r>
        <w:rPr>
          <w:rFonts w:hint="eastAsia" w:ascii="宋体" w:hAnsi="宋体"/>
          <w:b/>
          <w:color w:val="000000"/>
          <w:sz w:val="28"/>
          <w:szCs w:val="28"/>
          <w:highlight w:val="none"/>
          <w:u w:val="none" w:color="auto"/>
        </w:rPr>
        <w:t>、拟投入的人员组织及分工</w:t>
      </w:r>
    </w:p>
    <w:p>
      <w:pPr>
        <w:ind w:firstLine="560" w:firstLineChars="200"/>
        <w:rPr>
          <w:rFonts w:hint="eastAsia" w:ascii="宋体" w:hAnsi="宋体"/>
          <w:color w:val="auto"/>
          <w:sz w:val="28"/>
          <w:szCs w:val="28"/>
          <w:highlight w:val="none"/>
          <w:u w:val="none" w:color="auto"/>
          <w:lang w:val="en-US" w:eastAsia="zh-CN"/>
        </w:rPr>
      </w:pPr>
      <w:r>
        <w:rPr>
          <w:rFonts w:hint="eastAsia" w:ascii="宋体" w:hAnsi="宋体"/>
          <w:color w:val="auto"/>
          <w:sz w:val="28"/>
          <w:szCs w:val="28"/>
          <w:highlight w:val="none"/>
          <w:u w:val="none" w:color="auto"/>
          <w:lang w:val="en-US" w:eastAsia="zh-CN"/>
        </w:rPr>
        <w:t>1、项目负责人</w:t>
      </w:r>
    </w:p>
    <w:p>
      <w:pPr>
        <w:ind w:firstLine="560" w:firstLineChars="200"/>
        <w:rPr>
          <w:rFonts w:hint="eastAsia" w:ascii="宋体" w:hAnsi="宋体"/>
          <w:color w:val="auto"/>
          <w:sz w:val="28"/>
          <w:szCs w:val="28"/>
          <w:highlight w:val="none"/>
          <w:u w:val="none" w:color="auto"/>
          <w:lang w:val="en-US" w:eastAsia="zh-CN"/>
        </w:rPr>
      </w:pPr>
      <w:r>
        <w:rPr>
          <w:rFonts w:hint="eastAsia" w:ascii="宋体" w:hAnsi="宋体"/>
          <w:color w:val="auto"/>
          <w:sz w:val="28"/>
          <w:szCs w:val="28"/>
          <w:highlight w:val="none"/>
          <w:u w:val="none" w:color="auto"/>
          <w:lang w:val="en-US" w:eastAsia="zh-CN"/>
        </w:rPr>
        <w:t>2、现场检测人员</w:t>
      </w:r>
    </w:p>
    <w:p>
      <w:pPr>
        <w:ind w:firstLine="560" w:firstLineChars="200"/>
        <w:rPr>
          <w:rFonts w:hint="eastAsia" w:ascii="宋体" w:hAnsi="宋体"/>
          <w:color w:val="auto"/>
          <w:sz w:val="28"/>
          <w:szCs w:val="28"/>
          <w:highlight w:val="none"/>
          <w:u w:val="none" w:color="auto"/>
          <w:lang w:val="en-US" w:eastAsia="zh-CN"/>
        </w:rPr>
      </w:pPr>
      <w:r>
        <w:rPr>
          <w:rFonts w:hint="eastAsia" w:ascii="宋体" w:hAnsi="宋体"/>
          <w:color w:val="auto"/>
          <w:sz w:val="28"/>
          <w:szCs w:val="28"/>
          <w:highlight w:val="none"/>
          <w:u w:val="none" w:color="auto"/>
          <w:lang w:val="en-US" w:eastAsia="zh-CN"/>
        </w:rPr>
        <w:t>3、报告编制人员</w:t>
      </w:r>
    </w:p>
    <w:p>
      <w:pPr>
        <w:ind w:firstLine="560" w:firstLineChars="200"/>
        <w:rPr>
          <w:rFonts w:hint="default" w:ascii="宋体" w:hAnsi="宋体"/>
          <w:color w:val="auto"/>
          <w:sz w:val="28"/>
          <w:szCs w:val="28"/>
          <w:highlight w:val="none"/>
          <w:u w:val="none" w:color="auto"/>
          <w:lang w:val="en-US" w:eastAsia="zh-CN"/>
        </w:rPr>
      </w:pPr>
      <w:r>
        <w:rPr>
          <w:rFonts w:hint="eastAsia" w:ascii="宋体" w:hAnsi="宋体"/>
          <w:color w:val="auto"/>
          <w:sz w:val="28"/>
          <w:szCs w:val="28"/>
          <w:highlight w:val="none"/>
          <w:u w:val="none" w:color="auto"/>
          <w:lang w:val="en-US" w:eastAsia="zh-CN"/>
        </w:rPr>
        <w:t>4、报告审核人员</w:t>
      </w:r>
    </w:p>
    <w:p>
      <w:pPr>
        <w:rPr>
          <w:color w:val="FF0000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7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DB7A5F5"/>
    <w:multiLevelType w:val="singleLevel"/>
    <w:tmpl w:val="7DB7A5F5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797E02"/>
    <w:rsid w:val="004D4057"/>
    <w:rsid w:val="01211611"/>
    <w:rsid w:val="02424CFD"/>
    <w:rsid w:val="0266235E"/>
    <w:rsid w:val="028C0692"/>
    <w:rsid w:val="03B01F39"/>
    <w:rsid w:val="045E6972"/>
    <w:rsid w:val="04923FF3"/>
    <w:rsid w:val="04DB5F67"/>
    <w:rsid w:val="05D123AA"/>
    <w:rsid w:val="068B5FFD"/>
    <w:rsid w:val="07423C31"/>
    <w:rsid w:val="07A82F8F"/>
    <w:rsid w:val="084D77FB"/>
    <w:rsid w:val="08BD1B19"/>
    <w:rsid w:val="093A0E00"/>
    <w:rsid w:val="0A010AA9"/>
    <w:rsid w:val="0DD0143F"/>
    <w:rsid w:val="0ECA18C9"/>
    <w:rsid w:val="0EF77AAD"/>
    <w:rsid w:val="0FC85443"/>
    <w:rsid w:val="0FFB6FD2"/>
    <w:rsid w:val="115A312A"/>
    <w:rsid w:val="11DE3B09"/>
    <w:rsid w:val="12686906"/>
    <w:rsid w:val="12875E3B"/>
    <w:rsid w:val="129D2330"/>
    <w:rsid w:val="12C662BC"/>
    <w:rsid w:val="12CA20C5"/>
    <w:rsid w:val="145811F2"/>
    <w:rsid w:val="17316278"/>
    <w:rsid w:val="17902709"/>
    <w:rsid w:val="17D90D2D"/>
    <w:rsid w:val="18F8173E"/>
    <w:rsid w:val="19F52374"/>
    <w:rsid w:val="1A7F6377"/>
    <w:rsid w:val="1D7B7EEF"/>
    <w:rsid w:val="1E8802CF"/>
    <w:rsid w:val="1E955BF2"/>
    <w:rsid w:val="1F0E6EEA"/>
    <w:rsid w:val="1FE856C9"/>
    <w:rsid w:val="211C160C"/>
    <w:rsid w:val="226F0EF0"/>
    <w:rsid w:val="23313A04"/>
    <w:rsid w:val="23771D57"/>
    <w:rsid w:val="23A53856"/>
    <w:rsid w:val="23C41037"/>
    <w:rsid w:val="24981E7D"/>
    <w:rsid w:val="255D0E99"/>
    <w:rsid w:val="28C92A06"/>
    <w:rsid w:val="28FD250B"/>
    <w:rsid w:val="292F5454"/>
    <w:rsid w:val="29C279A7"/>
    <w:rsid w:val="29E701DA"/>
    <w:rsid w:val="2D0D026D"/>
    <w:rsid w:val="2DFC5904"/>
    <w:rsid w:val="2F7619E6"/>
    <w:rsid w:val="304E001D"/>
    <w:rsid w:val="3065217B"/>
    <w:rsid w:val="31A717B3"/>
    <w:rsid w:val="323C39A3"/>
    <w:rsid w:val="32855FCA"/>
    <w:rsid w:val="32AA4AB4"/>
    <w:rsid w:val="33405BF0"/>
    <w:rsid w:val="33550903"/>
    <w:rsid w:val="354D0DF3"/>
    <w:rsid w:val="35890901"/>
    <w:rsid w:val="35D94198"/>
    <w:rsid w:val="36122FEE"/>
    <w:rsid w:val="37254363"/>
    <w:rsid w:val="38C12679"/>
    <w:rsid w:val="38EB6D16"/>
    <w:rsid w:val="3A8434C1"/>
    <w:rsid w:val="3A86096E"/>
    <w:rsid w:val="3ABA1FE1"/>
    <w:rsid w:val="3ADC5947"/>
    <w:rsid w:val="3C7D66E0"/>
    <w:rsid w:val="3D3A6076"/>
    <w:rsid w:val="3F7F4E38"/>
    <w:rsid w:val="3FCE22E4"/>
    <w:rsid w:val="40BC75F3"/>
    <w:rsid w:val="418C4F2A"/>
    <w:rsid w:val="42502AA5"/>
    <w:rsid w:val="42D324F7"/>
    <w:rsid w:val="42FD3A40"/>
    <w:rsid w:val="43854F72"/>
    <w:rsid w:val="450B728B"/>
    <w:rsid w:val="45E72B7B"/>
    <w:rsid w:val="467B160F"/>
    <w:rsid w:val="46F94C29"/>
    <w:rsid w:val="47CC3751"/>
    <w:rsid w:val="4B8F3EAB"/>
    <w:rsid w:val="4C073C9E"/>
    <w:rsid w:val="4DD65B91"/>
    <w:rsid w:val="4DE377F0"/>
    <w:rsid w:val="4E922009"/>
    <w:rsid w:val="4EA970F0"/>
    <w:rsid w:val="4FFF78DF"/>
    <w:rsid w:val="50D820AB"/>
    <w:rsid w:val="525A4794"/>
    <w:rsid w:val="537D0322"/>
    <w:rsid w:val="54112D1B"/>
    <w:rsid w:val="54797E02"/>
    <w:rsid w:val="55B05D73"/>
    <w:rsid w:val="56EF626E"/>
    <w:rsid w:val="56F1384E"/>
    <w:rsid w:val="5782297A"/>
    <w:rsid w:val="595C1FF9"/>
    <w:rsid w:val="59850F5C"/>
    <w:rsid w:val="5AA41278"/>
    <w:rsid w:val="5AA66F3F"/>
    <w:rsid w:val="5B25414C"/>
    <w:rsid w:val="5B28202F"/>
    <w:rsid w:val="5B85295A"/>
    <w:rsid w:val="5BC8220E"/>
    <w:rsid w:val="5BDE11E3"/>
    <w:rsid w:val="5CAC6DFF"/>
    <w:rsid w:val="5D276595"/>
    <w:rsid w:val="5DB95A46"/>
    <w:rsid w:val="5F38237F"/>
    <w:rsid w:val="61623C04"/>
    <w:rsid w:val="61F33BD8"/>
    <w:rsid w:val="62357EEE"/>
    <w:rsid w:val="62AF16F4"/>
    <w:rsid w:val="64F10768"/>
    <w:rsid w:val="65B222B0"/>
    <w:rsid w:val="665756C3"/>
    <w:rsid w:val="673F4891"/>
    <w:rsid w:val="6781400B"/>
    <w:rsid w:val="68152F1A"/>
    <w:rsid w:val="69636FD6"/>
    <w:rsid w:val="6A2E2A2B"/>
    <w:rsid w:val="6AC5462C"/>
    <w:rsid w:val="6AEB401C"/>
    <w:rsid w:val="6B77172A"/>
    <w:rsid w:val="6C4E4DCF"/>
    <w:rsid w:val="6C8D7CE8"/>
    <w:rsid w:val="6C976C86"/>
    <w:rsid w:val="6D387E75"/>
    <w:rsid w:val="6E8D2C20"/>
    <w:rsid w:val="6F5C6BFE"/>
    <w:rsid w:val="700C06D5"/>
    <w:rsid w:val="70FE4393"/>
    <w:rsid w:val="71250FB4"/>
    <w:rsid w:val="714740AC"/>
    <w:rsid w:val="719764E0"/>
    <w:rsid w:val="71C41458"/>
    <w:rsid w:val="721E0A97"/>
    <w:rsid w:val="723674F2"/>
    <w:rsid w:val="727D1BC7"/>
    <w:rsid w:val="7366336F"/>
    <w:rsid w:val="74DE3732"/>
    <w:rsid w:val="76064EDB"/>
    <w:rsid w:val="762B17C9"/>
    <w:rsid w:val="763D672D"/>
    <w:rsid w:val="764F5A10"/>
    <w:rsid w:val="766B1258"/>
    <w:rsid w:val="76B7590F"/>
    <w:rsid w:val="7974291C"/>
    <w:rsid w:val="7ACD3369"/>
    <w:rsid w:val="7B283788"/>
    <w:rsid w:val="7C1C11EA"/>
    <w:rsid w:val="7C644D92"/>
    <w:rsid w:val="7CFD0D70"/>
    <w:rsid w:val="7DF25869"/>
    <w:rsid w:val="7F123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3">
    <w:name w:val="heading 3"/>
    <w:basedOn w:val="1"/>
    <w:next w:val="1"/>
    <w:qFormat/>
    <w:uiPriority w:val="0"/>
    <w:pPr>
      <w:keepNext/>
      <w:keepLines/>
      <w:spacing w:before="260" w:beforeLines="0" w:after="260" w:afterLines="0" w:line="413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99"/>
    <w:pPr>
      <w:ind w:firstLine="420" w:firstLineChars="200"/>
    </w:pPr>
    <w:rPr>
      <w:rFonts w:ascii="Calibri" w:hAnsi="Calibri" w:cs="Times New Roman"/>
      <w:kern w:val="2"/>
      <w:sz w:val="21"/>
    </w:rPr>
  </w:style>
  <w:style w:type="paragraph" w:styleId="5">
    <w:name w:val="Body Text"/>
    <w:basedOn w:val="6"/>
    <w:next w:val="6"/>
    <w:qFormat/>
    <w:uiPriority w:val="0"/>
    <w:pPr>
      <w:spacing w:after="120" w:line="240" w:lineRule="auto"/>
    </w:pPr>
  </w:style>
  <w:style w:type="paragraph" w:styleId="6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gzdwcomptctd</Company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2021-07-12T02:07:00Z</dcterms:created>
  <dc:creator>杨华安</dc:creator>
  <cp:lastModifiedBy>张琳</cp:lastModifiedBy>
  <dcterms:modified xsi:type="dcterms:W3CDTF">2024-05-21T07:52:59Z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73B69E1000D74E69BBB4BC14A6BE1CCD</vt:lpwstr>
  </property>
</Properties>
</file>