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-1230630</wp:posOffset>
            </wp:positionH>
            <wp:positionV relativeFrom="paragraph">
              <wp:posOffset>-990600</wp:posOffset>
            </wp:positionV>
            <wp:extent cx="7772400" cy="2381250"/>
            <wp:effectExtent l="0" t="0" r="0" b="635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jc w:val="center"/>
        <w:outlineLvl w:val="0"/>
        <w:rPr>
          <w:rFonts w:hint="default" w:ascii="宋体" w:hAnsi="宋体"/>
          <w:b/>
          <w:color w:val="auto"/>
          <w:sz w:val="72"/>
          <w:szCs w:val="72"/>
          <w:lang w:val="en-US"/>
        </w:rPr>
      </w:pPr>
      <w:bookmarkStart w:id="0" w:name="OLE_LINK1"/>
      <w:r>
        <w:rPr>
          <w:rFonts w:hint="eastAsia" w:ascii="宋体" w:hAnsi="宋体"/>
          <w:b/>
          <w:color w:val="auto"/>
          <w:sz w:val="48"/>
          <w:szCs w:val="48"/>
          <w:lang w:eastAsia="zh-CN"/>
        </w:rPr>
        <w:t>西部修试公司鲁厂乃格值班楼第Ⅱ组UPS电源装置故障维修</w:t>
      </w:r>
    </w:p>
    <w:bookmarkEnd w:id="0"/>
    <w:p>
      <w:pPr>
        <w:jc w:val="center"/>
        <w:outlineLvl w:val="0"/>
        <w:rPr>
          <w:rFonts w:ascii="宋体" w:hAnsi="宋体"/>
          <w:b/>
          <w:color w:val="auto"/>
          <w:sz w:val="72"/>
          <w:szCs w:val="72"/>
        </w:rPr>
      </w:pPr>
    </w:p>
    <w:p>
      <w:pPr>
        <w:jc w:val="center"/>
        <w:outlineLvl w:val="0"/>
        <w:rPr>
          <w:rFonts w:ascii="宋体" w:hAnsi="宋体"/>
          <w:b/>
          <w:color w:val="auto"/>
          <w:sz w:val="72"/>
          <w:szCs w:val="72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技术规范书</w:t>
      </w:r>
    </w:p>
    <w:p>
      <w:pPr>
        <w:ind w:left="-27" w:leftChars="-85" w:right="-300" w:rightChars="-125" w:hanging="177" w:hangingChars="34"/>
        <w:jc w:val="center"/>
        <w:rPr>
          <w:rFonts w:ascii="宋体" w:hAnsi="宋体"/>
          <w:b/>
          <w:color w:val="auto"/>
          <w:sz w:val="52"/>
          <w:szCs w:val="52"/>
        </w:rPr>
      </w:pPr>
    </w:p>
    <w:p>
      <w:pPr>
        <w:jc w:val="center"/>
        <w:rPr>
          <w:rFonts w:eastAsia="楷体_GB2312"/>
          <w:color w:val="auto"/>
          <w:sz w:val="32"/>
          <w:szCs w:val="32"/>
        </w:rPr>
      </w:pPr>
    </w:p>
    <w:p>
      <w:pPr>
        <w:jc w:val="center"/>
        <w:rPr>
          <w:rFonts w:eastAsia="楷体_GB2312"/>
          <w:color w:val="auto"/>
          <w:sz w:val="32"/>
          <w:szCs w:val="32"/>
        </w:rPr>
      </w:pPr>
    </w:p>
    <w:p>
      <w:pPr>
        <w:jc w:val="center"/>
        <w:rPr>
          <w:rFonts w:eastAsia="楷体_GB2312"/>
          <w:color w:val="auto"/>
          <w:sz w:val="32"/>
          <w:szCs w:val="32"/>
        </w:rPr>
      </w:pPr>
    </w:p>
    <w:p>
      <w:pPr>
        <w:jc w:val="center"/>
        <w:rPr>
          <w:rFonts w:eastAsia="楷体_GB2312"/>
          <w:color w:val="auto"/>
          <w:sz w:val="32"/>
          <w:szCs w:val="32"/>
        </w:rPr>
      </w:pPr>
    </w:p>
    <w:p>
      <w:pPr>
        <w:jc w:val="center"/>
        <w:rPr>
          <w:rFonts w:eastAsia="楷体_GB2312"/>
          <w:color w:val="auto"/>
          <w:sz w:val="32"/>
          <w:szCs w:val="32"/>
        </w:rPr>
      </w:pPr>
    </w:p>
    <w:p>
      <w:pPr>
        <w:jc w:val="center"/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202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4</w:t>
      </w:r>
      <w:r>
        <w:rPr>
          <w:rFonts w:hint="eastAsia" w:ascii="宋体" w:hAnsi="宋体"/>
          <w:b/>
          <w:color w:val="auto"/>
          <w:sz w:val="36"/>
          <w:szCs w:val="36"/>
        </w:rPr>
        <w:t>年0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5</w:t>
      </w:r>
      <w:r>
        <w:rPr>
          <w:rFonts w:hint="eastAsia" w:ascii="宋体" w:hAnsi="宋体"/>
          <w:b/>
          <w:color w:val="auto"/>
          <w:sz w:val="36"/>
          <w:szCs w:val="36"/>
        </w:rPr>
        <w:t>月</w:t>
      </w:r>
    </w:p>
    <w:p>
      <w:pPr>
        <w:widowControl/>
        <w:jc w:val="left"/>
        <w:rPr>
          <w:rFonts w:ascii="宋体" w:hAnsi="宋体"/>
          <w:b/>
          <w:color w:val="auto"/>
          <w:sz w:val="36"/>
          <w:szCs w:val="36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jc w:val="center"/>
        <w:rPr>
          <w:rFonts w:hint="eastAsia" w:ascii="Times New Roman" w:hAnsi="Times New Roman"/>
          <w:b/>
          <w:bCs/>
          <w:color w:val="auto"/>
          <w:sz w:val="30"/>
          <w:szCs w:val="30"/>
          <w:lang w:eastAsia="zh-CN"/>
        </w:rPr>
      </w:pPr>
      <w:bookmarkStart w:id="1" w:name="OLE_LINK2"/>
      <w:r>
        <w:rPr>
          <w:rFonts w:hint="eastAsia" w:ascii="Times New Roman" w:hAnsi="Times New Roman"/>
          <w:b/>
          <w:bCs/>
          <w:color w:val="auto"/>
          <w:sz w:val="30"/>
          <w:szCs w:val="30"/>
          <w:lang w:eastAsia="zh-CN"/>
        </w:rPr>
        <w:t>西部修试公司鲁厂乃格值班楼第Ⅱ组UPS电源装置故障维修</w:t>
      </w:r>
    </w:p>
    <w:p>
      <w:pPr>
        <w:jc w:val="center"/>
        <w:rPr>
          <w:rFonts w:ascii="Times New Roman" w:hAnsi="Times New Roman"/>
          <w:b/>
          <w:bCs/>
          <w:color w:val="auto"/>
          <w:sz w:val="30"/>
          <w:szCs w:val="30"/>
        </w:rPr>
      </w:pPr>
      <w:r>
        <w:rPr>
          <w:rFonts w:ascii="Times New Roman" w:hAnsi="Times New Roman"/>
          <w:b/>
          <w:bCs/>
          <w:color w:val="auto"/>
          <w:sz w:val="30"/>
          <w:szCs w:val="30"/>
        </w:rPr>
        <w:t>技术规范书</w:t>
      </w:r>
      <w:bookmarkEnd w:id="1"/>
    </w:p>
    <w:p>
      <w:pPr>
        <w:jc w:val="center"/>
        <w:rPr>
          <w:rFonts w:ascii="Times New Roman" w:hAnsi="Times New Roman"/>
          <w:b/>
          <w:bCs/>
          <w:color w:val="auto"/>
          <w:sz w:val="30"/>
          <w:szCs w:val="30"/>
        </w:rPr>
      </w:pPr>
    </w:p>
    <w:p>
      <w:pPr>
        <w:pStyle w:val="2"/>
        <w:spacing w:before="163"/>
        <w:rPr>
          <w:color w:val="auto"/>
        </w:rPr>
      </w:pPr>
      <w:r>
        <w:rPr>
          <w:rFonts w:hint="eastAsia"/>
          <w:color w:val="auto"/>
        </w:rPr>
        <w:t>一、</w:t>
      </w:r>
      <w:r>
        <w:rPr>
          <w:color w:val="auto"/>
        </w:rPr>
        <w:t>总则</w:t>
      </w:r>
    </w:p>
    <w:p>
      <w:pPr>
        <w:pStyle w:val="14"/>
        <w:numPr>
          <w:ilvl w:val="0"/>
          <w:numId w:val="6"/>
        </w:numPr>
        <w:ind w:left="0" w:firstLine="420" w:firstLineChars="0"/>
        <w:rPr>
          <w:rFonts w:ascii="Times New Roman" w:hAnsi="Times New Roman"/>
          <w:color w:val="auto"/>
        </w:rPr>
      </w:pPr>
      <w:r>
        <w:rPr>
          <w:rFonts w:hint="eastAsia" w:ascii="Times New Roman" w:hAnsi="Times New Roman"/>
          <w:color w:val="auto"/>
        </w:rPr>
        <w:t>本技术条款适用于西部修试公司鲁厂乃格值班楼第Ⅱ组UPS电源装置故障维修、设备调试等方面的技</w:t>
      </w:r>
      <w:r>
        <w:rPr>
          <w:rFonts w:hint="eastAsia" w:ascii="Times New Roman" w:hAnsi="Times New Roman"/>
          <w:color w:val="auto"/>
          <w:szCs w:val="21"/>
        </w:rPr>
        <w:t>术要求。</w:t>
      </w:r>
    </w:p>
    <w:p>
      <w:pPr>
        <w:pStyle w:val="14"/>
        <w:numPr>
          <w:ilvl w:val="0"/>
          <w:numId w:val="6"/>
        </w:numPr>
        <w:ind w:left="0" w:firstLine="420" w:firstLineChars="0"/>
        <w:rPr>
          <w:rFonts w:ascii="Times New Roman" w:hAnsi="Times New Roman"/>
          <w:color w:val="auto"/>
        </w:rPr>
      </w:pPr>
      <w:r>
        <w:rPr>
          <w:rFonts w:hint="eastAsia" w:ascii="Times New Roman" w:hAnsi="Times New Roman"/>
          <w:color w:val="auto"/>
        </w:rPr>
        <w:t>本技术条款规定了</w:t>
      </w:r>
      <w:r>
        <w:rPr>
          <w:rFonts w:hint="eastAsia" w:ascii="Times New Roman" w:hAnsi="Times New Roman"/>
          <w:color w:val="auto"/>
          <w:lang w:val="en-US" w:eastAsia="zh-CN"/>
        </w:rPr>
        <w:t>本次</w:t>
      </w:r>
      <w:r>
        <w:rPr>
          <w:rFonts w:hint="eastAsia" w:ascii="Times New Roman" w:hAnsi="Times New Roman"/>
          <w:color w:val="auto"/>
        </w:rPr>
        <w:t>UPS电源装置故障维修</w:t>
      </w:r>
      <w:r>
        <w:rPr>
          <w:rFonts w:hint="eastAsia" w:ascii="Times New Roman" w:hAnsi="Times New Roman"/>
          <w:color w:val="auto"/>
          <w:lang w:val="en-US" w:eastAsia="zh-CN"/>
        </w:rPr>
        <w:t>后的装置能保持原有工作状态</w:t>
      </w:r>
      <w:r>
        <w:rPr>
          <w:rFonts w:hint="eastAsia" w:ascii="Times New Roman" w:hAnsi="Times New Roman"/>
          <w:color w:val="auto"/>
        </w:rPr>
        <w:t>。</w:t>
      </w:r>
    </w:p>
    <w:p>
      <w:pPr>
        <w:pStyle w:val="14"/>
        <w:numPr>
          <w:ilvl w:val="0"/>
          <w:numId w:val="6"/>
        </w:numPr>
        <w:ind w:left="0" w:firstLine="420" w:firstLineChars="0"/>
        <w:rPr>
          <w:rFonts w:ascii="Times New Roman" w:hAnsi="Times New Roman"/>
          <w:color w:val="auto"/>
        </w:rPr>
      </w:pPr>
      <w:r>
        <w:rPr>
          <w:rFonts w:hint="eastAsia" w:ascii="Times New Roman" w:hAnsi="Times New Roman"/>
          <w:color w:val="auto"/>
        </w:rPr>
        <w:t>本技术条款提出了项目设备的技术参数、性能、结构、安装及调试等方面的技术要求。</w:t>
      </w:r>
    </w:p>
    <w:p>
      <w:pPr>
        <w:pStyle w:val="14"/>
        <w:numPr>
          <w:ilvl w:val="0"/>
          <w:numId w:val="6"/>
        </w:numPr>
        <w:ind w:left="0" w:firstLine="420" w:firstLineChars="0"/>
        <w:rPr>
          <w:rFonts w:ascii="Times New Roman" w:hAnsi="Times New Roman"/>
          <w:color w:val="auto"/>
        </w:rPr>
      </w:pPr>
      <w:r>
        <w:rPr>
          <w:rFonts w:hint="eastAsia" w:ascii="Times New Roman" w:hAnsi="Times New Roman"/>
          <w:color w:val="auto"/>
        </w:rPr>
        <w:t>本技术条款提出的是最低限度的技术要求，并未对一切技术细节做出规定，也未充分引述有关标准和规范的条文</w:t>
      </w:r>
      <w:r>
        <w:rPr>
          <w:rFonts w:hint="eastAsia" w:ascii="Times New Roman" w:hAnsi="Times New Roman"/>
          <w:color w:val="auto"/>
          <w:lang w:eastAsia="zh-CN"/>
        </w:rPr>
        <w:t>，</w:t>
      </w:r>
      <w:r>
        <w:rPr>
          <w:rFonts w:hint="eastAsia" w:ascii="Times New Roman" w:hAnsi="Times New Roman"/>
          <w:color w:val="auto"/>
        </w:rPr>
        <w:t>如果所引用的标准之间不一致或本技术条款所使用的标准如与</w:t>
      </w:r>
      <w:r>
        <w:rPr>
          <w:rFonts w:hint="eastAsia" w:ascii="Times New Roman" w:hAnsi="Times New Roman"/>
          <w:color w:val="auto"/>
          <w:lang w:eastAsia="zh-CN"/>
        </w:rPr>
        <w:t>承包商</w:t>
      </w:r>
      <w:r>
        <w:rPr>
          <w:rFonts w:hint="eastAsia" w:ascii="Times New Roman" w:hAnsi="Times New Roman"/>
          <w:color w:val="auto"/>
        </w:rPr>
        <w:t>所执行的标准不一致时，按要求较高的标准执行。</w:t>
      </w:r>
    </w:p>
    <w:p>
      <w:pPr>
        <w:pStyle w:val="2"/>
        <w:numPr>
          <w:ilvl w:val="0"/>
          <w:numId w:val="7"/>
        </w:numPr>
        <w:spacing w:before="163"/>
        <w:rPr>
          <w:color w:val="auto"/>
        </w:rPr>
      </w:pPr>
      <w:r>
        <w:rPr>
          <w:rFonts w:hint="eastAsia"/>
          <w:color w:val="auto"/>
        </w:rPr>
        <w:t>项目概况及条件</w:t>
      </w:r>
    </w:p>
    <w:p>
      <w:pPr>
        <w:ind w:firstLine="480" w:firstLineChars="200"/>
        <w:rPr>
          <w:rFonts w:hint="eastAsia" w:ascii="宋体" w:hAnsi="宋体"/>
          <w:color w:val="auto"/>
          <w:szCs w:val="24"/>
        </w:rPr>
      </w:pPr>
      <w:r>
        <w:rPr>
          <w:rFonts w:hint="eastAsia" w:ascii="宋体" w:hAnsi="宋体"/>
          <w:color w:val="auto"/>
          <w:szCs w:val="24"/>
          <w:lang w:val="en-US" w:eastAsia="zh-CN"/>
        </w:rPr>
        <w:t>鲁布革水电站</w:t>
      </w:r>
      <w:r>
        <w:rPr>
          <w:rFonts w:hint="eastAsia" w:ascii="宋体" w:hAnsi="宋体"/>
          <w:color w:val="auto"/>
          <w:szCs w:val="24"/>
        </w:rPr>
        <w:t>位于贵州省安龙县与广西壮族自治区隆林县交界处的南盘江上，距贵阳市约385km，距昆明市约400km，距南宁市约537km。电站以500kV和220kV交流两级电压与系统相连，在电力系统中主要承担基荷和腰荷，并参加系统调峰任务。</w:t>
      </w:r>
    </w:p>
    <w:p>
      <w:pPr>
        <w:ind w:firstLine="480" w:firstLineChars="200"/>
        <w:rPr>
          <w:rFonts w:hint="eastAsia" w:ascii="宋体" w:hAnsi="宋体"/>
          <w:color w:val="auto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现场值班期间，发现鲁布革电厂乃格运行值班楼第Ⅱ组UPS电源装置发“Can Bus不响应”故障信号，初步检查判断可能是逻辑控制板和DC/DC电源板故障，需对该电源装置进行故障维修</w:t>
      </w:r>
      <w:r>
        <w:rPr>
          <w:rFonts w:hint="eastAsia" w:ascii="宋体" w:hAnsi="宋体"/>
          <w:color w:val="auto"/>
          <w:szCs w:val="24"/>
        </w:rPr>
        <w:t>。</w:t>
      </w:r>
      <w:r>
        <w:rPr>
          <w:rFonts w:hint="eastAsia" w:ascii="宋体" w:hAnsi="宋体"/>
          <w:color w:val="auto"/>
          <w:szCs w:val="24"/>
          <w:lang w:val="en-US" w:eastAsia="zh-CN"/>
        </w:rPr>
        <w:t>具体故障状态相间下图1。</w:t>
      </w:r>
    </w:p>
    <w:p>
      <w:pPr>
        <w:ind w:firstLine="480" w:firstLineChars="200"/>
        <w:rPr>
          <w:rFonts w:hint="eastAsia" w:ascii="宋体" w:hAnsi="宋体"/>
          <w:color w:val="auto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  <w:t>对UPS故障原因作进一步排查，提供相关模块并进行更换，更换后要求保持原有装置运行状态，此外，该模块更换后质保期为2年，2年内因为所更换模块导致的类似故障需无偿进行解决。</w:t>
      </w:r>
    </w:p>
    <w:p>
      <w:pPr>
        <w:ind w:firstLine="480" w:firstLineChars="200"/>
        <w:jc w:val="center"/>
        <w:rPr>
          <w:rFonts w:hint="default" w:ascii="宋体" w:hAnsi="宋体"/>
          <w:color w:val="auto"/>
          <w:szCs w:val="24"/>
          <w:lang w:val="en-US" w:eastAsia="zh-CN"/>
        </w:rPr>
      </w:pPr>
      <w:r>
        <w:rPr>
          <w:rFonts w:hint="default" w:ascii="宋体" w:hAnsi="宋体"/>
          <w:color w:val="auto"/>
          <w:szCs w:val="24"/>
          <w:lang w:val="en-US" w:eastAsia="zh-CN"/>
        </w:rPr>
        <w:drawing>
          <wp:inline distT="0" distB="0" distL="114300" distR="114300">
            <wp:extent cx="2328545" cy="3105785"/>
            <wp:effectExtent l="0" t="0" r="7620" b="6350"/>
            <wp:docPr id="1" name="图片 1" descr="IMG_20240429_12134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40429_121348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008630" cy="3004820"/>
            <wp:effectExtent l="0" t="0" r="444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00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jc w:val="center"/>
        <w:rPr>
          <w:rFonts w:hint="default" w:ascii="宋体" w:hAnsi="宋体"/>
          <w:color w:val="auto"/>
          <w:szCs w:val="24"/>
          <w:lang w:val="en-US" w:eastAsia="zh-CN"/>
        </w:rPr>
      </w:pPr>
      <w:r>
        <w:rPr>
          <w:rFonts w:hint="eastAsia" w:ascii="宋体" w:hAnsi="宋体"/>
          <w:color w:val="auto"/>
          <w:szCs w:val="24"/>
          <w:lang w:val="en-US" w:eastAsia="zh-CN"/>
        </w:rPr>
        <w:t>图1 UPS故障状态</w:t>
      </w:r>
    </w:p>
    <w:p>
      <w:pPr>
        <w:pStyle w:val="11"/>
        <w:numPr>
          <w:ilvl w:val="1"/>
          <w:numId w:val="0"/>
        </w:numPr>
        <w:ind w:leftChars="0" w:firstLine="480" w:firstLineChars="200"/>
        <w:rPr>
          <w:rFonts w:hint="default" w:ascii="宋体" w:hAnsi="宋体" w:eastAsia="宋体" w:cs="宋体"/>
          <w:b w:val="0"/>
          <w:bCs/>
          <w:color w:val="auto"/>
          <w:kern w:val="2"/>
          <w:sz w:val="24"/>
          <w:szCs w:val="24"/>
          <w:lang w:val="en-US" w:eastAsia="zh-CN" w:bidi="ar-SA"/>
        </w:rPr>
      </w:pPr>
    </w:p>
    <w:p>
      <w:pPr>
        <w:pStyle w:val="2"/>
        <w:numPr>
          <w:ilvl w:val="0"/>
          <w:numId w:val="7"/>
        </w:numPr>
        <w:spacing w:before="163"/>
        <w:ind w:left="-240"/>
        <w:rPr>
          <w:color w:val="auto"/>
          <w:lang w:val="en-US"/>
        </w:rPr>
      </w:pPr>
      <w:r>
        <w:rPr>
          <w:rFonts w:hint="eastAsia"/>
          <w:color w:val="auto"/>
          <w:lang w:val="en-US"/>
        </w:rPr>
        <w:t>服务地点及工期</w:t>
      </w:r>
    </w:p>
    <w:p>
      <w:pPr>
        <w:pStyle w:val="3"/>
        <w:numPr>
          <w:ilvl w:val="1"/>
          <w:numId w:val="0"/>
        </w:numPr>
        <w:spacing w:before="163"/>
        <w:ind w:firstLine="562" w:firstLineChars="200"/>
        <w:rPr>
          <w:rFonts w:ascii="Times New Roman" w:hAnsi="Times New Roman" w:eastAsiaTheme="majorEastAsia"/>
          <w:color w:val="auto"/>
          <w:lang w:val="en-US"/>
        </w:rPr>
      </w:pPr>
      <w:r>
        <w:rPr>
          <w:rFonts w:ascii="Times New Roman" w:hAnsi="Times New Roman" w:eastAsiaTheme="majorEastAsia"/>
          <w:color w:val="auto"/>
          <w:lang w:val="en-US"/>
        </w:rPr>
        <w:t>3.1服务地点</w:t>
      </w:r>
    </w:p>
    <w:p>
      <w:pPr>
        <w:pStyle w:val="15"/>
        <w:tabs>
          <w:tab w:val="left" w:pos="851"/>
        </w:tabs>
        <w:spacing w:before="156" w:after="156"/>
        <w:ind w:left="480" w:leftChars="200" w:firstLine="0" w:firstLineChars="0"/>
        <w:rPr>
          <w:rFonts w:hint="default" w:ascii="宋体" w:hAnsi="宋体"/>
          <w:color w:val="auto"/>
          <w:szCs w:val="24"/>
          <w:lang w:val="en-US" w:eastAsia="zh-CN"/>
        </w:rPr>
      </w:pPr>
      <w:r>
        <w:rPr>
          <w:rFonts w:hint="eastAsia" w:ascii="宋体" w:hAnsi="宋体"/>
          <w:color w:val="auto"/>
          <w:szCs w:val="24"/>
          <w:lang w:val="en-US" w:eastAsia="zh-CN"/>
        </w:rPr>
        <w:t>云南省曲靖市罗平县鲁布革乡鲁布革水力发电站运行值班楼。</w:t>
      </w:r>
    </w:p>
    <w:p>
      <w:pPr>
        <w:pStyle w:val="3"/>
        <w:numPr>
          <w:ilvl w:val="1"/>
          <w:numId w:val="0"/>
        </w:numPr>
        <w:spacing w:before="163"/>
        <w:ind w:firstLine="562" w:firstLineChars="200"/>
        <w:rPr>
          <w:rFonts w:ascii="Times New Roman" w:hAnsi="Times New Roman" w:eastAsiaTheme="majorEastAsia"/>
          <w:color w:val="auto"/>
          <w:lang w:val="en-US"/>
        </w:rPr>
      </w:pPr>
      <w:r>
        <w:rPr>
          <w:rFonts w:hint="eastAsia" w:ascii="Times New Roman" w:hAnsi="Times New Roman" w:eastAsiaTheme="majorEastAsia"/>
          <w:color w:val="auto"/>
          <w:lang w:val="en-US"/>
        </w:rPr>
        <w:t>3.2服务工期</w:t>
      </w:r>
    </w:p>
    <w:p>
      <w:pPr>
        <w:ind w:firstLine="480" w:firstLineChars="200"/>
        <w:rPr>
          <w:rFonts w:ascii="宋体" w:hAnsi="宋体"/>
          <w:color w:val="auto"/>
          <w:szCs w:val="24"/>
        </w:rPr>
      </w:pPr>
      <w:r>
        <w:rPr>
          <w:rFonts w:hint="eastAsia" w:ascii="宋体" w:hAnsi="宋体"/>
          <w:color w:val="auto"/>
          <w:szCs w:val="24"/>
          <w:lang w:val="en-US" w:eastAsia="zh-CN"/>
        </w:rPr>
        <w:t>服务工期</w:t>
      </w:r>
      <w:r>
        <w:rPr>
          <w:rFonts w:hint="eastAsia" w:ascii="宋体" w:hAnsi="宋体"/>
          <w:color w:val="auto"/>
          <w:szCs w:val="24"/>
        </w:rPr>
        <w:t>自合同签订生效</w:t>
      </w:r>
      <w:r>
        <w:rPr>
          <w:rFonts w:hint="eastAsia" w:ascii="宋体" w:hAnsi="宋体"/>
          <w:color w:val="auto"/>
          <w:szCs w:val="24"/>
          <w:lang w:val="en-US" w:eastAsia="zh-CN"/>
        </w:rPr>
        <w:t>之日起30个自然日，</w:t>
      </w:r>
      <w:r>
        <w:rPr>
          <w:rFonts w:hint="eastAsia" w:ascii="宋体" w:hAnsi="宋体"/>
          <w:color w:val="auto"/>
          <w:szCs w:val="24"/>
        </w:rPr>
        <w:t>具体开工时间以甲方通知的开工日期为准。因甲方原因或不可抗力因素造成工期延误，工期可予以相应顺延。</w:t>
      </w:r>
    </w:p>
    <w:p>
      <w:pPr>
        <w:pStyle w:val="2"/>
        <w:spacing w:before="163"/>
        <w:rPr>
          <w:color w:val="auto"/>
        </w:rPr>
      </w:pPr>
      <w:r>
        <w:rPr>
          <w:rFonts w:hint="eastAsia"/>
          <w:color w:val="auto"/>
          <w:lang w:val="en-US"/>
        </w:rPr>
        <w:t>四、</w:t>
      </w:r>
      <w:r>
        <w:rPr>
          <w:rFonts w:hint="eastAsia"/>
          <w:color w:val="auto"/>
          <w:lang w:val="en-US" w:eastAsia="zh-CN"/>
        </w:rPr>
        <w:t>服务</w:t>
      </w:r>
      <w:r>
        <w:rPr>
          <w:rFonts w:hint="eastAsia"/>
          <w:color w:val="auto"/>
        </w:rPr>
        <w:t>范围</w:t>
      </w:r>
      <w:r>
        <w:rPr>
          <w:rFonts w:hint="eastAsia"/>
          <w:color w:val="auto"/>
          <w:lang w:val="en-US"/>
        </w:rPr>
        <w:t>及工作内容</w:t>
      </w:r>
    </w:p>
    <w:p>
      <w:pPr>
        <w:pStyle w:val="3"/>
        <w:numPr>
          <w:ilvl w:val="1"/>
          <w:numId w:val="0"/>
        </w:numPr>
        <w:tabs>
          <w:tab w:val="center" w:pos="7285"/>
        </w:tabs>
        <w:spacing w:before="163"/>
        <w:ind w:firstLine="562" w:firstLineChars="200"/>
        <w:rPr>
          <w:rFonts w:hint="eastAsia" w:ascii="Times New Roman" w:hAnsi="Times New Roman" w:eastAsiaTheme="majorEastAsia"/>
          <w:color w:val="auto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lang w:val="en-US"/>
        </w:rPr>
        <w:t>4</w:t>
      </w:r>
      <w:r>
        <w:rPr>
          <w:rFonts w:ascii="Times New Roman" w:hAnsi="Times New Roman" w:eastAsiaTheme="majorEastAsia"/>
          <w:color w:val="auto"/>
          <w:lang w:val="en-US"/>
        </w:rPr>
        <w:t>.1</w:t>
      </w:r>
      <w:r>
        <w:rPr>
          <w:rFonts w:hint="eastAsia" w:ascii="Times New Roman" w:hAnsi="Times New Roman" w:eastAsiaTheme="majorEastAsia"/>
          <w:color w:val="auto"/>
          <w:lang w:val="en-US"/>
        </w:rPr>
        <w:t>服务范围</w:t>
      </w:r>
      <w:r>
        <w:rPr>
          <w:rFonts w:hint="eastAsia" w:ascii="Times New Roman" w:hAnsi="Times New Roman" w:eastAsiaTheme="majorEastAsia"/>
          <w:color w:val="auto"/>
          <w:lang w:val="en-US" w:eastAsia="zh-CN"/>
        </w:rPr>
        <w:tab/>
      </w:r>
    </w:p>
    <w:p>
      <w:pPr>
        <w:ind w:firstLine="480" w:firstLineChars="200"/>
        <w:rPr>
          <w:rFonts w:hint="eastAsia" w:ascii="Times New Roman" w:hAnsi="Times New Roman"/>
          <w:color w:val="auto"/>
          <w:lang w:val="en-US" w:eastAsia="zh-CN"/>
        </w:rPr>
      </w:pPr>
      <w:r>
        <w:rPr>
          <w:rFonts w:hint="eastAsia" w:ascii="Times New Roman" w:hAnsi="Times New Roman"/>
          <w:color w:val="auto"/>
          <w:lang w:val="en-US" w:eastAsia="zh-CN"/>
        </w:rPr>
        <w:t>根据</w:t>
      </w:r>
      <w:r>
        <w:rPr>
          <w:rFonts w:hint="eastAsia" w:ascii="Times New Roman" w:hAnsi="Times New Roman"/>
          <w:color w:val="auto"/>
        </w:rPr>
        <w:t>UPS电源装置故障维修、设备调试等方面的技</w:t>
      </w:r>
      <w:r>
        <w:rPr>
          <w:rFonts w:hint="eastAsia" w:ascii="Times New Roman" w:hAnsi="Times New Roman"/>
          <w:color w:val="auto"/>
          <w:szCs w:val="21"/>
        </w:rPr>
        <w:t>术要求</w:t>
      </w:r>
      <w:r>
        <w:rPr>
          <w:rFonts w:hint="eastAsia" w:ascii="Times New Roman" w:hAnsi="Times New Roman"/>
          <w:color w:val="auto"/>
          <w:szCs w:val="21"/>
          <w:lang w:eastAsia="zh-CN"/>
        </w:rPr>
        <w:t>，</w:t>
      </w:r>
      <w:r>
        <w:rPr>
          <w:rFonts w:hint="eastAsia" w:ascii="Times New Roman" w:hAnsi="Times New Roman"/>
          <w:color w:val="auto"/>
          <w:lang w:val="en-US" w:eastAsia="zh-CN"/>
        </w:rPr>
        <w:t>完成故障进一步排查，故障模块更换、调试等服务范围如下：</w:t>
      </w:r>
    </w:p>
    <w:p>
      <w:pPr>
        <w:ind w:firstLine="480" w:firstLineChars="200"/>
        <w:rPr>
          <w:rFonts w:hint="eastAsia" w:ascii="Times New Roman" w:hAnsi="Times New Roman"/>
          <w:color w:val="auto"/>
          <w:lang w:val="en-US" w:eastAsia="zh-CN"/>
        </w:rPr>
      </w:pPr>
    </w:p>
    <w:p>
      <w:pPr>
        <w:ind w:firstLine="480" w:firstLineChars="200"/>
        <w:rPr>
          <w:rFonts w:hint="eastAsia" w:ascii="Times New Roman" w:hAnsi="Times New Roman"/>
          <w:color w:val="auto"/>
          <w:lang w:val="en-US" w:eastAsia="zh-CN"/>
        </w:rPr>
      </w:pPr>
    </w:p>
    <w:tbl>
      <w:tblPr>
        <w:tblStyle w:val="9"/>
        <w:tblW w:w="110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2335"/>
        <w:gridCol w:w="1326"/>
        <w:gridCol w:w="1459"/>
        <w:gridCol w:w="3191"/>
        <w:gridCol w:w="2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right="2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right="2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工程名称</w:t>
            </w:r>
          </w:p>
        </w:tc>
        <w:tc>
          <w:tcPr>
            <w:tcW w:w="1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right="1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施工内容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right="1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材料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left="2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主要技术参数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line="264" w:lineRule="exact"/>
              <w:ind w:left="2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19"/>
              <w:spacing w:before="174" w:line="24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西部修试公司鲁厂乃格值班楼第Ⅱ组UPS电源装置故障维修</w:t>
            </w:r>
          </w:p>
        </w:tc>
        <w:tc>
          <w:tcPr>
            <w:tcW w:w="1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eastAsia="宋体" w:asciiTheme="minorEastAsia" w:hAnsiTheme="minorEastAsia" w:cstheme="minorEastAsia"/>
                <w:color w:val="auto"/>
                <w:spacing w:val="-1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值</w:t>
            </w: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班楼第Ⅱ组UPS电源装置</w:t>
            </w: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故障进一步排查、模块更换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pacing w:val="-1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pacing w:val="-1"/>
                <w:sz w:val="21"/>
                <w:szCs w:val="21"/>
                <w:lang w:val="en-US" w:eastAsia="zh-CN"/>
              </w:rPr>
              <w:t>电源模块、逻辑控制板等更换所需材料</w:t>
            </w:r>
          </w:p>
        </w:tc>
        <w:tc>
          <w:tcPr>
            <w:tcW w:w="3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消除UPS故障、更换相关模块后不改变装置雍运行状态。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>
      <w:pPr>
        <w:pStyle w:val="3"/>
        <w:numPr>
          <w:ilvl w:val="1"/>
          <w:numId w:val="0"/>
        </w:numPr>
        <w:spacing w:before="163"/>
        <w:ind w:firstLine="562" w:firstLineChars="200"/>
        <w:rPr>
          <w:rFonts w:hint="default" w:ascii="Times New Roman" w:hAnsi="Times New Roman" w:eastAsiaTheme="majorEastAsia"/>
          <w:color w:val="auto"/>
          <w:lang w:val="en-US" w:eastAsia="zh-CN"/>
        </w:rPr>
      </w:pPr>
      <w:r>
        <w:rPr>
          <w:rFonts w:hint="eastAsia" w:ascii="Times New Roman" w:hAnsi="Times New Roman" w:eastAsiaTheme="majorEastAsia"/>
          <w:color w:val="auto"/>
          <w:lang w:val="en-US"/>
        </w:rPr>
        <w:t>4</w:t>
      </w:r>
      <w:r>
        <w:rPr>
          <w:rFonts w:ascii="Times New Roman" w:hAnsi="Times New Roman" w:eastAsiaTheme="majorEastAsia"/>
          <w:color w:val="auto"/>
          <w:lang w:val="en-US"/>
        </w:rPr>
        <w:t>.</w:t>
      </w:r>
      <w:r>
        <w:rPr>
          <w:rFonts w:hint="eastAsia" w:ascii="Times New Roman" w:hAnsi="Times New Roman" w:eastAsiaTheme="majorEastAsia"/>
          <w:color w:val="auto"/>
          <w:lang w:val="en-US" w:eastAsia="zh-CN"/>
        </w:rPr>
        <w:t>2施工要求</w:t>
      </w:r>
    </w:p>
    <w:p>
      <w:pPr>
        <w:pStyle w:val="22"/>
        <w:numPr>
          <w:ilvl w:val="0"/>
          <w:numId w:val="0"/>
        </w:numPr>
        <w:tabs>
          <w:tab w:val="left" w:pos="1000"/>
        </w:tabs>
        <w:autoSpaceDE w:val="0"/>
        <w:autoSpaceDN w:val="0"/>
        <w:spacing w:before="37" w:line="360" w:lineRule="auto"/>
        <w:ind w:left="567" w:leftChars="0"/>
        <w:contextualSpacing w:val="0"/>
        <w:rPr>
          <w:rFonts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/>
          <w:b/>
          <w:bCs/>
          <w:color w:val="auto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、</w:t>
      </w:r>
      <w:r>
        <w:rPr>
          <w:rFonts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对进入施工现场的人员要求</w:t>
      </w:r>
    </w:p>
    <w:p>
      <w:pPr>
        <w:pStyle w:val="4"/>
        <w:spacing w:before="161" w:line="360" w:lineRule="auto"/>
        <w:ind w:right="1097" w:firstLine="48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lang w:val="en-US" w:eastAsia="zh-CN" w:bidi="ar-SA"/>
        </w:rPr>
        <w:t>（1）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工作人员入厂前应根据甲方的要求来办理出入证件等，不得与值班保安人员无理取闹。</w:t>
      </w:r>
    </w:p>
    <w:p>
      <w:pPr>
        <w:pStyle w:val="4"/>
        <w:spacing w:before="161" w:line="360" w:lineRule="auto"/>
        <w:ind w:right="1097" w:firstLine="48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lang w:val="en-US" w:eastAsia="zh-CN" w:bidi="ar-SA"/>
        </w:rPr>
        <w:t>（2）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工作人员进入施工现场前，应接受西部修试公司现场安全教育，熟悉西部修试公司的各项规章制度，并经考核合格后，方可进入现场工作。</w:t>
      </w:r>
    </w:p>
    <w:p>
      <w:pPr>
        <w:pStyle w:val="4"/>
        <w:spacing w:line="360" w:lineRule="auto"/>
        <w:ind w:right="977" w:firstLine="48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lang w:val="en-US" w:eastAsia="zh-CN" w:bidi="ar-SA"/>
        </w:rPr>
        <w:t>（3）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必须在指定的区域内工作，严禁在厂区内乱窜，严禁在工作期间打逗、吸烟、乱丢废弃物。</w:t>
      </w:r>
    </w:p>
    <w:p>
      <w:pPr>
        <w:pStyle w:val="22"/>
        <w:numPr>
          <w:ilvl w:val="0"/>
          <w:numId w:val="0"/>
        </w:numPr>
        <w:tabs>
          <w:tab w:val="left" w:pos="1000"/>
        </w:tabs>
        <w:autoSpaceDE w:val="0"/>
        <w:autoSpaceDN w:val="0"/>
        <w:spacing w:before="37" w:line="360" w:lineRule="auto"/>
        <w:ind w:left="567" w:leftChars="0"/>
        <w:contextualSpacing w:val="0"/>
        <w:rPr>
          <w:rFonts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2、</w:t>
      </w:r>
      <w:r>
        <w:rPr>
          <w:rFonts w:ascii="Times New Roman" w:hAnsi="Times New Roman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进入施工现场的设备要求</w:t>
      </w:r>
    </w:p>
    <w:p>
      <w:pPr>
        <w:pStyle w:val="4"/>
        <w:spacing w:line="360" w:lineRule="auto"/>
        <w:ind w:right="977" w:firstLine="48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lang w:val="en-US" w:eastAsia="zh-CN" w:bidi="ar-SA"/>
        </w:rPr>
        <w:t>（1）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施工工器具应完好无损、试验合格。</w:t>
      </w:r>
    </w:p>
    <w:p>
      <w:pPr>
        <w:pStyle w:val="4"/>
        <w:spacing w:line="360" w:lineRule="auto"/>
        <w:ind w:right="977" w:firstLine="480"/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color w:val="auto"/>
          <w:kern w:val="2"/>
          <w:sz w:val="24"/>
          <w:szCs w:val="24"/>
          <w:lang w:val="en-US" w:eastAsia="zh-CN" w:bidi="ar-SA"/>
        </w:rPr>
        <w:t>（2）</w:t>
      </w:r>
      <w:r>
        <w:rPr>
          <w:rFonts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使用的电气设备外壳应绝缘良好、接地可靠，移动电源盘应容量足够并配置漏电保护装置。按照南网公司要求，对设备进行安全检查，并贴上合格标识。</w:t>
      </w:r>
    </w:p>
    <w:p>
      <w:pPr>
        <w:pStyle w:val="2"/>
        <w:numPr>
          <w:ilvl w:val="0"/>
          <w:numId w:val="0"/>
        </w:numPr>
        <w:spacing w:before="163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五、</w:t>
      </w:r>
      <w:r>
        <w:rPr>
          <w:rFonts w:hint="eastAsia"/>
          <w:color w:val="auto"/>
          <w:lang w:val="en-US"/>
        </w:rPr>
        <w:t>未尽事宜，另外协商解决</w:t>
      </w:r>
      <w:bookmarkStart w:id="2" w:name="_GoBack"/>
      <w:bookmarkEnd w:id="2"/>
    </w:p>
    <w:sectPr>
      <w:headerReference r:id="rId5" w:type="default"/>
      <w:footerReference r:id="rId6" w:type="default"/>
      <w:pgSz w:w="11906" w:h="16838"/>
      <w:pgMar w:top="1134" w:right="1134" w:bottom="1134" w:left="1417" w:header="709" w:footer="992" w:gutter="0"/>
      <w:pgNumType w:start="1"/>
      <w:cols w:space="720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1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419C60"/>
    <w:multiLevelType w:val="multilevel"/>
    <w:tmpl w:val="15419C60"/>
    <w:lvl w:ilvl="0" w:tentative="0">
      <w:start w:val="1"/>
      <w:numFmt w:val="decimal"/>
      <w:lvlText w:val="1.%1"/>
      <w:lvlJc w:val="left"/>
      <w:pPr>
        <w:ind w:left="900" w:hanging="420"/>
      </w:pPr>
      <w:rPr>
        <w:rFonts w:hint="default" w:ascii="Times New Roman" w:hAnsi="Times New Roman" w:eastAsia="宋体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32215617"/>
    <w:multiLevelType w:val="multilevel"/>
    <w:tmpl w:val="32215617"/>
    <w:lvl w:ilvl="0" w:tentative="0">
      <w:start w:val="1"/>
      <w:numFmt w:val="decimal"/>
      <w:lvlText w:val="0.%1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1" w:tentative="0">
      <w:start w:val="1"/>
      <w:numFmt w:val="decimal"/>
      <w:pStyle w:val="16"/>
      <w:lvlText w:val="0.%1.%2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2" w:tentative="0">
      <w:start w:val="1"/>
      <w:numFmt w:val="decimal"/>
      <w:lvlText w:val="0.%2.%3"/>
      <w:lvlJc w:val="left"/>
      <w:pPr>
        <w:tabs>
          <w:tab w:val="left" w:pos="720"/>
        </w:tabs>
        <w:ind w:left="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35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2">
    <w:nsid w:val="41A64E98"/>
    <w:multiLevelType w:val="multilevel"/>
    <w:tmpl w:val="41A64E98"/>
    <w:lvl w:ilvl="0" w:tentative="0">
      <w:start w:val="1"/>
      <w:numFmt w:val="decimal"/>
      <w:pStyle w:val="17"/>
      <w:lvlText w:val="0.%1"/>
      <w:lvlJc w:val="left"/>
      <w:pPr>
        <w:tabs>
          <w:tab w:val="left" w:pos="360"/>
        </w:tabs>
        <w:ind w:left="0" w:firstLine="0"/>
      </w:pPr>
      <w:rPr>
        <w:rFonts w:hint="eastAsia" w:ascii="宋体" w:hAnsi="Times New Roman" w:eastAsia="宋体"/>
        <w:b/>
        <w:i w:val="0"/>
        <w:sz w:val="21"/>
      </w:rPr>
    </w:lvl>
    <w:lvl w:ilvl="1" w:tentative="0">
      <w:start w:val="1"/>
      <w:numFmt w:val="decimal"/>
      <w:lvlText w:val="0.%1.%2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2" w:tentative="0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3">
    <w:nsid w:val="42B6E4AA"/>
    <w:multiLevelType w:val="multilevel"/>
    <w:tmpl w:val="42B6E4AA"/>
    <w:lvl w:ilvl="0" w:tentative="0">
      <w:start w:val="1"/>
      <w:numFmt w:val="decimal"/>
      <w:pStyle w:val="12"/>
      <w:lvlText w:val="（%1）"/>
      <w:lvlJc w:val="left"/>
      <w:pPr>
        <w:ind w:left="987" w:hanging="420"/>
      </w:pPr>
      <w:rPr>
        <w:rFonts w:hint="eastAsia" w:cs="Times New Roman"/>
      </w:rPr>
    </w:lvl>
    <w:lvl w:ilvl="1" w:tentative="0">
      <w:start w:val="1"/>
      <w:numFmt w:val="lowerLetter"/>
      <w:lvlText w:val="%2)"/>
      <w:lvlJc w:val="left"/>
      <w:pPr>
        <w:ind w:left="1407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827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247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667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087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3507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927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4347" w:hanging="420"/>
      </w:pPr>
      <w:rPr>
        <w:rFonts w:cs="Times New Roman"/>
      </w:rPr>
    </w:lvl>
  </w:abstractNum>
  <w:abstractNum w:abstractNumId="4">
    <w:nsid w:val="566B49A5"/>
    <w:multiLevelType w:val="multilevel"/>
    <w:tmpl w:val="566B49A5"/>
    <w:lvl w:ilvl="0" w:tentative="0">
      <w:start w:val="1"/>
      <w:numFmt w:val="decimal"/>
      <w:lvlText w:val="1.4.5.%1"/>
      <w:lvlJc w:val="left"/>
      <w:pPr>
        <w:tabs>
          <w:tab w:val="left" w:pos="720"/>
        </w:tabs>
      </w:pPr>
      <w:rPr>
        <w:rFonts w:hint="eastAsia" w:cs="Times New Roman"/>
      </w:rPr>
    </w:lvl>
    <w:lvl w:ilvl="1" w:tentative="0">
      <w:start w:val="1"/>
      <w:numFmt w:val="decimal"/>
      <w:pStyle w:val="11"/>
      <w:lvlText w:val="%1.%2"/>
      <w:lvlJc w:val="left"/>
      <w:pPr>
        <w:tabs>
          <w:tab w:val="left" w:pos="360"/>
        </w:tabs>
      </w:pPr>
      <w:rPr>
        <w:rFonts w:hint="eastAsia" w:cs="Times New Roman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 w:cs="Times New Roman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 w:cs="Times New Roman"/>
      </w:rPr>
    </w:lvl>
    <w:lvl w:ilvl="4" w:tentative="0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 w:cs="Times New Roman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 w:cs="Times New Roman"/>
      </w:rPr>
    </w:lvl>
    <w:lvl w:ilvl="6" w:tentative="0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 w:cs="Times New Roman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 w:cs="Times New Roman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 w:cs="Times New Roman"/>
      </w:rPr>
    </w:lvl>
  </w:abstractNum>
  <w:abstractNum w:abstractNumId="5">
    <w:nsid w:val="6D4714AD"/>
    <w:multiLevelType w:val="multilevel"/>
    <w:tmpl w:val="6D4714AD"/>
    <w:lvl w:ilvl="0" w:tentative="0">
      <w:start w:val="1"/>
      <w:numFmt w:val="decimal"/>
      <w:isLgl/>
      <w:lvlText w:val="%1"/>
      <w:lvlJc w:val="left"/>
      <w:pPr>
        <w:tabs>
          <w:tab w:val="left" w:pos="0"/>
        </w:tabs>
        <w:ind w:left="0" w:firstLine="0"/>
      </w:pPr>
      <w:rPr>
        <w:rFonts w:hint="eastAsia" w:eastAsia="宋体"/>
        <w:b w:val="0"/>
        <w:i w:val="0"/>
        <w:sz w:val="32"/>
        <w:szCs w:val="32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866"/>
        </w:tabs>
        <w:ind w:left="993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301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79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94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72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51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657"/>
        </w:tabs>
        <w:ind w:left="4677" w:hanging="1700"/>
      </w:pPr>
      <w:rPr>
        <w:rFonts w:hint="eastAsia"/>
      </w:rPr>
    </w:lvl>
  </w:abstractNum>
  <w:abstractNum w:abstractNumId="6">
    <w:nsid w:val="75337099"/>
    <w:multiLevelType w:val="singleLevel"/>
    <w:tmpl w:val="75337099"/>
    <w:lvl w:ilvl="0" w:tentative="0">
      <w:start w:val="2"/>
      <w:numFmt w:val="chineseCounting"/>
      <w:suff w:val="nothing"/>
      <w:lvlText w:val="%1、"/>
      <w:lvlJc w:val="left"/>
      <w:pPr>
        <w:ind w:left="-185"/>
      </w:pPr>
      <w:rPr>
        <w:rFonts w:hint="eastAsi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5DF26D1A"/>
    <w:rsid w:val="00901D05"/>
    <w:rsid w:val="02FA5818"/>
    <w:rsid w:val="05161364"/>
    <w:rsid w:val="06864381"/>
    <w:rsid w:val="09822228"/>
    <w:rsid w:val="09A25B72"/>
    <w:rsid w:val="0BF63EAB"/>
    <w:rsid w:val="0C2D26E3"/>
    <w:rsid w:val="0D770B24"/>
    <w:rsid w:val="0E9C4928"/>
    <w:rsid w:val="110B3F03"/>
    <w:rsid w:val="121769BF"/>
    <w:rsid w:val="123610C7"/>
    <w:rsid w:val="12A77DD5"/>
    <w:rsid w:val="12E20D45"/>
    <w:rsid w:val="177E37E5"/>
    <w:rsid w:val="17D313A3"/>
    <w:rsid w:val="18C474F8"/>
    <w:rsid w:val="192D561A"/>
    <w:rsid w:val="1AD02E25"/>
    <w:rsid w:val="1B0E4707"/>
    <w:rsid w:val="1CCF1285"/>
    <w:rsid w:val="1CD62749"/>
    <w:rsid w:val="1F33353E"/>
    <w:rsid w:val="23A32E08"/>
    <w:rsid w:val="25440C67"/>
    <w:rsid w:val="2632693A"/>
    <w:rsid w:val="26CC570C"/>
    <w:rsid w:val="2A2C16BD"/>
    <w:rsid w:val="2F0B41A4"/>
    <w:rsid w:val="30DC4E75"/>
    <w:rsid w:val="315D3AEF"/>
    <w:rsid w:val="318F127C"/>
    <w:rsid w:val="31C516A0"/>
    <w:rsid w:val="35CB1AEF"/>
    <w:rsid w:val="36A96610"/>
    <w:rsid w:val="37F27096"/>
    <w:rsid w:val="3AC814BF"/>
    <w:rsid w:val="3CD23F0B"/>
    <w:rsid w:val="3E77093E"/>
    <w:rsid w:val="3EDA219B"/>
    <w:rsid w:val="3FD832F0"/>
    <w:rsid w:val="40A35D56"/>
    <w:rsid w:val="41B44B58"/>
    <w:rsid w:val="438D35E3"/>
    <w:rsid w:val="48CB1816"/>
    <w:rsid w:val="48DF429B"/>
    <w:rsid w:val="494D1C00"/>
    <w:rsid w:val="49E63F87"/>
    <w:rsid w:val="4C174D62"/>
    <w:rsid w:val="4D7235D5"/>
    <w:rsid w:val="4DA653C6"/>
    <w:rsid w:val="51BB160E"/>
    <w:rsid w:val="51D2462F"/>
    <w:rsid w:val="52DD4E28"/>
    <w:rsid w:val="53594454"/>
    <w:rsid w:val="54B637EB"/>
    <w:rsid w:val="566F337D"/>
    <w:rsid w:val="586F4122"/>
    <w:rsid w:val="593104CD"/>
    <w:rsid w:val="5ADD72A9"/>
    <w:rsid w:val="5B871B3A"/>
    <w:rsid w:val="5D1560C5"/>
    <w:rsid w:val="5D8A1907"/>
    <w:rsid w:val="5DC60467"/>
    <w:rsid w:val="5DF26D1A"/>
    <w:rsid w:val="5F192012"/>
    <w:rsid w:val="60ED3A7C"/>
    <w:rsid w:val="60ED6034"/>
    <w:rsid w:val="63972DF0"/>
    <w:rsid w:val="63CA3819"/>
    <w:rsid w:val="67FC103E"/>
    <w:rsid w:val="69054B5C"/>
    <w:rsid w:val="69931E41"/>
    <w:rsid w:val="6A6521E8"/>
    <w:rsid w:val="6A931945"/>
    <w:rsid w:val="6AA345D1"/>
    <w:rsid w:val="6E813FCA"/>
    <w:rsid w:val="72195F08"/>
    <w:rsid w:val="72BD5588"/>
    <w:rsid w:val="73810A1B"/>
    <w:rsid w:val="76A01A5D"/>
    <w:rsid w:val="790747E8"/>
    <w:rsid w:val="79B600AA"/>
    <w:rsid w:val="7AB634A3"/>
    <w:rsid w:val="7CD91D76"/>
    <w:rsid w:val="7DC60650"/>
    <w:rsid w:val="7F7D2541"/>
    <w:rsid w:val="7FAE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tabs>
        <w:tab w:val="left" w:pos="0"/>
      </w:tabs>
      <w:spacing w:beforeLines="50" w:line="240" w:lineRule="auto"/>
      <w:outlineLvl w:val="0"/>
    </w:pPr>
    <w:rPr>
      <w:rFonts w:eastAsia="黑体"/>
      <w:b/>
      <w:bCs/>
      <w:kern w:val="44"/>
      <w:sz w:val="30"/>
      <w:szCs w:val="44"/>
      <w:lang w:val="zh-CN"/>
    </w:rPr>
  </w:style>
  <w:style w:type="paragraph" w:styleId="3">
    <w:name w:val="heading 2"/>
    <w:basedOn w:val="1"/>
    <w:next w:val="1"/>
    <w:autoRedefine/>
    <w:qFormat/>
    <w:uiPriority w:val="9"/>
    <w:pPr>
      <w:keepNext/>
      <w:keepLines/>
      <w:numPr>
        <w:ilvl w:val="1"/>
        <w:numId w:val="1"/>
      </w:numPr>
      <w:spacing w:beforeLines="50"/>
      <w:outlineLvl w:val="1"/>
    </w:pPr>
    <w:rPr>
      <w:rFonts w:ascii="Cambria" w:hAnsi="Cambria"/>
      <w:b/>
      <w:bCs/>
      <w:kern w:val="0"/>
      <w:sz w:val="28"/>
      <w:szCs w:val="32"/>
      <w:lang w:val="zh-CN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4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  <w:szCs w:val="20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  <w:pPr>
      <w:tabs>
        <w:tab w:val="left" w:pos="420"/>
        <w:tab w:val="right" w:leader="dot" w:pos="9344"/>
      </w:tabs>
    </w:pPr>
  </w:style>
  <w:style w:type="paragraph" w:customStyle="1" w:styleId="11">
    <w:name w:val="引言二级条标题2"/>
    <w:basedOn w:val="12"/>
    <w:next w:val="13"/>
    <w:qFormat/>
    <w:uiPriority w:val="99"/>
    <w:pPr>
      <w:numPr>
        <w:ilvl w:val="1"/>
        <w:numId w:val="2"/>
      </w:numPr>
      <w:ind w:left="0" w:firstLine="0"/>
    </w:pPr>
  </w:style>
  <w:style w:type="paragraph" w:customStyle="1" w:styleId="12">
    <w:name w:val="引言一级条标题2"/>
    <w:basedOn w:val="1"/>
    <w:next w:val="13"/>
    <w:qFormat/>
    <w:uiPriority w:val="99"/>
    <w:pPr>
      <w:numPr>
        <w:ilvl w:val="0"/>
        <w:numId w:val="3"/>
      </w:numPr>
    </w:pPr>
    <w:rPr>
      <w:rFonts w:eastAsia="黑体"/>
      <w:b/>
    </w:rPr>
  </w:style>
  <w:style w:type="paragraph" w:customStyle="1" w:styleId="13">
    <w:name w:val="段2"/>
    <w:autoRedefine/>
    <w:qFormat/>
    <w:uiPriority w:val="99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customStyle="1" w:styleId="14">
    <w:name w:val="方案正文"/>
    <w:basedOn w:val="1"/>
    <w:qFormat/>
    <w:uiPriority w:val="0"/>
    <w:pPr>
      <w:ind w:firstLine="480" w:firstLineChars="200"/>
    </w:pPr>
    <w:rPr>
      <w:rFonts w:ascii="仿宋_GB2312"/>
    </w:rPr>
  </w:style>
  <w:style w:type="paragraph" w:customStyle="1" w:styleId="15">
    <w:name w:val="列出段落3"/>
    <w:basedOn w:val="1"/>
    <w:qFormat/>
    <w:uiPriority w:val="34"/>
    <w:pPr>
      <w:ind w:firstLine="420" w:firstLineChars="200"/>
    </w:pPr>
  </w:style>
  <w:style w:type="paragraph" w:customStyle="1" w:styleId="16">
    <w:name w:val="引言二级条标题"/>
    <w:basedOn w:val="17"/>
    <w:next w:val="1"/>
    <w:semiHidden/>
    <w:qFormat/>
    <w:uiPriority w:val="0"/>
    <w:pPr>
      <w:numPr>
        <w:ilvl w:val="1"/>
        <w:numId w:val="4"/>
      </w:numPr>
      <w:tabs>
        <w:tab w:val="clear" w:pos="720"/>
      </w:tabs>
    </w:pPr>
  </w:style>
  <w:style w:type="paragraph" w:customStyle="1" w:styleId="17">
    <w:name w:val="引言一级条标题"/>
    <w:basedOn w:val="1"/>
    <w:next w:val="18"/>
    <w:semiHidden/>
    <w:qFormat/>
    <w:uiPriority w:val="0"/>
    <w:pPr>
      <w:widowControl/>
      <w:numPr>
        <w:ilvl w:val="0"/>
        <w:numId w:val="5"/>
      </w:numPr>
      <w:tabs>
        <w:tab w:val="clear" w:pos="360"/>
      </w:tabs>
      <w:spacing w:line="240" w:lineRule="auto"/>
    </w:pPr>
    <w:rPr>
      <w:rFonts w:eastAsia="黑体"/>
      <w:b/>
      <w:sz w:val="21"/>
    </w:rPr>
  </w:style>
  <w:style w:type="paragraph" w:customStyle="1" w:styleId="18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customStyle="1" w:styleId="19">
    <w:name w:val="Table Paragraph"/>
    <w:basedOn w:val="1"/>
    <w:autoRedefine/>
    <w:qFormat/>
    <w:uiPriority w:val="1"/>
  </w:style>
  <w:style w:type="paragraph" w:customStyle="1" w:styleId="20">
    <w:name w:val="列出段落31"/>
    <w:basedOn w:val="1"/>
    <w:autoRedefine/>
    <w:qFormat/>
    <w:uiPriority w:val="34"/>
    <w:pPr>
      <w:ind w:firstLine="420" w:firstLineChars="200"/>
    </w:pPr>
  </w:style>
  <w:style w:type="paragraph" w:customStyle="1" w:styleId="21">
    <w:name w:val="_Style 4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22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3">
    <w:name w:val="正文5"/>
    <w:basedOn w:val="1"/>
    <w:autoRedefine/>
    <w:qFormat/>
    <w:uiPriority w:val="0"/>
    <w:pPr>
      <w:ind w:left="500" w:leftChars="5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2023-02-03T06:56:00Z</dcterms:created>
  <dc:creator>郭旭</dc:creator>
  <cp:lastModifiedBy>徐高祥</cp:lastModifiedBy>
  <dcterms:modified xsi:type="dcterms:W3CDTF">2024-05-22T03:02:30Z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EA44340EE1524F3698BA1E7DF588BCF9</vt:lpwstr>
  </property>
</Properties>
</file>