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560" w:lineRule="exact"/>
        <w:jc w:val="center"/>
        <w:rPr>
          <w:rFonts w:hint="eastAsia" w:ascii="宋体" w:hAnsi="宋体" w:eastAsia="宋体" w:cs="宋体"/>
          <w:b/>
          <w:color w:val="auto"/>
          <w:sz w:val="32"/>
          <w:highlight w:val="none"/>
        </w:rPr>
      </w:pPr>
      <w:r>
        <w:rPr>
          <w:rFonts w:hint="eastAsia" w:ascii="宋体" w:hAnsi="宋体" w:eastAsia="宋体" w:cs="宋体"/>
          <w:b/>
          <w:color w:val="auto"/>
          <w:sz w:val="32"/>
          <w:highlight w:val="none"/>
        </w:rPr>
        <w:t>报</w:t>
      </w:r>
      <w:r>
        <w:rPr>
          <w:rFonts w:hint="eastAsia" w:ascii="宋体" w:hAnsi="宋体" w:cs="宋体"/>
          <w:b/>
          <w:color w:val="auto"/>
          <w:sz w:val="32"/>
          <w:highlight w:val="none"/>
          <w:lang w:val="en-US" w:eastAsia="zh-CN"/>
        </w:rPr>
        <w:t xml:space="preserve"> </w:t>
      </w:r>
      <w:r>
        <w:rPr>
          <w:rFonts w:hint="eastAsia" w:ascii="宋体" w:hAnsi="宋体" w:eastAsia="宋体" w:cs="宋体"/>
          <w:b/>
          <w:color w:val="auto"/>
          <w:sz w:val="32"/>
          <w:highlight w:val="none"/>
        </w:rPr>
        <w:t>价</w:t>
      </w:r>
      <w:r>
        <w:rPr>
          <w:rFonts w:hint="eastAsia" w:ascii="宋体" w:hAnsi="宋体" w:eastAsia="宋体" w:cs="宋体"/>
          <w:b/>
          <w:color w:val="auto"/>
          <w:sz w:val="32"/>
          <w:highlight w:val="none"/>
          <w:lang w:val="en-US" w:eastAsia="zh-CN"/>
        </w:rPr>
        <w:t xml:space="preserve"> 明 细</w:t>
      </w:r>
      <w:r>
        <w:rPr>
          <w:rFonts w:hint="eastAsia" w:ascii="宋体" w:hAnsi="宋体" w:cs="宋体"/>
          <w:b/>
          <w:color w:val="auto"/>
          <w:sz w:val="32"/>
          <w:highlight w:val="none"/>
          <w:lang w:val="en-US" w:eastAsia="zh-CN"/>
        </w:rPr>
        <w:t xml:space="preserve"> </w:t>
      </w:r>
      <w:r>
        <w:rPr>
          <w:rFonts w:hint="eastAsia" w:ascii="宋体" w:hAnsi="宋体" w:eastAsia="宋体" w:cs="宋体"/>
          <w:b/>
          <w:color w:val="auto"/>
          <w:sz w:val="32"/>
          <w:highlight w:val="none"/>
        </w:rPr>
        <w:t>表</w:t>
      </w:r>
    </w:p>
    <w:p>
      <w:pPr>
        <w:spacing w:line="560" w:lineRule="exact"/>
        <w:jc w:val="left"/>
        <w:rPr>
          <w:rFonts w:hint="default"/>
          <w:lang w:val="en-US"/>
        </w:rPr>
      </w:pPr>
      <w:r>
        <w:rPr>
          <w:rFonts w:hint="eastAsia" w:ascii="宋体" w:hAnsi="宋体"/>
          <w:bCs/>
          <w:color w:val="auto"/>
          <w:sz w:val="24"/>
          <w:highlight w:val="none"/>
          <w:lang w:val="en-US" w:eastAsia="zh-CN"/>
        </w:rPr>
        <w:t>项目</w:t>
      </w:r>
      <w:r>
        <w:rPr>
          <w:rFonts w:hint="eastAsia" w:ascii="宋体" w:hAnsi="宋体"/>
          <w:bCs/>
          <w:color w:val="auto"/>
          <w:sz w:val="24"/>
          <w:highlight w:val="none"/>
        </w:rPr>
        <w:t>名称：</w:t>
      </w:r>
      <w:r>
        <w:rPr>
          <w:rFonts w:hint="eastAsia" w:ascii="宋体" w:hAnsi="宋体"/>
          <w:bCs/>
          <w:color w:val="auto"/>
          <w:sz w:val="24"/>
          <w:highlight w:val="none"/>
          <w:u w:val="single"/>
        </w:rPr>
        <w:t xml:space="preserve"> </w:t>
      </w:r>
      <w:r>
        <w:rPr>
          <w:rFonts w:hint="eastAsia" w:ascii="宋体" w:hAnsi="宋体" w:cs="Times New Roman"/>
          <w:bCs/>
          <w:color w:val="auto"/>
          <w:sz w:val="24"/>
          <w:highlight w:val="none"/>
          <w:u w:val="single"/>
        </w:rPr>
        <w:t xml:space="preserve"> </w:t>
      </w:r>
      <w:r>
        <w:rPr>
          <w:rFonts w:hint="eastAsia" w:ascii="宋体" w:hAnsi="宋体" w:cs="Times New Roman"/>
          <w:bCs/>
          <w:color w:val="auto"/>
          <w:sz w:val="24"/>
          <w:highlight w:val="none"/>
          <w:u w:val="single"/>
          <w:lang w:val="en-US" w:eastAsia="zh-CN"/>
        </w:rPr>
        <w:t>西部修试公司天厂220kV 开关站220kV天隆Ⅱ线20536刀闸操作平台制作</w:t>
      </w:r>
      <w:r>
        <w:rPr>
          <w:rFonts w:hint="eastAsia" w:ascii="宋体" w:hAnsi="宋体" w:cs="Times New Roman"/>
          <w:bCs/>
          <w:color w:val="auto"/>
          <w:sz w:val="24"/>
          <w:highlight w:val="none"/>
          <w:u w:val="single"/>
        </w:rPr>
        <w:t xml:space="preserve"> </w:t>
      </w:r>
      <w:r>
        <w:rPr>
          <w:rFonts w:hint="eastAsia" w:ascii="宋体" w:hAnsi="宋体"/>
          <w:bCs/>
          <w:color w:val="auto"/>
          <w:sz w:val="24"/>
          <w:highlight w:val="none"/>
          <w:u w:val="single"/>
        </w:rPr>
        <w:t xml:space="preserve"> </w:t>
      </w:r>
    </w:p>
    <w:tbl>
      <w:tblPr>
        <w:tblStyle w:val="3"/>
        <w:tblpPr w:leftFromText="180" w:rightFromText="180" w:vertAnchor="text" w:horzAnchor="page" w:tblpX="1207" w:tblpY="242"/>
        <w:tblOverlap w:val="never"/>
        <w:tblW w:w="14136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02"/>
        <w:gridCol w:w="2255"/>
        <w:gridCol w:w="2784"/>
        <w:gridCol w:w="1225"/>
        <w:gridCol w:w="1200"/>
        <w:gridCol w:w="1253"/>
        <w:gridCol w:w="1403"/>
        <w:gridCol w:w="1557"/>
        <w:gridCol w:w="1557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1" w:hRule="atLeast"/>
        </w:trPr>
        <w:tc>
          <w:tcPr>
            <w:tcW w:w="9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序号</w:t>
            </w:r>
          </w:p>
        </w:tc>
        <w:tc>
          <w:tcPr>
            <w:tcW w:w="22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名称</w:t>
            </w:r>
          </w:p>
        </w:tc>
        <w:tc>
          <w:tcPr>
            <w:tcW w:w="27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具体内容</w:t>
            </w: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（材料、品牌、规格、型号、计算说明）</w:t>
            </w:r>
          </w:p>
        </w:tc>
        <w:tc>
          <w:tcPr>
            <w:tcW w:w="12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单位</w:t>
            </w:r>
          </w:p>
        </w:tc>
        <w:tc>
          <w:tcPr>
            <w:tcW w:w="1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数量</w:t>
            </w:r>
          </w:p>
        </w:tc>
        <w:tc>
          <w:tcPr>
            <w:tcW w:w="12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含税单价（元）</w:t>
            </w:r>
          </w:p>
        </w:tc>
        <w:tc>
          <w:tcPr>
            <w:tcW w:w="1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含税合价(元)</w:t>
            </w:r>
          </w:p>
        </w:tc>
        <w:tc>
          <w:tcPr>
            <w:tcW w:w="15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税率（%）</w:t>
            </w:r>
          </w:p>
        </w:tc>
        <w:tc>
          <w:tcPr>
            <w:tcW w:w="15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 备注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4" w:hRule="atLeast"/>
        </w:trPr>
        <w:tc>
          <w:tcPr>
            <w:tcW w:w="9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一</w:t>
            </w:r>
          </w:p>
        </w:tc>
        <w:tc>
          <w:tcPr>
            <w:tcW w:w="503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刀闸操作平台     </w:t>
            </w:r>
          </w:p>
        </w:tc>
        <w:tc>
          <w:tcPr>
            <w:tcW w:w="12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</w:pPr>
          </w:p>
        </w:tc>
        <w:tc>
          <w:tcPr>
            <w:tcW w:w="12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5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  <w:tc>
          <w:tcPr>
            <w:tcW w:w="15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2" w:hRule="atLeast"/>
        </w:trPr>
        <w:tc>
          <w:tcPr>
            <w:tcW w:w="9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503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 定制（按图加工）</w:t>
            </w:r>
          </w:p>
        </w:tc>
        <w:tc>
          <w:tcPr>
            <w:tcW w:w="12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  <w:t>架</w:t>
            </w:r>
          </w:p>
        </w:tc>
        <w:tc>
          <w:tcPr>
            <w:tcW w:w="1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  <w:t>1</w:t>
            </w:r>
          </w:p>
        </w:tc>
        <w:tc>
          <w:tcPr>
            <w:tcW w:w="12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5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  <w:t>13%</w:t>
            </w:r>
          </w:p>
        </w:tc>
        <w:tc>
          <w:tcPr>
            <w:tcW w:w="15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4" w:hRule="atLeast"/>
        </w:trPr>
        <w:tc>
          <w:tcPr>
            <w:tcW w:w="9619" w:type="dxa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合计</w:t>
            </w:r>
          </w:p>
        </w:tc>
        <w:tc>
          <w:tcPr>
            <w:tcW w:w="1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5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5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</w:tbl>
    <w:p>
      <w:pPr>
        <w:spacing w:line="360" w:lineRule="auto"/>
        <w:rPr>
          <w:rFonts w:hint="eastAsia" w:ascii="宋体" w:hAnsi="宋体" w:eastAsia="宋体" w:cs="宋体"/>
          <w:color w:val="auto"/>
          <w:sz w:val="21"/>
          <w:szCs w:val="21"/>
          <w:highlight w:val="none"/>
        </w:rPr>
      </w:pPr>
      <w:bookmarkStart w:id="0" w:name="OLE_LINK2"/>
      <w:r>
        <w:rPr>
          <w:rFonts w:hint="eastAsia" w:ascii="宋体" w:hAnsi="宋体" w:eastAsia="宋体" w:cs="宋体"/>
          <w:color w:val="auto"/>
          <w:sz w:val="21"/>
          <w:szCs w:val="21"/>
          <w:highlight w:val="none"/>
        </w:rPr>
        <w:t>说明：</w:t>
      </w:r>
    </w:p>
    <w:p>
      <w:pPr>
        <w:spacing w:line="360" w:lineRule="auto"/>
        <w:rPr>
          <w:rFonts w:hint="eastAsia" w:ascii="宋体" w:hAnsi="宋体" w:eastAsia="宋体" w:cs="宋体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1"/>
          <w:szCs w:val="21"/>
          <w:highlight w:val="none"/>
          <w:lang w:val="en-US" w:eastAsia="zh-CN"/>
        </w:rPr>
        <w:t>1、以上报价已含材料费、人工、管理、安全措施费、税收、利润、差旅费等项目实施过程中可能发生的所有费用。</w:t>
      </w:r>
    </w:p>
    <w:p>
      <w:pPr>
        <w:spacing w:line="360" w:lineRule="auto"/>
        <w:rPr>
          <w:rFonts w:hint="eastAsia" w:ascii="宋体" w:hAnsi="宋体" w:eastAsia="宋体" w:cs="宋体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1"/>
          <w:szCs w:val="21"/>
          <w:highlight w:val="none"/>
          <w:lang w:val="en-US" w:eastAsia="zh-CN"/>
        </w:rPr>
        <w:t>2、工期（天）：自协议签订之日</w:t>
      </w:r>
      <w:r>
        <w:rPr>
          <w:rFonts w:hint="eastAsia" w:ascii="宋体" w:hAnsi="宋体" w:cs="宋体"/>
          <w:color w:val="auto"/>
          <w:sz w:val="21"/>
          <w:szCs w:val="21"/>
          <w:highlight w:val="none"/>
          <w:lang w:val="en-US" w:eastAsia="zh-CN"/>
        </w:rPr>
        <w:t>30天内</w:t>
      </w:r>
      <w:r>
        <w:rPr>
          <w:rFonts w:hint="eastAsia" w:ascii="宋体" w:hAnsi="宋体" w:eastAsia="宋体" w:cs="宋体"/>
          <w:color w:val="auto"/>
          <w:sz w:val="21"/>
          <w:szCs w:val="21"/>
          <w:highlight w:val="none"/>
          <w:lang w:val="en-US" w:eastAsia="zh-CN"/>
        </w:rPr>
        <w:t>。</w:t>
      </w:r>
    </w:p>
    <w:p>
      <w:pPr>
        <w:spacing w:line="360" w:lineRule="auto"/>
        <w:rPr>
          <w:rFonts w:hint="eastAsia" w:ascii="宋体" w:hAnsi="宋体" w:eastAsia="宋体" w:cs="宋体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1"/>
          <w:szCs w:val="21"/>
          <w:highlight w:val="none"/>
          <w:lang w:val="en-US" w:eastAsia="zh-CN"/>
        </w:rPr>
        <w:t>3、付款方式：本项目采用包工包料包工期包质量包安全包文明施工。乙方按照要求完成施工并经甲方验收合格后，乙方提交本项目总价全额增值税专用</w:t>
      </w:r>
      <w:bookmarkStart w:id="1" w:name="_GoBack"/>
      <w:bookmarkEnd w:id="1"/>
      <w:r>
        <w:rPr>
          <w:rFonts w:hint="eastAsia" w:ascii="宋体" w:hAnsi="宋体" w:eastAsia="宋体" w:cs="宋体"/>
          <w:color w:val="auto"/>
          <w:sz w:val="21"/>
          <w:szCs w:val="21"/>
          <w:highlight w:val="none"/>
          <w:lang w:val="en-US" w:eastAsia="zh-CN"/>
        </w:rPr>
        <w:t>发票后，甲方在60天内向乙方付清总价款。</w:t>
      </w:r>
    </w:p>
    <w:p>
      <w:pPr>
        <w:spacing w:line="360" w:lineRule="auto"/>
        <w:rPr>
          <w:rFonts w:hint="eastAsia" w:ascii="宋体" w:hAnsi="宋体" w:eastAsia="宋体" w:cs="宋体"/>
          <w:color w:val="auto"/>
          <w:sz w:val="21"/>
          <w:szCs w:val="21"/>
          <w:highlight w:val="none"/>
        </w:rPr>
      </w:pPr>
      <w:r>
        <w:rPr>
          <w:rFonts w:hint="eastAsia" w:ascii="宋体" w:hAnsi="宋体" w:eastAsia="宋体" w:cs="宋体"/>
          <w:color w:val="auto"/>
          <w:sz w:val="21"/>
          <w:szCs w:val="21"/>
          <w:highlight w:val="none"/>
          <w:lang w:val="en-US" w:eastAsia="zh-CN"/>
        </w:rPr>
        <w:t>4、大写与小写不一致，以大写为准。</w:t>
      </w:r>
      <w:bookmarkEnd w:id="0"/>
    </w:p>
    <w:p>
      <w:pPr>
        <w:spacing w:line="520" w:lineRule="exact"/>
        <w:ind w:left="840"/>
        <w:jc w:val="center"/>
        <w:rPr>
          <w:rFonts w:ascii="宋体" w:hAnsi="宋体"/>
          <w:color w:val="auto"/>
          <w:szCs w:val="21"/>
          <w:highlight w:val="none"/>
        </w:rPr>
      </w:pPr>
      <w:r>
        <w:rPr>
          <w:rFonts w:hint="eastAsia" w:ascii="宋体" w:hAnsi="宋体" w:eastAsia="宋体" w:cs="宋体"/>
          <w:color w:val="auto"/>
          <w:sz w:val="21"/>
          <w:szCs w:val="21"/>
          <w:highlight w:val="none"/>
          <w:lang w:val="en-US" w:eastAsia="zh-CN"/>
        </w:rPr>
        <w:t xml:space="preserve">                                                              </w:t>
      </w:r>
      <w:r>
        <w:rPr>
          <w:rFonts w:hint="eastAsia" w:ascii="宋体" w:hAnsi="宋体"/>
          <w:color w:val="auto"/>
          <w:szCs w:val="21"/>
          <w:highlight w:val="none"/>
        </w:rPr>
        <w:t>报价单位名称：</w:t>
      </w:r>
      <w:r>
        <w:rPr>
          <w:rFonts w:hint="eastAsia" w:ascii="宋体" w:hAnsi="宋体"/>
          <w:color w:val="auto"/>
          <w:szCs w:val="21"/>
          <w:highlight w:val="none"/>
          <w:lang w:val="en-US" w:eastAsia="zh-CN"/>
        </w:rPr>
        <w:t xml:space="preserve">   </w:t>
      </w:r>
      <w:r>
        <w:rPr>
          <w:rFonts w:hint="eastAsia" w:ascii="宋体" w:hAnsi="宋体"/>
          <w:color w:val="auto"/>
          <w:szCs w:val="21"/>
          <w:highlight w:val="none"/>
        </w:rPr>
        <w:t>（公章）</w:t>
      </w:r>
    </w:p>
    <w:p>
      <w:pPr>
        <w:spacing w:line="520" w:lineRule="exact"/>
        <w:ind w:left="840" w:right="1260"/>
        <w:jc w:val="center"/>
        <w:rPr>
          <w:rFonts w:hint="default" w:ascii="宋体" w:hAnsi="宋体" w:eastAsia="宋体" w:cs="宋体"/>
          <w:color w:val="auto"/>
          <w:sz w:val="21"/>
          <w:szCs w:val="21"/>
          <w:highlight w:val="none"/>
          <w:lang w:val="en-US"/>
        </w:rPr>
      </w:pPr>
      <w:r>
        <w:rPr>
          <w:rFonts w:hint="eastAsia" w:ascii="宋体" w:hAnsi="宋体"/>
          <w:color w:val="auto"/>
          <w:szCs w:val="21"/>
          <w:highlight w:val="none"/>
        </w:rPr>
        <w:t xml:space="preserve">                         </w:t>
      </w:r>
      <w:r>
        <w:rPr>
          <w:rFonts w:hint="eastAsia" w:ascii="宋体" w:hAnsi="宋体"/>
          <w:color w:val="auto"/>
          <w:szCs w:val="21"/>
          <w:highlight w:val="none"/>
          <w:lang w:val="en-US" w:eastAsia="zh-CN"/>
        </w:rPr>
        <w:t xml:space="preserve">                                                              </w:t>
      </w:r>
      <w:r>
        <w:rPr>
          <w:rFonts w:hint="eastAsia" w:ascii="宋体" w:hAnsi="宋体"/>
          <w:color w:val="auto"/>
          <w:szCs w:val="21"/>
          <w:highlight w:val="none"/>
        </w:rPr>
        <w:t>年</w:t>
      </w:r>
      <w:r>
        <w:rPr>
          <w:rFonts w:hint="eastAsia" w:ascii="宋体" w:hAnsi="宋体"/>
          <w:color w:val="auto"/>
          <w:szCs w:val="21"/>
          <w:highlight w:val="none"/>
          <w:lang w:val="en-US" w:eastAsia="zh-CN"/>
        </w:rPr>
        <w:t xml:space="preserve">   </w:t>
      </w:r>
      <w:r>
        <w:rPr>
          <w:rFonts w:hint="eastAsia" w:ascii="宋体" w:hAnsi="宋体"/>
          <w:color w:val="auto"/>
          <w:szCs w:val="21"/>
          <w:highlight w:val="none"/>
        </w:rPr>
        <w:t>月</w:t>
      </w:r>
      <w:r>
        <w:rPr>
          <w:rFonts w:hint="eastAsia" w:ascii="宋体" w:hAnsi="宋体"/>
          <w:color w:val="auto"/>
          <w:szCs w:val="21"/>
          <w:highlight w:val="none"/>
          <w:lang w:val="en-US" w:eastAsia="zh-CN"/>
        </w:rPr>
        <w:t xml:space="preserve">    </w:t>
      </w:r>
      <w:r>
        <w:rPr>
          <w:rFonts w:hint="eastAsia" w:ascii="宋体" w:hAnsi="宋体"/>
          <w:color w:val="auto"/>
          <w:szCs w:val="21"/>
          <w:highlight w:val="none"/>
        </w:rPr>
        <w:t>日</w:t>
      </w:r>
    </w:p>
    <w:p/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decorative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00B3DEF"/>
    <w:rsid w:val="06F2340B"/>
    <w:rsid w:val="110661B5"/>
    <w:rsid w:val="2F495D5B"/>
    <w:rsid w:val="2F95018C"/>
    <w:rsid w:val="300B3DEF"/>
    <w:rsid w:val="33840265"/>
    <w:rsid w:val="479B47FD"/>
    <w:rsid w:val="5EDE703D"/>
    <w:rsid w:val="637E54FD"/>
    <w:rsid w:val="79F70A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qFormat="1" w:unhideWhenUsed="0" w:uiPriority="39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toc 1"/>
    <w:basedOn w:val="1"/>
    <w:next w:val="1"/>
    <w:qFormat/>
    <w:uiPriority w:val="39"/>
    <w:pPr>
      <w:tabs>
        <w:tab w:val="right" w:leader="dot" w:pos="9450"/>
        <w:tab w:val="right" w:leader="dot" w:pos="9540"/>
      </w:tabs>
      <w:spacing w:before="120" w:after="120" w:line="360" w:lineRule="auto"/>
      <w:ind w:left="2160" w:hanging="2160" w:hangingChars="900"/>
      <w:jc w:val="left"/>
    </w:pPr>
    <w:rPr>
      <w:rFonts w:ascii="宋体" w:hAnsi="宋体"/>
      <w:bCs/>
      <w:caps/>
      <w:sz w:val="24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33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2024-04-20T13:01:00Z</dcterms:created>
  <dc:creator>张超超</dc:creator>
  <cp:lastModifiedBy>yanjin</cp:lastModifiedBy>
  <dcterms:modified xsi:type="dcterms:W3CDTF">2024-05-16T00:33:40Z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DAF84245ABE94370B4DE971375E8C5E0</vt:lpwstr>
  </property>
</Properties>
</file>