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00" w:lineRule="atLeast"/>
        <w:jc w:val="both"/>
        <w:rPr>
          <w:sz w:val="52"/>
          <w:szCs w:val="24"/>
          <w:highlight w:val="none"/>
        </w:rPr>
      </w:pPr>
      <w:bookmarkStart w:id="11" w:name="_GoBack"/>
      <w:r>
        <w:rPr>
          <w:sz w:val="52"/>
          <w:szCs w:val="24"/>
          <w:highlight w:val="none"/>
        </w:rPr>
        <w:drawing>
          <wp:anchor distT="0" distB="0" distL="114300" distR="114300" simplePos="0" relativeHeight="251659264" behindDoc="0" locked="0" layoutInCell="1" allowOverlap="1">
            <wp:simplePos x="0" y="0"/>
            <wp:positionH relativeFrom="column">
              <wp:posOffset>-2030730</wp:posOffset>
            </wp:positionH>
            <wp:positionV relativeFrom="paragraph">
              <wp:posOffset>-914400</wp:posOffset>
            </wp:positionV>
            <wp:extent cx="8915400" cy="2736850"/>
            <wp:effectExtent l="0" t="0" r="0" b="635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8915400" cy="2736850"/>
                    </a:xfrm>
                    <a:prstGeom prst="rect">
                      <a:avLst/>
                    </a:prstGeom>
                    <a:noFill/>
                    <a:ln>
                      <a:noFill/>
                    </a:ln>
                  </pic:spPr>
                </pic:pic>
              </a:graphicData>
            </a:graphic>
          </wp:anchor>
        </w:drawing>
      </w:r>
    </w:p>
    <w:p>
      <w:pPr>
        <w:snapToGrid w:val="0"/>
        <w:jc w:val="both"/>
        <w:rPr>
          <w:rFonts w:eastAsia="黑体"/>
          <w:sz w:val="48"/>
          <w:szCs w:val="48"/>
          <w:highlight w:val="none"/>
        </w:rPr>
      </w:pPr>
    </w:p>
    <w:p>
      <w:pPr>
        <w:snapToGrid w:val="0"/>
        <w:jc w:val="both"/>
        <w:rPr>
          <w:rFonts w:eastAsia="黑体"/>
          <w:sz w:val="48"/>
          <w:szCs w:val="48"/>
          <w:highlight w:val="none"/>
        </w:rPr>
      </w:pPr>
    </w:p>
    <w:p>
      <w:pPr>
        <w:snapToGrid w:val="0"/>
        <w:jc w:val="both"/>
        <w:rPr>
          <w:rFonts w:eastAsia="黑体"/>
          <w:sz w:val="48"/>
          <w:szCs w:val="48"/>
          <w:highlight w:val="none"/>
        </w:rPr>
      </w:pPr>
    </w:p>
    <w:p>
      <w:pPr>
        <w:snapToGrid w:val="0"/>
        <w:jc w:val="both"/>
        <w:rPr>
          <w:rFonts w:eastAsia="黑体"/>
          <w:sz w:val="48"/>
          <w:szCs w:val="48"/>
          <w:highlight w:val="none"/>
        </w:rPr>
      </w:pPr>
    </w:p>
    <w:p>
      <w:pPr>
        <w:snapToGrid w:val="0"/>
        <w:jc w:val="both"/>
        <w:rPr>
          <w:rFonts w:eastAsia="黑体"/>
          <w:sz w:val="48"/>
          <w:szCs w:val="48"/>
          <w:highlight w:val="none"/>
        </w:rPr>
      </w:pPr>
    </w:p>
    <w:p>
      <w:pPr>
        <w:keepNext w:val="0"/>
        <w:keepLines w:val="0"/>
        <w:suppressLineNumbers w:val="0"/>
        <w:snapToGrid w:val="0"/>
        <w:spacing w:before="0" w:beforeAutospacing="0" w:after="0" w:afterAutospacing="0" w:line="800" w:lineRule="atLeast"/>
        <w:ind w:left="0" w:right="0"/>
        <w:jc w:val="center"/>
        <w:outlineLvl w:val="0"/>
        <w:rPr>
          <w:rFonts w:hint="eastAsia" w:ascii="华光小标宋_CNKI" w:hAnsi="华光小标宋_CNKI" w:eastAsia="华光小标宋_CNKI" w:cs="华光小标宋_CNKI"/>
          <w:b/>
          <w:bCs/>
          <w:sz w:val="48"/>
          <w:szCs w:val="48"/>
          <w:highlight w:val="none"/>
        </w:rPr>
      </w:pPr>
      <w:r>
        <w:rPr>
          <w:rFonts w:hint="eastAsia" w:ascii="华光小标宋_CNKI" w:hAnsi="华光小标宋_CNKI" w:eastAsia="华光小标宋_CNKI" w:cs="华光小标宋_CNKI"/>
          <w:b/>
          <w:bCs/>
          <w:sz w:val="48"/>
          <w:szCs w:val="48"/>
          <w:highlight w:val="none"/>
          <w:lang w:eastAsia="zh-CN"/>
        </w:rPr>
        <w:t>建管公司抽水蓄能展厅</w:t>
      </w:r>
      <w:r>
        <w:rPr>
          <w:rFonts w:hint="eastAsia" w:ascii="华光小标宋_CNKI" w:hAnsi="华光小标宋_CNKI" w:eastAsia="华光小标宋_CNKI" w:cs="华光小标宋_CNKI"/>
          <w:b/>
          <w:bCs/>
          <w:sz w:val="48"/>
          <w:szCs w:val="48"/>
          <w:highlight w:val="none"/>
          <w:lang w:val="en-US" w:eastAsia="zh-CN"/>
        </w:rPr>
        <w:t>建设</w:t>
      </w:r>
      <w:r>
        <w:rPr>
          <w:rFonts w:hint="eastAsia" w:ascii="华光小标宋_CNKI" w:hAnsi="华光小标宋_CNKI" w:eastAsia="华光小标宋_CNKI" w:cs="华光小标宋_CNKI"/>
          <w:b/>
          <w:bCs/>
          <w:sz w:val="48"/>
          <w:szCs w:val="48"/>
          <w:highlight w:val="none"/>
        </w:rPr>
        <w:t>项目</w:t>
      </w:r>
    </w:p>
    <w:p>
      <w:pPr>
        <w:keepNext w:val="0"/>
        <w:keepLines w:val="0"/>
        <w:suppressLineNumbers w:val="0"/>
        <w:snapToGrid w:val="0"/>
        <w:spacing w:before="0" w:beforeAutospacing="0" w:after="0" w:afterAutospacing="0" w:line="800" w:lineRule="atLeast"/>
        <w:ind w:left="0" w:right="0"/>
        <w:jc w:val="center"/>
        <w:outlineLvl w:val="0"/>
        <w:rPr>
          <w:rFonts w:hint="eastAsia" w:ascii="华光小标宋_CNKI" w:hAnsi="华光小标宋_CNKI" w:eastAsia="华光小标宋_CNKI" w:cs="华光小标宋_CNKI"/>
          <w:b/>
          <w:bCs/>
          <w:sz w:val="48"/>
          <w:szCs w:val="48"/>
          <w:highlight w:val="none"/>
        </w:rPr>
      </w:pPr>
      <w:r>
        <w:rPr>
          <w:rFonts w:hint="eastAsia" w:ascii="华光小标宋_CNKI" w:hAnsi="华光小标宋_CNKI" w:eastAsia="华光小标宋_CNKI" w:cs="华光小标宋_CNKI"/>
          <w:b/>
          <w:bCs/>
          <w:sz w:val="48"/>
          <w:szCs w:val="48"/>
          <w:highlight w:val="none"/>
        </w:rPr>
        <w:t>技术规范书</w:t>
      </w:r>
    </w:p>
    <w:p>
      <w:pPr>
        <w:jc w:val="both"/>
        <w:rPr>
          <w:rFonts w:ascii="楷体_GB2312" w:hAnsi="宋体" w:eastAsia="楷体_GB2312"/>
          <w:b/>
          <w:color w:val="FF0000"/>
          <w:position w:val="16"/>
          <w:sz w:val="44"/>
          <w:szCs w:val="44"/>
          <w:highlight w:val="none"/>
        </w:rPr>
      </w:pPr>
    </w:p>
    <w:p>
      <w:pPr>
        <w:snapToGrid w:val="0"/>
        <w:jc w:val="both"/>
        <w:rPr>
          <w:rFonts w:hint="eastAsia" w:eastAsia="黑体"/>
          <w:sz w:val="48"/>
          <w:szCs w:val="48"/>
          <w:highlight w:val="none"/>
        </w:rPr>
      </w:pPr>
    </w:p>
    <w:p>
      <w:pPr>
        <w:snapToGrid w:val="0"/>
        <w:jc w:val="both"/>
        <w:rPr>
          <w:rFonts w:hint="eastAsia" w:eastAsia="黑体"/>
          <w:sz w:val="48"/>
          <w:szCs w:val="48"/>
          <w:highlight w:val="none"/>
        </w:rPr>
      </w:pPr>
    </w:p>
    <w:p>
      <w:pPr>
        <w:snapToGrid w:val="0"/>
        <w:jc w:val="both"/>
        <w:rPr>
          <w:rFonts w:hint="eastAsia" w:eastAsia="黑体"/>
          <w:sz w:val="48"/>
          <w:szCs w:val="48"/>
          <w:highlight w:val="none"/>
        </w:rPr>
      </w:pPr>
    </w:p>
    <w:p>
      <w:pPr>
        <w:snapToGrid w:val="0"/>
        <w:jc w:val="both"/>
        <w:rPr>
          <w:rFonts w:eastAsia="黑体"/>
          <w:sz w:val="48"/>
          <w:szCs w:val="48"/>
          <w:highlight w:val="none"/>
        </w:rPr>
      </w:pPr>
    </w:p>
    <w:p>
      <w:pPr>
        <w:pStyle w:val="2"/>
        <w:jc w:val="both"/>
        <w:rPr>
          <w:rFonts w:eastAsia="黑体"/>
          <w:sz w:val="48"/>
          <w:szCs w:val="48"/>
          <w:highlight w:val="none"/>
        </w:rPr>
      </w:pPr>
    </w:p>
    <w:p>
      <w:pPr>
        <w:pStyle w:val="2"/>
        <w:jc w:val="both"/>
        <w:rPr>
          <w:rFonts w:eastAsia="黑体"/>
          <w:sz w:val="48"/>
          <w:szCs w:val="48"/>
          <w:highlight w:val="none"/>
        </w:rPr>
      </w:pPr>
    </w:p>
    <w:p>
      <w:pPr>
        <w:pStyle w:val="2"/>
        <w:jc w:val="both"/>
        <w:rPr>
          <w:rFonts w:eastAsia="黑体"/>
          <w:sz w:val="48"/>
          <w:szCs w:val="48"/>
          <w:highlight w:val="none"/>
        </w:rPr>
      </w:pPr>
    </w:p>
    <w:p>
      <w:pPr>
        <w:pStyle w:val="2"/>
        <w:jc w:val="both"/>
        <w:rPr>
          <w:rFonts w:eastAsia="黑体"/>
          <w:sz w:val="48"/>
          <w:szCs w:val="48"/>
          <w:highlight w:val="none"/>
        </w:rPr>
      </w:pPr>
    </w:p>
    <w:p>
      <w:pPr>
        <w:spacing w:line="420" w:lineRule="exact"/>
        <w:jc w:val="both"/>
        <w:rPr>
          <w:rFonts w:hint="eastAsia"/>
          <w:b/>
          <w:bCs/>
          <w:sz w:val="36"/>
          <w:highlight w:val="none"/>
        </w:rPr>
      </w:pPr>
    </w:p>
    <w:p>
      <w:pPr>
        <w:spacing w:line="420" w:lineRule="exact"/>
        <w:jc w:val="both"/>
        <w:rPr>
          <w:rFonts w:hint="eastAsia"/>
          <w:b/>
          <w:bCs/>
          <w:sz w:val="36"/>
          <w:highlight w:val="none"/>
        </w:rPr>
      </w:pPr>
    </w:p>
    <w:p>
      <w:pPr>
        <w:spacing w:line="420" w:lineRule="exact"/>
        <w:jc w:val="center"/>
        <w:rPr>
          <w:rFonts w:hint="default" w:ascii="Times New Roman" w:hAnsi="Times New Roman" w:eastAsia="宋体" w:cs="Times New Roman"/>
          <w:b/>
          <w:bCs/>
          <w:sz w:val="36"/>
          <w:highlight w:val="none"/>
          <w:lang w:val="en-US" w:eastAsia="zh-CN"/>
        </w:rPr>
      </w:pPr>
      <w:r>
        <w:rPr>
          <w:rFonts w:hint="default" w:ascii="Times New Roman" w:hAnsi="Times New Roman" w:eastAsia="宋体" w:cs="Times New Roman"/>
          <w:b/>
          <w:bCs/>
          <w:sz w:val="36"/>
          <w:highlight w:val="none"/>
          <w:lang w:val="en-US" w:eastAsia="zh-CN"/>
        </w:rPr>
        <w:t>2024年3月</w:t>
      </w:r>
    </w:p>
    <w:p>
      <w:pPr>
        <w:jc w:val="both"/>
        <w:rPr>
          <w:b/>
          <w:sz w:val="32"/>
          <w:szCs w:val="32"/>
          <w:highlight w:val="none"/>
        </w:rPr>
      </w:pPr>
    </w:p>
    <w:p>
      <w:pPr>
        <w:adjustRightInd w:val="0"/>
        <w:snapToGrid w:val="0"/>
        <w:spacing w:line="360" w:lineRule="auto"/>
        <w:ind w:firstLine="643" w:firstLineChars="200"/>
        <w:jc w:val="both"/>
        <w:rPr>
          <w:rFonts w:hint="default" w:ascii="宋体" w:hAnsi="宋体" w:eastAsia="宋体" w:cs="Times New Roman"/>
          <w:color w:val="auto"/>
          <w:sz w:val="28"/>
          <w:szCs w:val="28"/>
          <w:highlight w:val="none"/>
          <w:lang w:val="en-US" w:eastAsia="zh-CN"/>
        </w:rPr>
      </w:pPr>
      <w:r>
        <w:rPr>
          <w:b/>
          <w:sz w:val="32"/>
          <w:szCs w:val="32"/>
          <w:highlight w:val="none"/>
        </w:rPr>
        <w:br w:type="page"/>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bookmarkStart w:id="0" w:name="_Toc8608"/>
      <w:bookmarkStart w:id="1" w:name="_Toc32732"/>
      <w:bookmarkStart w:id="2" w:name="_Toc31726"/>
      <w:bookmarkStart w:id="3" w:name="_Toc31356"/>
      <w:bookmarkStart w:id="4" w:name="_Toc16676"/>
      <w:r>
        <w:rPr>
          <w:rFonts w:hint="eastAsia" w:ascii="宋体" w:hAnsi="宋体" w:eastAsia="宋体" w:cs="宋体"/>
          <w:b/>
          <w:color w:val="auto"/>
          <w:sz w:val="32"/>
          <w:szCs w:val="32"/>
          <w:highlight w:val="none"/>
          <w:lang w:val="en-US" w:eastAsia="zh-CN"/>
        </w:rPr>
        <w:t>项目概述</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为充分展示南方电网调峰调频发电有限公司工程建设管理分公司（简称“建管公司”）</w:t>
      </w:r>
      <w:r>
        <w:rPr>
          <w:rFonts w:hint="eastAsia" w:ascii="宋体" w:hAnsi="宋体" w:eastAsia="宋体" w:cs="宋体"/>
          <w:color w:val="auto"/>
          <w:sz w:val="24"/>
          <w:szCs w:val="24"/>
          <w:highlight w:val="none"/>
          <w:lang w:val="en-US" w:eastAsia="zh-CN"/>
        </w:rPr>
        <w:t>主动融入和服务国家“双碳”目标，围绕增强核心功能、提高核心竞争力，推进抽水蓄能建设高质量发展的具体历程及成果，介绍如何积极发展战略性新兴产业，着力发挥好科技创新、产业控制和安全支撑作用，展现负责任央企的良好形象，拟在番禺电力科技园3号楼一楼划定区域建设</w:t>
      </w:r>
      <w:r>
        <w:rPr>
          <w:rFonts w:hint="eastAsia" w:ascii="宋体" w:hAnsi="宋体" w:cs="宋体"/>
          <w:color w:val="auto"/>
          <w:sz w:val="24"/>
          <w:szCs w:val="24"/>
          <w:highlight w:val="none"/>
          <w:lang w:val="en-US" w:eastAsia="zh-CN"/>
        </w:rPr>
        <w:t>建管公司抽水蓄能展厅（如图1，详见附件《建管公司抽水蓄能展厅平面图纸》）</w:t>
      </w:r>
      <w:r>
        <w:rPr>
          <w:rFonts w:hint="eastAsia" w:ascii="宋体" w:hAnsi="宋体" w:eastAsia="宋体" w:cs="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项目划定区域</w:t>
      </w:r>
      <w:r>
        <w:rPr>
          <w:rFonts w:hint="eastAsia" w:ascii="宋体" w:hAnsi="宋体" w:eastAsia="宋体" w:cs="宋体"/>
          <w:color w:val="auto"/>
          <w:sz w:val="24"/>
          <w:szCs w:val="24"/>
          <w:highlight w:val="none"/>
          <w:lang w:val="en-US" w:eastAsia="zh-CN"/>
        </w:rPr>
        <w:t>面积约</w:t>
      </w:r>
      <w:r>
        <w:rPr>
          <w:rFonts w:hint="eastAsia" w:ascii="宋体" w:hAnsi="宋体" w:cs="宋体"/>
          <w:color w:val="auto"/>
          <w:sz w:val="24"/>
          <w:szCs w:val="24"/>
          <w:highlight w:val="none"/>
          <w:lang w:val="en-US" w:eastAsia="zh-CN"/>
        </w:rPr>
        <w:t>275</w:t>
      </w:r>
      <w:r>
        <w:rPr>
          <w:rFonts w:hint="eastAsia" w:ascii="宋体" w:hAnsi="宋体" w:eastAsia="宋体" w:cs="宋体"/>
          <w:color w:val="auto"/>
          <w:sz w:val="24"/>
          <w:szCs w:val="24"/>
          <w:highlight w:val="none"/>
          <w:lang w:val="en-US" w:eastAsia="zh-CN"/>
        </w:rPr>
        <w:t>㎡，层高</w:t>
      </w:r>
      <w:r>
        <w:rPr>
          <w:rFonts w:hint="eastAsia" w:ascii="宋体" w:hAnsi="宋体" w:cs="宋体"/>
          <w:color w:val="auto"/>
          <w:sz w:val="24"/>
          <w:szCs w:val="24"/>
          <w:highlight w:val="none"/>
          <w:lang w:val="en-US" w:eastAsia="zh-CN"/>
        </w:rPr>
        <w:t>约</w:t>
      </w:r>
      <w:r>
        <w:rPr>
          <w:rFonts w:hint="eastAsia" w:ascii="宋体" w:hAnsi="宋体" w:eastAsia="宋体" w:cs="宋体"/>
          <w:color w:val="auto"/>
          <w:sz w:val="24"/>
          <w:szCs w:val="24"/>
          <w:highlight w:val="none"/>
          <w:lang w:val="en-US" w:eastAsia="zh-CN"/>
        </w:rPr>
        <w:t>4.8m，原区域以毛坯交付。项目内容包括</w:t>
      </w:r>
      <w:r>
        <w:rPr>
          <w:rFonts w:hint="eastAsia" w:ascii="宋体" w:hAnsi="宋体" w:cs="宋体"/>
          <w:color w:val="auto"/>
          <w:sz w:val="24"/>
          <w:szCs w:val="24"/>
          <w:highlight w:val="none"/>
          <w:lang w:val="en-US" w:eastAsia="zh-CN"/>
        </w:rPr>
        <w:t>深化设计、</w:t>
      </w:r>
      <w:r>
        <w:rPr>
          <w:rFonts w:hint="eastAsia" w:ascii="宋体" w:hAnsi="宋体" w:eastAsia="宋体" w:cs="宋体"/>
          <w:color w:val="auto"/>
          <w:sz w:val="24"/>
          <w:szCs w:val="24"/>
          <w:highlight w:val="none"/>
          <w:lang w:val="en-US" w:eastAsia="zh-CN"/>
        </w:rPr>
        <w:t>展厅装修、</w:t>
      </w:r>
      <w:r>
        <w:rPr>
          <w:rFonts w:hint="eastAsia" w:ascii="宋体" w:hAnsi="宋体" w:cs="宋体"/>
          <w:color w:val="auto"/>
          <w:sz w:val="24"/>
          <w:szCs w:val="24"/>
          <w:highlight w:val="none"/>
          <w:lang w:val="en-US" w:eastAsia="zh-CN"/>
        </w:rPr>
        <w:t>消防暖通及供配电等系统改造、</w:t>
      </w:r>
      <w:r>
        <w:rPr>
          <w:rFonts w:hint="eastAsia" w:ascii="宋体" w:hAnsi="宋体" w:eastAsia="宋体" w:cs="宋体"/>
          <w:color w:val="auto"/>
          <w:sz w:val="24"/>
          <w:szCs w:val="24"/>
          <w:highlight w:val="none"/>
          <w:lang w:val="en-US" w:eastAsia="zh-CN"/>
        </w:rPr>
        <w:t>设备采购</w:t>
      </w:r>
      <w:r>
        <w:rPr>
          <w:rFonts w:hint="eastAsia" w:ascii="宋体" w:hAnsi="宋体" w:cs="宋体"/>
          <w:color w:val="auto"/>
          <w:sz w:val="24"/>
          <w:szCs w:val="24"/>
          <w:highlight w:val="none"/>
          <w:lang w:val="en-US" w:eastAsia="zh-CN"/>
        </w:rPr>
        <w:t>与</w:t>
      </w:r>
      <w:r>
        <w:rPr>
          <w:rFonts w:hint="eastAsia" w:ascii="宋体" w:hAnsi="宋体" w:eastAsia="宋体" w:cs="宋体"/>
          <w:color w:val="auto"/>
          <w:sz w:val="24"/>
          <w:szCs w:val="24"/>
          <w:highlight w:val="none"/>
          <w:lang w:val="en-US" w:eastAsia="zh-CN"/>
        </w:rPr>
        <w:t>运输供货、设备安装</w:t>
      </w:r>
      <w:r>
        <w:rPr>
          <w:rFonts w:hint="eastAsia" w:ascii="宋体" w:hAnsi="宋体" w:cs="宋体"/>
          <w:color w:val="auto"/>
          <w:sz w:val="24"/>
          <w:szCs w:val="24"/>
          <w:highlight w:val="none"/>
          <w:lang w:val="en-US" w:eastAsia="zh-CN"/>
        </w:rPr>
        <w:t>与</w:t>
      </w:r>
      <w:r>
        <w:rPr>
          <w:rFonts w:hint="eastAsia" w:ascii="宋体" w:hAnsi="宋体" w:eastAsia="宋体" w:cs="宋体"/>
          <w:color w:val="auto"/>
          <w:sz w:val="24"/>
          <w:szCs w:val="24"/>
          <w:highlight w:val="none"/>
          <w:lang w:val="en-US" w:eastAsia="zh-CN"/>
        </w:rPr>
        <w:t>调试</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软件集成及</w:t>
      </w:r>
      <w:r>
        <w:rPr>
          <w:rFonts w:hint="eastAsia" w:ascii="宋体" w:hAnsi="宋体" w:cs="宋体"/>
          <w:color w:val="auto"/>
          <w:sz w:val="24"/>
          <w:szCs w:val="24"/>
          <w:highlight w:val="none"/>
          <w:lang w:val="en-US" w:eastAsia="zh-CN"/>
        </w:rPr>
        <w:t>其他</w:t>
      </w:r>
      <w:r>
        <w:rPr>
          <w:rFonts w:hint="eastAsia" w:ascii="宋体" w:hAnsi="宋体" w:eastAsia="宋体" w:cs="宋体"/>
          <w:color w:val="auto"/>
          <w:sz w:val="24"/>
          <w:szCs w:val="24"/>
          <w:highlight w:val="none"/>
          <w:lang w:val="en-US" w:eastAsia="zh-CN"/>
        </w:rPr>
        <w:t>配套工作。</w:t>
      </w:r>
    </w:p>
    <w:p>
      <w:pPr>
        <w:pStyle w:val="2"/>
        <w:pageBreakBefore w:val="0"/>
        <w:widowControl w:val="0"/>
        <w:topLinePunct w:val="0"/>
        <w:bidi w:val="0"/>
        <w:spacing w:before="0" w:after="0" w:afterLines="0" w:line="360" w:lineRule="auto"/>
        <w:jc w:val="center"/>
        <w:textAlignment w:val="auto"/>
        <w:rPr>
          <w:rFonts w:hint="eastAsia"/>
          <w:highlight w:val="none"/>
          <w:lang w:val="en-US" w:eastAsia="zh-CN"/>
        </w:rPr>
      </w:pPr>
      <w:r>
        <w:rPr>
          <w:rFonts w:hint="eastAsia"/>
          <w:highlight w:val="none"/>
          <w:lang w:val="en-US" w:eastAsia="zh-CN"/>
        </w:rPr>
        <w:drawing>
          <wp:inline distT="0" distB="0" distL="114300" distR="114300">
            <wp:extent cx="2879725" cy="2663825"/>
            <wp:effectExtent l="9525" t="9525" r="19050" b="19050"/>
            <wp:docPr id="2" name="图片 2" descr="3号楼一楼展厅区域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号楼一楼展厅区域 - 副本"/>
                    <pic:cNvPicPr>
                      <a:picLocks noChangeAspect="1"/>
                    </pic:cNvPicPr>
                  </pic:nvPicPr>
                  <pic:blipFill>
                    <a:blip r:embed="rId6"/>
                    <a:stretch>
                      <a:fillRect/>
                    </a:stretch>
                  </pic:blipFill>
                  <pic:spPr>
                    <a:xfrm>
                      <a:off x="0" y="0"/>
                      <a:ext cx="2879725" cy="2663825"/>
                    </a:xfrm>
                    <a:prstGeom prst="rect">
                      <a:avLst/>
                    </a:prstGeom>
                    <a:ln>
                      <a:solidFill>
                        <a:schemeClr val="tx1"/>
                      </a:solidFill>
                    </a:ln>
                  </pic:spPr>
                </pic:pic>
              </a:graphicData>
            </a:graphic>
          </wp:inline>
        </w:drawing>
      </w:r>
    </w:p>
    <w:p>
      <w:pPr>
        <w:pStyle w:val="2"/>
        <w:keepNext w:val="0"/>
        <w:keepLines w:val="0"/>
        <w:pageBreakBefore w:val="0"/>
        <w:widowControl w:val="0"/>
        <w:kinsoku w:val="0"/>
        <w:wordWrap w:val="0"/>
        <w:overflowPunct w:val="0"/>
        <w:topLinePunct w:val="0"/>
        <w:autoSpaceDE w:val="0"/>
        <w:autoSpaceDN w:val="0"/>
        <w:bidi w:val="0"/>
        <w:adjustRightInd w:val="0"/>
        <w:snapToGrid/>
        <w:spacing w:before="0" w:after="157" w:afterLines="50" w:line="360" w:lineRule="auto"/>
        <w:ind w:firstLine="454"/>
        <w:jc w:val="center"/>
        <w:textAlignment w:val="auto"/>
        <w:rPr>
          <w:rFonts w:hint="default"/>
          <w:highlight w:val="none"/>
          <w:lang w:val="en-US" w:eastAsia="zh-CN"/>
        </w:rPr>
      </w:pPr>
      <w:r>
        <w:rPr>
          <w:rFonts w:hint="eastAsia"/>
          <w:highlight w:val="none"/>
          <w:lang w:val="en-US" w:eastAsia="zh-CN"/>
        </w:rPr>
        <w:t>图1 建管公司抽水蓄能展厅平面图</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已完成初步设计，展厅主要包括展厅出入口、公司发展简介及战略定位、南网储能公司抽水蓄能布局、抽水蓄能电站工作原理及作用介绍、已建抽水蓄能电站、智慧工地应用展示、基建创新成果展示、沉浸式体验区、党的建设、荣誉墙等区域，对布局与展示方式等内容进行了说明（详见附件《建管公司抽水蓄能展厅设计图》）。</w:t>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总体要求</w:t>
      </w:r>
      <w:bookmarkEnd w:id="0"/>
      <w:bookmarkEnd w:id="1"/>
      <w:bookmarkEnd w:id="2"/>
      <w:bookmarkEnd w:id="3"/>
      <w:bookmarkEnd w:id="4"/>
    </w:p>
    <w:p>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宋体" w:hAnsi="宋体" w:eastAsia="宋体" w:cs="宋体"/>
          <w:b/>
          <w:bCs/>
          <w:sz w:val="28"/>
          <w:szCs w:val="28"/>
          <w:highlight w:val="none"/>
        </w:rPr>
      </w:pPr>
      <w:bookmarkStart w:id="5" w:name="_Toc24193"/>
      <w:bookmarkStart w:id="6" w:name="_Toc27224"/>
      <w:bookmarkStart w:id="7" w:name="_Toc30994"/>
      <w:bookmarkStart w:id="8" w:name="_Toc27172"/>
      <w:bookmarkStart w:id="9" w:name="_Toc20441"/>
      <w:r>
        <w:rPr>
          <w:rFonts w:hint="eastAsia" w:ascii="宋体" w:hAnsi="宋体" w:cs="宋体"/>
          <w:b/>
          <w:bCs/>
          <w:sz w:val="28"/>
          <w:szCs w:val="28"/>
          <w:highlight w:val="none"/>
          <w:lang w:eastAsia="zh-CN"/>
        </w:rPr>
        <w:t>（</w:t>
      </w:r>
      <w:r>
        <w:rPr>
          <w:rFonts w:hint="eastAsia" w:ascii="宋体" w:hAnsi="宋体" w:cs="宋体"/>
          <w:b/>
          <w:bCs/>
          <w:sz w:val="28"/>
          <w:szCs w:val="28"/>
          <w:highlight w:val="none"/>
          <w:lang w:val="en-US" w:eastAsia="zh-CN"/>
        </w:rPr>
        <w:t>一</w:t>
      </w:r>
      <w:r>
        <w:rPr>
          <w:rFonts w:hint="eastAsia" w:ascii="宋体" w:hAnsi="宋体" w:cs="宋体"/>
          <w:b/>
          <w:bCs/>
          <w:sz w:val="28"/>
          <w:szCs w:val="28"/>
          <w:highlight w:val="none"/>
          <w:lang w:eastAsia="zh-CN"/>
        </w:rPr>
        <w:t>）</w:t>
      </w:r>
      <w:r>
        <w:rPr>
          <w:rFonts w:hint="eastAsia" w:ascii="宋体" w:hAnsi="宋体" w:eastAsia="宋体" w:cs="宋体"/>
          <w:b/>
          <w:bCs/>
          <w:sz w:val="28"/>
          <w:szCs w:val="28"/>
          <w:highlight w:val="none"/>
        </w:rPr>
        <w:t>一般规定</w:t>
      </w:r>
      <w:bookmarkEnd w:id="5"/>
      <w:bookmarkEnd w:id="6"/>
      <w:bookmarkEnd w:id="7"/>
      <w:bookmarkEnd w:id="8"/>
      <w:bookmarkEnd w:id="9"/>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本技术规范书适用于</w:t>
      </w:r>
      <w:r>
        <w:rPr>
          <w:rFonts w:hint="eastAsia" w:ascii="宋体" w:hAnsi="宋体" w:cs="宋体"/>
          <w:color w:val="000000"/>
          <w:sz w:val="24"/>
          <w:highlight w:val="none"/>
          <w:lang w:eastAsia="zh-CN"/>
        </w:rPr>
        <w:t>建管公司抽水蓄能展厅</w:t>
      </w:r>
      <w:r>
        <w:rPr>
          <w:rFonts w:hint="eastAsia" w:ascii="宋体" w:hAnsi="宋体" w:eastAsia="宋体" w:cs="宋体"/>
          <w:color w:val="000000"/>
          <w:sz w:val="24"/>
          <w:highlight w:val="none"/>
        </w:rPr>
        <w:t>建设项目</w:t>
      </w:r>
      <w:r>
        <w:rPr>
          <w:rFonts w:hint="eastAsia" w:ascii="宋体" w:hAnsi="宋体" w:eastAsia="宋体" w:cs="宋体"/>
          <w:color w:val="000000"/>
          <w:highlight w:val="none"/>
        </w:rPr>
        <w:t>。</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kern w:val="0"/>
          <w:szCs w:val="24"/>
          <w:highlight w:val="none"/>
        </w:rPr>
        <w:t>本技术</w:t>
      </w:r>
      <w:r>
        <w:rPr>
          <w:rFonts w:hint="eastAsia" w:ascii="宋体" w:hAnsi="宋体" w:eastAsia="宋体" w:cs="宋体"/>
          <w:color w:val="000000"/>
          <w:highlight w:val="none"/>
        </w:rPr>
        <w:t>规范书</w:t>
      </w:r>
      <w:r>
        <w:rPr>
          <w:rFonts w:hint="eastAsia" w:ascii="宋体" w:hAnsi="宋体" w:eastAsia="宋体" w:cs="宋体"/>
          <w:color w:val="000000"/>
          <w:kern w:val="0"/>
          <w:szCs w:val="24"/>
          <w:highlight w:val="none"/>
        </w:rPr>
        <w:t>提出的是最低限度的技术要求，并未对一切技术细节作出规定，也未充分引述有关标准和规范的条文，投标方应提供符合最新版本的标准和本规范的优质产品。</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kern w:val="0"/>
          <w:szCs w:val="24"/>
          <w:highlight w:val="none"/>
        </w:rPr>
        <w:t>如果投标方没有以书面形式对本规范书的条文提出异议，则表示投标方提供的</w:t>
      </w:r>
      <w:r>
        <w:rPr>
          <w:rFonts w:hint="eastAsia" w:ascii="宋体" w:hAnsi="宋体" w:cs="宋体"/>
          <w:color w:val="000000"/>
          <w:kern w:val="0"/>
          <w:szCs w:val="24"/>
          <w:highlight w:val="none"/>
          <w:lang w:val="en-US" w:eastAsia="zh-CN"/>
        </w:rPr>
        <w:t>施工、材料与设备</w:t>
      </w:r>
      <w:r>
        <w:rPr>
          <w:rFonts w:hint="eastAsia" w:ascii="宋体" w:hAnsi="宋体" w:eastAsia="宋体" w:cs="宋体"/>
          <w:color w:val="000000"/>
          <w:kern w:val="0"/>
          <w:szCs w:val="24"/>
          <w:highlight w:val="none"/>
        </w:rPr>
        <w:t>符合本规范书的要求。如有异议，都应在投标书中以“对规范</w:t>
      </w:r>
      <w:r>
        <w:rPr>
          <w:rFonts w:hint="eastAsia" w:ascii="宋体" w:hAnsi="宋体" w:cs="宋体"/>
          <w:color w:val="000000"/>
          <w:kern w:val="0"/>
          <w:szCs w:val="24"/>
          <w:highlight w:val="none"/>
          <w:lang w:val="en-US" w:eastAsia="zh-CN"/>
        </w:rPr>
        <w:t>书</w:t>
      </w:r>
      <w:r>
        <w:rPr>
          <w:rFonts w:hint="eastAsia" w:ascii="宋体" w:hAnsi="宋体" w:eastAsia="宋体" w:cs="宋体"/>
          <w:color w:val="000000"/>
          <w:kern w:val="0"/>
          <w:szCs w:val="24"/>
          <w:highlight w:val="none"/>
        </w:rPr>
        <w:t>的意见和同规范书的差异”为标题的专门章节中加以详细描述。</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投标方需对本技术规范书内所提各项要求能否实现及满足的程度逐条逐项的予以说明与答复，并附加参与人员及其情况和成果文档的详细技术资料。</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对本规范书中要求投标方应答条目的应答应为“满足”“不满足”“部分满足”，不得使用“明白”“理解”等词语，在每一条的答复中，要求明确满足的程度，并做出具体、详细的说明，提出一个示例以说明，凡采用“详见”“参见”方式说明的，应指明参见文档中的具体章节及页码。</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kern w:val="0"/>
          <w:szCs w:val="24"/>
          <w:highlight w:val="none"/>
        </w:rPr>
        <w:t>投标方必须具有</w:t>
      </w:r>
      <w:r>
        <w:rPr>
          <w:rFonts w:hint="eastAsia" w:ascii="宋体" w:hAnsi="宋体" w:cs="宋体"/>
          <w:color w:val="000000"/>
          <w:kern w:val="0"/>
          <w:szCs w:val="24"/>
          <w:highlight w:val="none"/>
          <w:lang w:val="en-US" w:eastAsia="zh-CN"/>
        </w:rPr>
        <w:t>展厅</w:t>
      </w:r>
      <w:r>
        <w:rPr>
          <w:rFonts w:hint="eastAsia" w:ascii="宋体" w:hAnsi="宋体" w:eastAsia="宋体" w:cs="宋体"/>
          <w:color w:val="000000"/>
          <w:kern w:val="0"/>
          <w:szCs w:val="24"/>
          <w:highlight w:val="none"/>
        </w:rPr>
        <w:t>项目建设经验</w:t>
      </w:r>
      <w:r>
        <w:rPr>
          <w:rFonts w:hint="eastAsia" w:ascii="宋体" w:hAnsi="宋体" w:eastAsia="宋体" w:cs="宋体"/>
          <w:color w:val="000000"/>
          <w:highlight w:val="none"/>
        </w:rPr>
        <w:t>。</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highlight w:val="none"/>
        </w:rPr>
      </w:pPr>
      <w:r>
        <w:rPr>
          <w:rFonts w:hint="eastAsia" w:ascii="宋体" w:hAnsi="宋体" w:eastAsia="宋体" w:cs="宋体"/>
          <w:highlight w:val="none"/>
        </w:rPr>
        <w:t>投标方应详细描述本项目的整体方案，包括技术方案和实施方案。</w:t>
      </w:r>
      <w:r>
        <w:rPr>
          <w:rFonts w:hint="eastAsia" w:ascii="宋体" w:hAnsi="宋体" w:eastAsia="宋体" w:cs="宋体"/>
          <w:color w:val="000000"/>
          <w:highlight w:val="none"/>
        </w:rPr>
        <w:t>技术方案包括整体流程和技术方法</w:t>
      </w:r>
      <w:r>
        <w:rPr>
          <w:rFonts w:hint="eastAsia" w:ascii="宋体" w:hAnsi="宋体" w:eastAsia="宋体" w:cs="宋体"/>
          <w:highlight w:val="none"/>
        </w:rPr>
        <w:t>。实施方案包括人员组织、时间安排、阶段性文档提交、验收标准、质量保证等。</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本技术规范书应视为保证项目所需</w:t>
      </w:r>
      <w:r>
        <w:rPr>
          <w:rFonts w:hint="eastAsia" w:ascii="宋体" w:hAnsi="宋体" w:cs="宋体"/>
          <w:color w:val="000000"/>
          <w:kern w:val="0"/>
          <w:szCs w:val="24"/>
          <w:highlight w:val="none"/>
          <w:lang w:val="en-US" w:eastAsia="zh-CN"/>
        </w:rPr>
        <w:t>施工、材料与设备</w:t>
      </w:r>
      <w:r>
        <w:rPr>
          <w:rFonts w:hint="eastAsia" w:ascii="宋体" w:hAnsi="宋体" w:eastAsia="宋体" w:cs="宋体"/>
          <w:color w:val="000000"/>
          <w:highlight w:val="none"/>
        </w:rPr>
        <w:t>的最低要求，如有遗漏，投标方在投标阶段应予以补充，否则一旦中标将认为投标方认同遗漏部分并免费提供。</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b w:val="0"/>
          <w:bCs w:val="0"/>
          <w:color w:val="000000"/>
          <w:highlight w:val="none"/>
        </w:rPr>
      </w:pPr>
      <w:r>
        <w:rPr>
          <w:rFonts w:hint="eastAsia" w:ascii="宋体" w:hAnsi="宋体" w:eastAsia="宋体" w:cs="宋体"/>
          <w:b w:val="0"/>
          <w:bCs w:val="0"/>
          <w:highlight w:val="none"/>
        </w:rPr>
        <w:t>凡加“</w:t>
      </w:r>
      <w:r>
        <w:rPr>
          <w:rFonts w:hint="eastAsia" w:ascii="宋体" w:hAnsi="宋体" w:eastAsia="宋体" w:cs="宋体"/>
          <w:b w:val="0"/>
          <w:bCs w:val="0"/>
          <w:sz w:val="20"/>
          <w:highlight w:val="none"/>
        </w:rPr>
        <w:t>▲</w:t>
      </w:r>
      <w:r>
        <w:rPr>
          <w:rFonts w:hint="eastAsia" w:ascii="宋体" w:hAnsi="宋体" w:eastAsia="宋体" w:cs="宋体"/>
          <w:b w:val="0"/>
          <w:bCs w:val="0"/>
          <w:highlight w:val="none"/>
        </w:rPr>
        <w:t>”的地方均被视为重要的技术指标要求或性能要求，</w:t>
      </w:r>
      <w:r>
        <w:rPr>
          <w:rFonts w:hint="eastAsia" w:ascii="宋体" w:hAnsi="宋体" w:eastAsia="宋体" w:cs="宋体"/>
          <w:b w:val="0"/>
          <w:bCs w:val="0"/>
          <w:highlight w:val="none"/>
          <w:lang w:val="en-US" w:eastAsia="zh-CN"/>
        </w:rPr>
        <w:t>不作为废标项，</w:t>
      </w:r>
      <w:r>
        <w:rPr>
          <w:rFonts w:hint="eastAsia" w:ascii="宋体" w:hAnsi="宋体" w:eastAsia="宋体" w:cs="宋体"/>
          <w:b w:val="0"/>
          <w:bCs w:val="0"/>
          <w:highlight w:val="none"/>
        </w:rPr>
        <w:t>投标方要特别加以注意。</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招标方保留解释修改本技术规范书的权力，可以提出变更的意见和建议。</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本技术规范书未尽事宜，由招标方和投标方在合同技术谈判时协商确定。</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投标方应对招标方所提供的所有资料和双方谈判的内容、成果文档等进行严格保密，未经招标方授权不得将此文件泄漏给第三方，否则招标方有权追究投标方的责任。</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kern w:val="0"/>
          <w:szCs w:val="24"/>
          <w:highlight w:val="none"/>
        </w:rPr>
        <w:t>投标方必须熟悉南方电网公司的承包商管理办法。</w:t>
      </w:r>
    </w:p>
    <w:p>
      <w:pPr>
        <w:pStyle w:val="16"/>
        <w:keepNext w:val="0"/>
        <w:keepLines w:val="0"/>
        <w:pageBreakBefore w:val="0"/>
        <w:widowControl w:val="0"/>
        <w:numPr>
          <w:ilvl w:val="1"/>
          <w:numId w:val="3"/>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highlight w:val="none"/>
        </w:rPr>
      </w:pPr>
      <w:r>
        <w:rPr>
          <w:rFonts w:hint="eastAsia" w:ascii="宋体" w:hAnsi="宋体" w:cs="宋体"/>
          <w:color w:val="000000"/>
          <w:kern w:val="0"/>
          <w:szCs w:val="24"/>
          <w:highlight w:val="none"/>
          <w:lang w:val="en-US" w:eastAsia="zh-CN"/>
        </w:rPr>
        <w:t>投</w:t>
      </w:r>
      <w:r>
        <w:rPr>
          <w:rFonts w:hint="eastAsia" w:ascii="宋体" w:hAnsi="宋体" w:eastAsia="宋体" w:cs="宋体"/>
          <w:color w:val="000000"/>
          <w:kern w:val="0"/>
          <w:szCs w:val="24"/>
          <w:highlight w:val="none"/>
        </w:rPr>
        <w:t>标方必须根</w:t>
      </w:r>
      <w:r>
        <w:rPr>
          <w:rFonts w:hint="eastAsia" w:ascii="宋体" w:hAnsi="宋体" w:eastAsia="宋体" w:cs="宋体"/>
          <w:color w:val="000000"/>
          <w:kern w:val="0"/>
          <w:szCs w:val="24"/>
          <w:highlight w:val="none"/>
          <w:lang w:val="en-US" w:eastAsia="zh-CN"/>
        </w:rPr>
        <w:t>据</w:t>
      </w:r>
      <w:r>
        <w:rPr>
          <w:rFonts w:hint="eastAsia" w:ascii="宋体" w:hAnsi="宋体" w:cs="宋体"/>
          <w:color w:val="000000"/>
          <w:kern w:val="0"/>
          <w:szCs w:val="24"/>
          <w:highlight w:val="none"/>
          <w:lang w:val="en-US" w:eastAsia="zh-CN"/>
        </w:rPr>
        <w:t>建管公司</w:t>
      </w:r>
      <w:r>
        <w:rPr>
          <w:rFonts w:hint="eastAsia" w:ascii="宋体" w:hAnsi="宋体" w:eastAsia="宋体" w:cs="宋体"/>
          <w:color w:val="000000"/>
          <w:kern w:val="0"/>
          <w:szCs w:val="24"/>
          <w:highlight w:val="none"/>
          <w:lang w:val="en-US" w:eastAsia="zh-CN"/>
        </w:rPr>
        <w:t>现场实</w:t>
      </w:r>
      <w:r>
        <w:rPr>
          <w:rFonts w:hint="eastAsia" w:ascii="宋体" w:hAnsi="宋体" w:eastAsia="宋体" w:cs="宋体"/>
          <w:color w:val="000000"/>
          <w:kern w:val="0"/>
          <w:szCs w:val="24"/>
          <w:highlight w:val="none"/>
        </w:rPr>
        <w:t>际情况制定工作方案</w:t>
      </w:r>
      <w:r>
        <w:rPr>
          <w:rFonts w:hint="eastAsia" w:ascii="宋体" w:hAnsi="宋体" w:eastAsia="宋体" w:cs="宋体"/>
          <w:color w:val="000000"/>
          <w:kern w:val="0"/>
          <w:szCs w:val="24"/>
          <w:highlight w:val="none"/>
          <w:lang w:eastAsia="zh-CN"/>
        </w:rPr>
        <w:t>。</w:t>
      </w:r>
    </w:p>
    <w:p>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（二）技术规范引用文件要求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本项目的施工、材料与设备应满足下列现行国家或行业的工程建设标准、规范的要求，包括但不限于此。若有最新版，其最新版本适用于本文件。</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《建筑装饰装修工程质量验收规范》(GB50210-2018)</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《建筑工程施工质量验收统一标准》 (GB50300</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 xml:space="preserve">2013) </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《建筑照明设计规范》 (GB50034-2013)</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《建筑隔声评价标准》 </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GB/T50121-2005</w:t>
      </w:r>
      <w:r>
        <w:rPr>
          <w:rFonts w:hint="eastAsia" w:ascii="宋体" w:hAnsi="宋体" w:eastAsia="宋体" w:cs="宋体"/>
          <w:color w:val="000000"/>
          <w:highlight w:val="none"/>
          <w:lang w:eastAsia="zh-CN"/>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《建筑地面工程施工质量验收规范》(GB50209-2010) </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《建筑电气工程施工质量验收规范》(GB50303-20</w:t>
      </w:r>
      <w:r>
        <w:rPr>
          <w:rFonts w:hint="eastAsia" w:ascii="宋体" w:hAnsi="宋体" w:eastAsia="宋体" w:cs="宋体"/>
          <w:color w:val="000000"/>
          <w:highlight w:val="none"/>
          <w:lang w:val="en-US" w:eastAsia="zh-CN"/>
        </w:rPr>
        <w:t>15</w:t>
      </w:r>
      <w:r>
        <w:rPr>
          <w:rFonts w:hint="eastAsia" w:ascii="宋体" w:hAnsi="宋体" w:eastAsia="宋体" w:cs="宋体"/>
          <w:color w:val="000000"/>
          <w:highlight w:val="none"/>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《建筑设计防火规范》 </w:t>
      </w:r>
      <w:r>
        <w:rPr>
          <w:rFonts w:hint="eastAsia" w:ascii="宋体" w:hAnsi="宋体" w:cs="宋体"/>
          <w:color w:val="000000"/>
          <w:highlight w:val="none"/>
          <w:lang w:eastAsia="zh-CN"/>
        </w:rPr>
        <w:t>（</w:t>
      </w:r>
      <w:r>
        <w:rPr>
          <w:rFonts w:hint="eastAsia" w:ascii="宋体" w:hAnsi="宋体" w:eastAsia="宋体" w:cs="宋体"/>
          <w:color w:val="000000"/>
          <w:highlight w:val="none"/>
        </w:rPr>
        <w:t>GB50016-2014</w:t>
      </w:r>
      <w:r>
        <w:rPr>
          <w:rFonts w:hint="eastAsia" w:ascii="宋体" w:hAnsi="宋体" w:cs="宋体"/>
          <w:color w:val="000000"/>
          <w:highlight w:val="none"/>
          <w:lang w:eastAsia="zh-CN"/>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《建筑内部装修设计防火规范》 (GB50222-2017) </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《建筑内部装修防火施工及验收规范》（GB50354-2005）</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《民用建筑设计通则》  (GB50352-2019)  </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《民用建筑电气设计</w:t>
      </w:r>
      <w:r>
        <w:rPr>
          <w:rFonts w:hint="eastAsia" w:ascii="宋体" w:hAnsi="宋体" w:eastAsia="宋体" w:cs="宋体"/>
          <w:color w:val="000000"/>
          <w:highlight w:val="none"/>
          <w:lang w:val="en-US" w:eastAsia="zh-CN"/>
        </w:rPr>
        <w:t>标准</w:t>
      </w:r>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GB51348-2019</w:t>
      </w:r>
      <w:r>
        <w:rPr>
          <w:rFonts w:hint="eastAsia" w:ascii="宋体" w:hAnsi="宋体" w:eastAsia="宋体" w:cs="宋体"/>
          <w:color w:val="000000"/>
          <w:highlight w:val="none"/>
          <w:lang w:eastAsia="zh-CN"/>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《民用建筑工程室内环境污染控制规范》（GB50325-20</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0）</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《民用建筑隔声设计规范》 (GB50118-2010)  </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《电气装置安装工程施工及验收规范》（GB50254</w:t>
      </w:r>
      <w:r>
        <w:rPr>
          <w:rFonts w:hint="eastAsia" w:ascii="宋体" w:hAnsi="宋体" w:eastAsia="宋体" w:cs="宋体"/>
          <w:highlight w:val="none"/>
          <w:lang w:val="en-US" w:eastAsia="zh-CN"/>
        </w:rPr>
        <w:t>～</w:t>
      </w:r>
      <w:r>
        <w:rPr>
          <w:rFonts w:hint="eastAsia" w:ascii="宋体" w:hAnsi="宋体" w:eastAsia="宋体" w:cs="宋体"/>
          <w:color w:val="000000"/>
          <w:highlight w:val="none"/>
        </w:rPr>
        <w:t>5025</w:t>
      </w:r>
      <w:r>
        <w:rPr>
          <w:rFonts w:hint="eastAsia" w:ascii="宋体" w:hAnsi="宋体" w:eastAsia="宋体" w:cs="宋体"/>
          <w:color w:val="000000"/>
          <w:highlight w:val="none"/>
          <w:lang w:val="en-US" w:eastAsia="zh-CN"/>
        </w:rPr>
        <w:t>7</w:t>
      </w:r>
      <w:r>
        <w:rPr>
          <w:rFonts w:hint="eastAsia" w:ascii="宋体" w:hAnsi="宋体" w:eastAsia="宋体" w:cs="宋体"/>
          <w:color w:val="000000"/>
          <w:highlight w:val="none"/>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《电气装置安装工程接地装置施工及验收规范》</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GB50169-2016</w:t>
      </w:r>
      <w:r>
        <w:rPr>
          <w:rFonts w:hint="eastAsia" w:ascii="宋体" w:hAnsi="宋体" w:eastAsia="宋体" w:cs="宋体"/>
          <w:color w:val="000000"/>
          <w:highlight w:val="none"/>
          <w:lang w:eastAsia="zh-CN"/>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《低压配电设计规范》</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GB50054</w:t>
      </w:r>
      <w:r>
        <w:rPr>
          <w:rFonts w:hint="eastAsia" w:ascii="宋体" w:hAnsi="宋体" w:eastAsia="宋体" w:cs="宋体"/>
          <w:color w:val="000000"/>
          <w:highlight w:val="none"/>
          <w:lang w:val="en-US" w:eastAsia="zh-CN"/>
        </w:rPr>
        <w:t>-2011</w:t>
      </w:r>
      <w:r>
        <w:rPr>
          <w:rFonts w:hint="eastAsia" w:ascii="宋体" w:hAnsi="宋体" w:eastAsia="宋体" w:cs="宋体"/>
          <w:color w:val="000000"/>
          <w:highlight w:val="none"/>
          <w:lang w:eastAsia="zh-CN"/>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《供配电系统设计规范》</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GB50052</w:t>
      </w:r>
      <w:r>
        <w:rPr>
          <w:rFonts w:hint="eastAsia" w:ascii="宋体" w:hAnsi="宋体" w:eastAsia="宋体" w:cs="宋体"/>
          <w:color w:val="000000"/>
          <w:highlight w:val="none"/>
          <w:lang w:val="en-US" w:eastAsia="zh-CN"/>
        </w:rPr>
        <w:t>-95</w:t>
      </w:r>
      <w:r>
        <w:rPr>
          <w:rFonts w:hint="eastAsia" w:ascii="宋体" w:hAnsi="宋体" w:eastAsia="宋体" w:cs="宋体"/>
          <w:color w:val="000000"/>
          <w:highlight w:val="none"/>
          <w:lang w:eastAsia="zh-CN"/>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cs="宋体"/>
          <w:color w:val="000000"/>
          <w:highlight w:val="none"/>
          <w:lang w:eastAsia="zh-CN"/>
        </w:rPr>
        <w:t>《</w:t>
      </w:r>
      <w:r>
        <w:rPr>
          <w:rFonts w:hint="eastAsia" w:ascii="宋体" w:hAnsi="宋体" w:eastAsia="宋体" w:cs="宋体"/>
          <w:color w:val="000000"/>
          <w:highlight w:val="none"/>
        </w:rPr>
        <w:t>空调用通风机安全要求</w:t>
      </w:r>
      <w:r>
        <w:rPr>
          <w:rFonts w:hint="eastAsia" w:ascii="宋体" w:hAnsi="宋体" w:cs="宋体"/>
          <w:color w:val="000000"/>
          <w:highlight w:val="none"/>
          <w:lang w:eastAsia="zh-CN"/>
        </w:rPr>
        <w:t>》</w:t>
      </w:r>
      <w:r>
        <w:rPr>
          <w:rFonts w:hint="eastAsia" w:ascii="宋体" w:hAnsi="宋体" w:eastAsia="宋体" w:cs="宋体"/>
          <w:color w:val="000000"/>
          <w:highlight w:val="none"/>
        </w:rPr>
        <w:t>（GB10080—2009）</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cs="宋体"/>
          <w:color w:val="000000"/>
          <w:highlight w:val="none"/>
          <w:lang w:eastAsia="zh-CN"/>
        </w:rPr>
        <w:t>《</w:t>
      </w:r>
      <w:r>
        <w:rPr>
          <w:rFonts w:hint="eastAsia" w:ascii="宋体" w:hAnsi="宋体" w:eastAsia="宋体" w:cs="宋体"/>
          <w:color w:val="000000"/>
          <w:highlight w:val="none"/>
        </w:rPr>
        <w:t>家用和类似用途空调器安装规范</w:t>
      </w:r>
      <w:r>
        <w:rPr>
          <w:rFonts w:hint="eastAsia" w:ascii="宋体" w:hAnsi="宋体" w:cs="宋体"/>
          <w:color w:val="000000"/>
          <w:highlight w:val="none"/>
          <w:lang w:eastAsia="zh-CN"/>
        </w:rPr>
        <w:t>》</w:t>
      </w:r>
      <w:r>
        <w:rPr>
          <w:rFonts w:hint="eastAsia" w:ascii="宋体" w:hAnsi="宋体" w:eastAsia="宋体" w:cs="宋体"/>
          <w:color w:val="000000"/>
          <w:highlight w:val="none"/>
        </w:rPr>
        <w:t>（GB17790—2008）</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cs="宋体"/>
          <w:color w:val="000000"/>
          <w:highlight w:val="none"/>
          <w:lang w:eastAsia="zh-CN"/>
        </w:rPr>
        <w:t>《</w:t>
      </w:r>
      <w:r>
        <w:rPr>
          <w:rFonts w:hint="eastAsia" w:ascii="宋体" w:hAnsi="宋体" w:eastAsia="宋体" w:cs="宋体"/>
          <w:color w:val="000000"/>
          <w:highlight w:val="none"/>
        </w:rPr>
        <w:t>多联式空调（热泵）机组能效限定值及能源效率等级</w:t>
      </w:r>
      <w:r>
        <w:rPr>
          <w:rFonts w:hint="eastAsia" w:ascii="宋体" w:hAnsi="宋体" w:cs="宋体"/>
          <w:color w:val="000000"/>
          <w:highlight w:val="none"/>
          <w:lang w:eastAsia="zh-CN"/>
        </w:rPr>
        <w:t>》</w:t>
      </w:r>
      <w:r>
        <w:rPr>
          <w:rFonts w:hint="eastAsia" w:ascii="宋体" w:hAnsi="宋体" w:eastAsia="宋体" w:cs="宋体"/>
          <w:color w:val="000000"/>
          <w:highlight w:val="none"/>
        </w:rPr>
        <w:t>（GB21454—2021）</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《视听系统设备互连用连接器的应用》</w:t>
      </w:r>
      <w:r>
        <w:rPr>
          <w:rFonts w:hint="eastAsia" w:ascii="宋体" w:hAnsi="宋体" w:eastAsia="宋体" w:cs="宋体"/>
          <w:color w:val="000000"/>
          <w:highlight w:val="none"/>
          <w:lang w:eastAsia="zh-CN"/>
        </w:rPr>
        <w:t>（GB/T15644-95）</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《住宅室内装饰装修工程质量验收规范》（JGJ/T304-2013）</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《建筑涂饰工程施工及验收规程》（JGJ/T29-2015）</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《建筑玻璃应用技术规程》(JGJ113-2015)    </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《民用建筑电气设计规范》</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JGJ16</w:t>
      </w:r>
      <w:r>
        <w:rPr>
          <w:rFonts w:hint="eastAsia" w:ascii="宋体" w:hAnsi="宋体" w:eastAsia="宋体" w:cs="宋体"/>
          <w:color w:val="000000"/>
          <w:highlight w:val="none"/>
          <w:lang w:val="en-US" w:eastAsia="zh-CN"/>
        </w:rPr>
        <w:t>-2008</w:t>
      </w:r>
      <w:r>
        <w:rPr>
          <w:rFonts w:hint="eastAsia" w:ascii="宋体" w:hAnsi="宋体" w:eastAsia="宋体" w:cs="宋体"/>
          <w:color w:val="000000"/>
          <w:highlight w:val="none"/>
          <w:lang w:eastAsia="zh-CN"/>
        </w:rPr>
        <w:t>）</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《LED显示屏通用规范》</w:t>
      </w:r>
      <w:r>
        <w:rPr>
          <w:rFonts w:hint="eastAsia" w:ascii="宋体" w:hAnsi="宋体" w:eastAsia="宋体" w:cs="宋体"/>
          <w:color w:val="000000"/>
          <w:highlight w:val="none"/>
          <w:lang w:eastAsia="zh-CN"/>
        </w:rPr>
        <w:t>（SJ/T11141-2017）</w:t>
      </w:r>
    </w:p>
    <w:p>
      <w:pPr>
        <w:pStyle w:val="16"/>
        <w:keepNext w:val="0"/>
        <w:keepLines w:val="0"/>
        <w:pageBreakBefore w:val="0"/>
        <w:widowControl w:val="0"/>
        <w:numPr>
          <w:ilvl w:val="1"/>
          <w:numId w:val="4"/>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《室内用LED显示屏多媒体系统验收规范》</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SJ/T11711-2018</w:t>
      </w:r>
      <w:r>
        <w:rPr>
          <w:rFonts w:hint="eastAsia" w:ascii="宋体" w:hAnsi="宋体" w:eastAsia="宋体" w:cs="宋体"/>
          <w:color w:val="000000"/>
          <w:highlight w:val="none"/>
          <w:lang w:eastAsia="zh-CN"/>
        </w:rPr>
        <w:t>）</w:t>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工程要求</w:t>
      </w:r>
    </w:p>
    <w:p>
      <w:pPr>
        <w:keepNext w:val="0"/>
        <w:keepLines w:val="0"/>
        <w:pageBreakBefore w:val="0"/>
        <w:widowControl w:val="0"/>
        <w:kinsoku/>
        <w:wordWrap/>
        <w:overflowPunct/>
        <w:topLinePunct w:val="0"/>
        <w:autoSpaceDE/>
        <w:autoSpaceDN/>
        <w:bidi w:val="0"/>
        <w:spacing w:line="360" w:lineRule="auto"/>
        <w:jc w:val="both"/>
        <w:textAlignment w:val="auto"/>
        <w:outlineLvl w:val="1"/>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lang w:val="en-US" w:eastAsia="zh-CN"/>
        </w:rPr>
        <w:t>项目地点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highlight w:val="none"/>
          <w:lang w:val="en-US" w:eastAsia="zh-CN"/>
        </w:rPr>
      </w:pPr>
      <w:r>
        <w:rPr>
          <w:rFonts w:hint="eastAsia" w:ascii="宋体" w:hAnsi="宋体" w:eastAsia="宋体" w:cs="宋体"/>
          <w:color w:val="auto"/>
          <w:sz w:val="24"/>
          <w:szCs w:val="24"/>
          <w:highlight w:val="none"/>
          <w:lang w:val="en-US" w:eastAsia="zh-CN"/>
        </w:rPr>
        <w:t>广东省广州市番禺区东星路35号番禺电力科技园3号楼一楼。</w:t>
      </w:r>
    </w:p>
    <w:p>
      <w:pPr>
        <w:keepNext w:val="0"/>
        <w:keepLines w:val="0"/>
        <w:pageBreakBefore w:val="0"/>
        <w:widowControl w:val="0"/>
        <w:kinsoku/>
        <w:wordWrap/>
        <w:overflowPunct/>
        <w:topLinePunct w:val="0"/>
        <w:autoSpaceDE/>
        <w:autoSpaceDN/>
        <w:bidi w:val="0"/>
        <w:spacing w:line="360" w:lineRule="auto"/>
        <w:jc w:val="both"/>
        <w:textAlignment w:val="auto"/>
        <w:outlineLvl w:val="1"/>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lang w:val="en-US" w:eastAsia="zh-CN"/>
        </w:rPr>
        <w:t>项目工期</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1.</w:t>
      </w:r>
      <w:r>
        <w:rPr>
          <w:rFonts w:hint="eastAsia" w:ascii="宋体" w:hAnsi="宋体" w:eastAsia="宋体" w:cs="宋体"/>
          <w:color w:val="000000"/>
          <w:highlight w:val="none"/>
          <w:lang w:val="en-US" w:eastAsia="zh-CN"/>
        </w:rPr>
        <w:t>项目总工期</w:t>
      </w:r>
      <w:r>
        <w:rPr>
          <w:rFonts w:hint="eastAsia" w:ascii="宋体" w:hAnsi="宋体" w:cs="宋体"/>
          <w:color w:val="000000"/>
          <w:highlight w:val="none"/>
          <w:lang w:val="en-US" w:eastAsia="zh-CN"/>
        </w:rPr>
        <w:t>6</w:t>
      </w:r>
      <w:r>
        <w:rPr>
          <w:rFonts w:hint="eastAsia" w:ascii="宋体" w:hAnsi="宋体" w:eastAsia="宋体" w:cs="宋体"/>
          <w:color w:val="000000"/>
          <w:highlight w:val="none"/>
          <w:lang w:val="en-US" w:eastAsia="zh-CN"/>
        </w:rPr>
        <w:t>个月。</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2.</w:t>
      </w:r>
      <w:r>
        <w:rPr>
          <w:rFonts w:hint="eastAsia" w:ascii="宋体" w:hAnsi="宋体" w:eastAsia="宋体" w:cs="宋体"/>
          <w:color w:val="000000"/>
          <w:highlight w:val="none"/>
          <w:lang w:val="en-US" w:eastAsia="zh-CN"/>
        </w:rPr>
        <w:t>合同签订后4个月内，</w:t>
      </w:r>
      <w:r>
        <w:rPr>
          <w:rFonts w:hint="eastAsia" w:ascii="宋体" w:hAnsi="宋体" w:cs="宋体"/>
          <w:color w:val="000000"/>
          <w:highlight w:val="none"/>
          <w:lang w:val="en-US" w:eastAsia="zh-CN"/>
        </w:rPr>
        <w:t>如无特殊情况应</w:t>
      </w:r>
      <w:r>
        <w:rPr>
          <w:rFonts w:hint="eastAsia" w:ascii="宋体" w:hAnsi="宋体" w:eastAsia="宋体" w:cs="宋体"/>
          <w:color w:val="000000"/>
          <w:highlight w:val="none"/>
          <w:lang w:val="en-US" w:eastAsia="zh-CN"/>
        </w:rPr>
        <w:t>完成</w:t>
      </w:r>
      <w:r>
        <w:rPr>
          <w:rFonts w:hint="eastAsia" w:ascii="宋体" w:hAnsi="宋体" w:cs="宋体"/>
          <w:color w:val="auto"/>
          <w:sz w:val="24"/>
          <w:szCs w:val="24"/>
          <w:highlight w:val="none"/>
          <w:lang w:val="en-US" w:eastAsia="zh-CN"/>
        </w:rPr>
        <w:t>深化设计、</w:t>
      </w:r>
      <w:r>
        <w:rPr>
          <w:rFonts w:hint="eastAsia" w:ascii="宋体" w:hAnsi="宋体" w:eastAsia="宋体" w:cs="宋体"/>
          <w:color w:val="auto"/>
          <w:sz w:val="24"/>
          <w:szCs w:val="24"/>
          <w:highlight w:val="none"/>
          <w:lang w:val="en-US" w:eastAsia="zh-CN"/>
        </w:rPr>
        <w:t>展厅装修、</w:t>
      </w:r>
      <w:r>
        <w:rPr>
          <w:rFonts w:hint="eastAsia" w:ascii="宋体" w:hAnsi="宋体" w:cs="宋体"/>
          <w:color w:val="auto"/>
          <w:sz w:val="24"/>
          <w:szCs w:val="24"/>
          <w:highlight w:val="none"/>
          <w:lang w:val="en-US" w:eastAsia="zh-CN"/>
        </w:rPr>
        <w:t>消防暖通及供配电等系统改造、</w:t>
      </w:r>
      <w:r>
        <w:rPr>
          <w:rFonts w:hint="eastAsia" w:ascii="宋体" w:hAnsi="宋体" w:eastAsia="宋体" w:cs="宋体"/>
          <w:color w:val="auto"/>
          <w:sz w:val="24"/>
          <w:szCs w:val="24"/>
          <w:highlight w:val="none"/>
          <w:lang w:val="en-US" w:eastAsia="zh-CN"/>
        </w:rPr>
        <w:t>设备采购</w:t>
      </w:r>
      <w:r>
        <w:rPr>
          <w:rFonts w:hint="eastAsia" w:ascii="宋体" w:hAnsi="宋体" w:cs="宋体"/>
          <w:color w:val="auto"/>
          <w:sz w:val="24"/>
          <w:szCs w:val="24"/>
          <w:highlight w:val="none"/>
          <w:lang w:val="en-US" w:eastAsia="zh-CN"/>
        </w:rPr>
        <w:t>与</w:t>
      </w:r>
      <w:r>
        <w:rPr>
          <w:rFonts w:hint="eastAsia" w:ascii="宋体" w:hAnsi="宋体" w:eastAsia="宋体" w:cs="宋体"/>
          <w:color w:val="auto"/>
          <w:sz w:val="24"/>
          <w:szCs w:val="24"/>
          <w:highlight w:val="none"/>
          <w:lang w:val="en-US" w:eastAsia="zh-CN"/>
        </w:rPr>
        <w:t>运输供货、设备安装</w:t>
      </w:r>
      <w:r>
        <w:rPr>
          <w:rFonts w:hint="eastAsia" w:ascii="宋体" w:hAnsi="宋体" w:cs="宋体"/>
          <w:color w:val="auto"/>
          <w:sz w:val="24"/>
          <w:szCs w:val="24"/>
          <w:highlight w:val="none"/>
          <w:lang w:val="en-US" w:eastAsia="zh-CN"/>
        </w:rPr>
        <w:t>与</w:t>
      </w:r>
      <w:r>
        <w:rPr>
          <w:rFonts w:hint="eastAsia" w:ascii="宋体" w:hAnsi="宋体" w:eastAsia="宋体" w:cs="宋体"/>
          <w:color w:val="auto"/>
          <w:sz w:val="24"/>
          <w:szCs w:val="24"/>
          <w:highlight w:val="none"/>
          <w:lang w:val="en-US" w:eastAsia="zh-CN"/>
        </w:rPr>
        <w:t>调试</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软件集成及</w:t>
      </w:r>
      <w:r>
        <w:rPr>
          <w:rFonts w:hint="eastAsia" w:ascii="宋体" w:hAnsi="宋体" w:cs="宋体"/>
          <w:color w:val="auto"/>
          <w:sz w:val="24"/>
          <w:szCs w:val="24"/>
          <w:highlight w:val="none"/>
          <w:lang w:val="en-US" w:eastAsia="zh-CN"/>
        </w:rPr>
        <w:t>其他</w:t>
      </w:r>
      <w:r>
        <w:rPr>
          <w:rFonts w:hint="eastAsia" w:ascii="宋体" w:hAnsi="宋体" w:eastAsia="宋体" w:cs="宋体"/>
          <w:color w:val="auto"/>
          <w:sz w:val="24"/>
          <w:szCs w:val="24"/>
          <w:highlight w:val="none"/>
          <w:lang w:val="en-US" w:eastAsia="zh-CN"/>
        </w:rPr>
        <w:t>配套工作</w:t>
      </w:r>
      <w:r>
        <w:rPr>
          <w:rFonts w:hint="eastAsia" w:ascii="宋体" w:hAnsi="宋体" w:eastAsia="宋体" w:cs="宋体"/>
          <w:color w:val="000000"/>
          <w:highlight w:val="none"/>
          <w:lang w:val="en-US" w:eastAsia="zh-CN"/>
        </w:rPr>
        <w:t>。因保供电、不可抗力等原因停工，工期予以顺延，因投标方原因造成的停工，工期不予顺延。</w:t>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技术要求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装修工程</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1.目前展厅消防、暖通管道等已布置，结合项目建设进行改造，具体可现场踏勘。装修工程包括但不限于拆除工程、墙身工程、地面工程、天花工程、消防工程、暖通工程、电气工程（强弱电系统）等。</w:t>
      </w:r>
    </w:p>
    <w:p>
      <w:pPr>
        <w:keepNext w:val="0"/>
        <w:keepLines w:val="0"/>
        <w:pageBreakBefore w:val="0"/>
        <w:widowControl w:val="0"/>
        <w:topLinePunct w:val="0"/>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2.拆除工程</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highlight w:val="none"/>
          <w:lang w:val="en-US" w:eastAsia="zh-CN"/>
        </w:rPr>
      </w:pPr>
      <w:r>
        <w:rPr>
          <w:rFonts w:hint="eastAsia" w:ascii="宋体" w:hAnsi="宋体" w:eastAsia="宋体" w:cs="宋体"/>
          <w:color w:val="auto"/>
          <w:sz w:val="24"/>
          <w:szCs w:val="24"/>
          <w:highlight w:val="none"/>
          <w:lang w:val="en-US" w:eastAsia="zh-CN"/>
        </w:rPr>
        <w:t>根据设计方案需要现场需拆除的项目，主要包括展厅入口与出口（宽均约8.2m）处玻璃及玻璃门、展厅左侧中部窗户（宽约2m）等。</w:t>
      </w:r>
    </w:p>
    <w:p>
      <w:pPr>
        <w:keepNext w:val="0"/>
        <w:keepLines w:val="0"/>
        <w:pageBreakBefore w:val="0"/>
        <w:widowControl w:val="0"/>
        <w:topLinePunct w:val="0"/>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3.墙身工程</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包括两部分：</w:t>
      </w:r>
    </w:p>
    <w:p>
      <w:pPr>
        <w:keepNext w:val="0"/>
        <w:keepLines w:val="0"/>
        <w:pageBreakBefore w:val="0"/>
        <w:widowControl w:val="0"/>
        <w:topLinePunct w:val="0"/>
        <w:bidi w:val="0"/>
        <w:adjustRightInd w:val="0"/>
        <w:snapToGrid w:val="0"/>
        <w:spacing w:line="360" w:lineRule="auto"/>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（1）展厅右侧砌墙（长约14.3m，含增设1道消防门）、中间砌墙（长约4.4m）：</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1）墙体类型：轻质隔墙；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2）墙体厚度：200mm；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3）砌块品种、规格、强度等级:MU3.5硅酸盐砌块、600mm×200mm×200mm；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4）砂浆强度等级:M7.5砌筑砂浆；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5）含构造梁、柱。</w:t>
      </w:r>
    </w:p>
    <w:p>
      <w:pPr>
        <w:keepNext w:val="0"/>
        <w:keepLines w:val="0"/>
        <w:pageBreakBefore w:val="0"/>
        <w:widowControl w:val="0"/>
        <w:topLinePunct w:val="0"/>
        <w:bidi w:val="0"/>
        <w:adjustRightInd w:val="0"/>
        <w:snapToGrid w:val="0"/>
        <w:spacing w:line="360" w:lineRule="auto"/>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（2）内部隔断（长约11m）：</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1）采用轻钢龙骨石膏板隔墙；</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2）面层材料满足B1防火要求，有高温照明区域要求A级装修材料。</w:t>
      </w:r>
    </w:p>
    <w:p>
      <w:pPr>
        <w:keepNext w:val="0"/>
        <w:keepLines w:val="0"/>
        <w:pageBreakBefore w:val="0"/>
        <w:widowControl w:val="0"/>
        <w:topLinePunct w:val="0"/>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4.地面工程</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现为毛坯状态，地面水泥砂浆找平层，自流平找平层厚度约2</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3mm,面层PVC地胶厚度2.5mm。材料需满足B1级防火要求。</w:t>
      </w:r>
    </w:p>
    <w:p>
      <w:pPr>
        <w:keepNext w:val="0"/>
        <w:keepLines w:val="0"/>
        <w:pageBreakBefore w:val="0"/>
        <w:widowControl w:val="0"/>
        <w:topLinePunct w:val="0"/>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5.天花工程</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轻钢龙骨间距不超过1200mm，造型铝材厚度1.0mm，天花所用材料均需满足A级防火。施工工艺要求铺贴平整，拼缝对齐。</w:t>
      </w:r>
    </w:p>
    <w:p>
      <w:pPr>
        <w:keepNext w:val="0"/>
        <w:keepLines w:val="0"/>
        <w:pageBreakBefore w:val="0"/>
        <w:widowControl w:val="0"/>
        <w:topLinePunct w:val="0"/>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6.消防工程</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展厅上方已布置消防水管、感烟探测器等，根据实际对展厅范围内的消防系统末端进行调整。</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（1）消防水系统主要包括室内消火栓系统、自动喷水灭火系统。</w:t>
      </w:r>
    </w:p>
    <w:p>
      <w:pPr>
        <w:pStyle w:val="2"/>
        <w:keepNext w:val="0"/>
        <w:keepLines w:val="0"/>
        <w:pageBreakBefore w:val="0"/>
        <w:widowControl w:val="0"/>
        <w:kinsoku w:val="0"/>
        <w:wordWrap w:val="0"/>
        <w:overflowPunct w:val="0"/>
        <w:topLinePunct w:val="0"/>
        <w:autoSpaceDE w:val="0"/>
        <w:autoSpaceDN w:val="0"/>
        <w:bidi w:val="0"/>
        <w:adjustRightInd w:val="0"/>
        <w:snapToGrid w:val="0"/>
        <w:spacing w:before="0" w:after="0" w:afterLines="0" w:line="360" w:lineRule="auto"/>
        <w:ind w:firstLine="720" w:firstLineChars="3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1)室内消火栓系统：本次平面布局微调，不涉及主系统修改，利用原有消火栓。</w:t>
      </w:r>
    </w:p>
    <w:p>
      <w:pPr>
        <w:pStyle w:val="2"/>
        <w:keepNext w:val="0"/>
        <w:keepLines w:val="0"/>
        <w:pageBreakBefore w:val="0"/>
        <w:widowControl w:val="0"/>
        <w:kinsoku w:val="0"/>
        <w:wordWrap w:val="0"/>
        <w:overflowPunct w:val="0"/>
        <w:topLinePunct w:val="0"/>
        <w:autoSpaceDE w:val="0"/>
        <w:autoSpaceDN w:val="0"/>
        <w:bidi w:val="0"/>
        <w:adjustRightInd w:val="0"/>
        <w:snapToGrid w:val="0"/>
        <w:spacing w:before="0" w:after="0" w:afterLines="0" w:line="360" w:lineRule="auto"/>
        <w:ind w:firstLine="720" w:firstLineChars="3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2)自动喷水灭火系统：本次不对干管系统进行修改，仅调整或增加了吊顶下喷头。</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栋大楼采用集中报警控制系统，本次装修设计利用原有大楼消防报警系统，仅对消防报警设备末端进行改造，不对原有消防系统进行重新设计。因缺少现场图纸资料，现场施工应结合设计图纸及现场实际情况进行调整。</w:t>
      </w:r>
    </w:p>
    <w:p>
      <w:pPr>
        <w:pStyle w:val="2"/>
        <w:keepNext w:val="0"/>
        <w:keepLines w:val="0"/>
        <w:pageBreakBefore w:val="0"/>
        <w:widowControl w:val="0"/>
        <w:kinsoku w:val="0"/>
        <w:wordWrap w:val="0"/>
        <w:overflowPunct w:val="0"/>
        <w:topLinePunct w:val="0"/>
        <w:autoSpaceDE w:val="0"/>
        <w:autoSpaceDN w:val="0"/>
        <w:bidi w:val="0"/>
        <w:adjustRightInd w:val="0"/>
        <w:snapToGrid w:val="0"/>
        <w:spacing w:before="0" w:after="0" w:afterLines="0" w:line="360" w:lineRule="auto"/>
        <w:ind w:firstLine="720" w:firstLineChars="3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设计规范要求：平时水雾、烟尘较大的场所设置感温探测器，一般场所设置感烟探测器。根据需要在适当位置设手动报警按钮和消防对讲电话插孔。手动报警按钮和消防对讲电话插孔距地1.4m安装。消火栓报警按钮设置于消火栓箱内，底边距地1.3m。</w:t>
      </w:r>
    </w:p>
    <w:p>
      <w:pPr>
        <w:pStyle w:val="2"/>
        <w:keepNext w:val="0"/>
        <w:keepLines w:val="0"/>
        <w:pageBreakBefore w:val="0"/>
        <w:widowControl w:val="0"/>
        <w:kinsoku w:val="0"/>
        <w:wordWrap w:val="0"/>
        <w:overflowPunct w:val="0"/>
        <w:topLinePunct w:val="0"/>
        <w:autoSpaceDE w:val="0"/>
        <w:autoSpaceDN w:val="0"/>
        <w:bidi w:val="0"/>
        <w:adjustRightInd w:val="0"/>
        <w:snapToGrid w:val="0"/>
        <w:spacing w:before="0" w:after="0" w:afterLines="0" w:line="360" w:lineRule="auto"/>
        <w:ind w:firstLine="720" w:firstLineChars="3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2）安装技术要求：烟感、温感、消防广播、消防按钮及声光报警器等所有设备及系统的安装必须符合规程和规范中所列规范要求。未尽规范参照相关国家或行业标准、规范等执行。</w:t>
      </w:r>
    </w:p>
    <w:p>
      <w:pPr>
        <w:pStyle w:val="2"/>
        <w:keepNext w:val="0"/>
        <w:keepLines w:val="0"/>
        <w:pageBreakBefore w:val="0"/>
        <w:widowControl w:val="0"/>
        <w:topLinePunct w:val="0"/>
        <w:bidi w:val="0"/>
        <w:adjustRightInd w:val="0"/>
        <w:snapToGrid w:val="0"/>
        <w:spacing w:before="0" w:after="0" w:afterLines="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7.暖通工程</w:t>
      </w:r>
    </w:p>
    <w:p>
      <w:pPr>
        <w:pStyle w:val="2"/>
        <w:keepNext w:val="0"/>
        <w:keepLines w:val="0"/>
        <w:pageBreakBefore w:val="0"/>
        <w:widowControl w:val="0"/>
        <w:topLinePunct w:val="0"/>
        <w:bidi w:val="0"/>
        <w:adjustRightInd w:val="0"/>
        <w:snapToGrid w:val="0"/>
        <w:spacing w:before="0" w:after="0" w:afterLines="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展厅上方已布置暖通管道，根据实际对原有空调系统、通风系统、防排烟系统对展厅范围内的空调末端、排烟末端进行调整。</w:t>
      </w:r>
    </w:p>
    <w:p>
      <w:pPr>
        <w:pStyle w:val="2"/>
        <w:keepNext w:val="0"/>
        <w:keepLines w:val="0"/>
        <w:pageBreakBefore w:val="0"/>
        <w:widowControl w:val="0"/>
        <w:topLinePunct w:val="0"/>
        <w:bidi w:val="0"/>
        <w:adjustRightInd w:val="0"/>
        <w:snapToGrid w:val="0"/>
        <w:spacing w:before="0" w:after="0" w:afterLines="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（1）系统方案</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1）空调系统：本栋</w:t>
      </w:r>
      <w:r>
        <w:rPr>
          <w:rFonts w:hint="eastAsia" w:ascii="宋体" w:hAnsi="宋体" w:cs="宋体"/>
          <w:color w:val="auto"/>
          <w:sz w:val="24"/>
          <w:szCs w:val="24"/>
          <w:highlight w:val="none"/>
          <w:lang w:val="en-US" w:eastAsia="zh-CN"/>
        </w:rPr>
        <w:t>大</w:t>
      </w:r>
      <w:r>
        <w:rPr>
          <w:rFonts w:hint="eastAsia" w:ascii="宋体" w:hAnsi="宋体" w:eastAsia="宋体" w:cs="宋体"/>
          <w:color w:val="auto"/>
          <w:sz w:val="24"/>
          <w:szCs w:val="24"/>
          <w:highlight w:val="none"/>
          <w:lang w:val="en-US" w:eastAsia="zh-CN"/>
        </w:rPr>
        <w:t>楼空调系统采用冷水中央空调系统，本次装修设计利用原有大楼中央空调，仅对空调末端进行改造，空调末端冷冻供回水管接入大楼中央空调系统。</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2）通风系统：新风系统采用原有接冷水管新风机，室外新风经过新风机处理后直接送入空调区域，新风支管设置调节阀，确保新风量满足室内舒适度要求。设备间通风散热应考虑，确保设备运行正常。</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840" w:firstLineChars="35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3）防排烟系统：本项目对不能满足自然排烟要求的区域设置机械排烟系统，利用大楼原有机械排烟系统，对末端管路按国家或行业标准、规范等进行调整。</w:t>
      </w:r>
    </w:p>
    <w:p>
      <w:pPr>
        <w:pStyle w:val="2"/>
        <w:keepNext w:val="0"/>
        <w:keepLines w:val="0"/>
        <w:pageBreakBefore w:val="0"/>
        <w:widowControl w:val="0"/>
        <w:topLinePunct w:val="0"/>
        <w:bidi w:val="0"/>
        <w:adjustRightInd w:val="0"/>
        <w:snapToGrid w:val="0"/>
        <w:spacing w:before="0" w:after="0" w:afterLines="0" w:line="360" w:lineRule="auto"/>
        <w:ind w:firstLine="480" w:firstLineChars="200"/>
        <w:jc w:val="both"/>
        <w:textAlignment w:val="auto"/>
        <w:rPr>
          <w:rFonts w:hint="eastAsia" w:ascii="宋体" w:hAnsi="宋体" w:eastAsia="宋体" w:cs="宋体"/>
          <w:sz w:val="24"/>
          <w:szCs w:val="24"/>
          <w:highlight w:val="none"/>
          <w:lang w:val="en-US" w:eastAsia="zh-CN"/>
        </w:rPr>
      </w:pPr>
      <w:bookmarkStart w:id="10" w:name="_Toc20775"/>
      <w:r>
        <w:rPr>
          <w:rFonts w:hint="eastAsia" w:ascii="宋体" w:hAnsi="宋体" w:eastAsia="宋体" w:cs="宋体"/>
          <w:sz w:val="24"/>
          <w:szCs w:val="24"/>
          <w:highlight w:val="none"/>
          <w:lang w:val="en-US" w:eastAsia="zh-CN"/>
        </w:rPr>
        <w:t>（2）暖通系统设备的技术要求</w:t>
      </w:r>
      <w:bookmarkEnd w:id="10"/>
    </w:p>
    <w:p>
      <w:pPr>
        <w:pStyle w:val="2"/>
        <w:keepNext w:val="0"/>
        <w:keepLines w:val="0"/>
        <w:pageBreakBefore w:val="0"/>
        <w:widowControl w:val="0"/>
        <w:kinsoku w:val="0"/>
        <w:wordWrap w:val="0"/>
        <w:overflowPunct w:val="0"/>
        <w:topLinePunct w:val="0"/>
        <w:autoSpaceDE w:val="0"/>
        <w:autoSpaceDN w:val="0"/>
        <w:bidi w:val="0"/>
        <w:adjustRightInd w:val="0"/>
        <w:snapToGrid w:val="0"/>
        <w:spacing w:before="0" w:after="0" w:afterLines="0" w:line="360" w:lineRule="auto"/>
        <w:ind w:firstLine="840" w:firstLineChars="35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各类风口：投标人根据风口所承受的风量、风压及气流组织情况，提供符合要求的风口。风口（包括风口风量调节阀）材料应采用铝型材，并符合GB5237-2004的规定；风口表面进行粉末喷涂处理附着力测试达到1级标准。风口颜色采用铝合金颜色（若有喷黑或其他颜色要求，由装修负责喷涂处理）。风管式多联机室内机及风机盘管机组应采用门铰式单层百叶回风口，应自带NF尼龙双层过滤网，叶芯与外框用门铰连接，安装后可任意打开叶芯组件，更换风口过滤器。</w:t>
      </w:r>
    </w:p>
    <w:p>
      <w:pPr>
        <w:pStyle w:val="2"/>
        <w:keepNext w:val="0"/>
        <w:keepLines w:val="0"/>
        <w:pageBreakBefore w:val="0"/>
        <w:widowControl w:val="0"/>
        <w:kinsoku w:val="0"/>
        <w:wordWrap w:val="0"/>
        <w:overflowPunct w:val="0"/>
        <w:topLinePunct w:val="0"/>
        <w:autoSpaceDE w:val="0"/>
        <w:autoSpaceDN w:val="0"/>
        <w:bidi w:val="0"/>
        <w:adjustRightInd w:val="0"/>
        <w:snapToGrid w:val="0"/>
        <w:spacing w:before="0" w:after="0" w:afterLines="0" w:line="360" w:lineRule="auto"/>
        <w:ind w:firstLine="840" w:firstLineChars="35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2）保温材料：保温材料包括泡沫橡塑保温材料、离心玻璃棉保温材料、泡沫玻璃保温材料等，所有保温材料应能满足国家相关规定。</w:t>
      </w:r>
    </w:p>
    <w:p>
      <w:pPr>
        <w:pStyle w:val="2"/>
        <w:keepNext w:val="0"/>
        <w:keepLines w:val="0"/>
        <w:pageBreakBefore w:val="0"/>
        <w:widowControl w:val="0"/>
        <w:topLinePunct w:val="0"/>
        <w:bidi w:val="0"/>
        <w:adjustRightInd w:val="0"/>
        <w:snapToGrid w:val="0"/>
        <w:spacing w:before="0" w:after="0" w:afterLines="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8.电气工程（强弱电系统）</w:t>
      </w:r>
    </w:p>
    <w:p>
      <w:pPr>
        <w:pStyle w:val="2"/>
        <w:keepNext w:val="0"/>
        <w:keepLines w:val="0"/>
        <w:pageBreakBefore w:val="0"/>
        <w:widowControl w:val="0"/>
        <w:topLinePunct w:val="0"/>
        <w:bidi w:val="0"/>
        <w:adjustRightInd w:val="0"/>
        <w:snapToGrid w:val="0"/>
        <w:spacing w:before="0" w:after="0" w:afterLines="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主要包括装修范围内的照明、插座、动力等末端系统设计，弱电智能化设计（综合布线系统、门禁系统等）。</w:t>
      </w:r>
    </w:p>
    <w:p>
      <w:pPr>
        <w:pStyle w:val="2"/>
        <w:keepNext w:val="0"/>
        <w:keepLines w:val="0"/>
        <w:pageBreakBefore w:val="0"/>
        <w:widowControl w:val="0"/>
        <w:topLinePunct w:val="0"/>
        <w:bidi w:val="0"/>
        <w:adjustRightInd w:val="0"/>
        <w:snapToGrid w:val="0"/>
        <w:spacing w:before="0" w:after="0" w:afterLines="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（1）本工程中所有负荷等级按原有建筑物负荷设计。电源引自原有楼层配电间配电总箱。如原楼层配电总箱容量不满足设计要求，需从低压配电房新增电源引入。</w:t>
      </w:r>
    </w:p>
    <w:p>
      <w:pPr>
        <w:pStyle w:val="2"/>
        <w:keepNext w:val="0"/>
        <w:keepLines w:val="0"/>
        <w:pageBreakBefore w:val="0"/>
        <w:widowControl w:val="0"/>
        <w:topLinePunct w:val="0"/>
        <w:bidi w:val="0"/>
        <w:adjustRightInd w:val="0"/>
        <w:snapToGrid w:val="0"/>
        <w:spacing w:before="0" w:after="0" w:afterLines="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（2）各种电气设备、仪表、器材、元件及安装材料，须符合设计及产品技术、质量标准的要求。</w:t>
      </w:r>
    </w:p>
    <w:p>
      <w:pPr>
        <w:pStyle w:val="2"/>
        <w:keepNext w:val="0"/>
        <w:keepLines w:val="0"/>
        <w:pageBreakBefore w:val="0"/>
        <w:widowControl w:val="0"/>
        <w:topLinePunct w:val="0"/>
        <w:bidi w:val="0"/>
        <w:adjustRightInd w:val="0"/>
        <w:snapToGrid w:val="0"/>
        <w:spacing w:before="0" w:after="0" w:afterLines="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（3）展厅照明应满足国家或行业标准、规范里照度值及照明功率密度值等要求，同时要结合展厅不同区域展示方式调整具体照明模式。应急疏散照明系统根据装修布局调整，对局部应急疏散照明灯具进行调整。</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（4）电线型式为ZR-BVV、ZR-BV阻燃防火型，NH-BV耐燃型。采用交流220V/380V供电或控制的交流用电设备线路，应采用耐压不低于交流450/750V的电线。</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（5）开关采用暗敷，距地高度约为1.4m。开关数量需满足灯具的要求，考虑节能每个开关控制灯具的数量不宜多于三盏，控制筒灯、通道吸顶灯时可适当增加。插座采用暗敷。室内导线MT线管暗敷。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各种支（吊）架应事先预制，做好防腐处理，安装牢固可靠。暗埋的各种盒子、箱体，应固定稳妥，安装平正，不歪斜，并应控制好进出深度（事先明确抹灰和面砖厚度）。暗埋导管应事先穿入铁线，并应有防止堵塞的措施。</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kern w:val="2"/>
          <w:sz w:val="24"/>
          <w:szCs w:val="24"/>
          <w:highlight w:val="none"/>
          <w:lang w:val="en-US" w:eastAsia="zh-CN" w:bidi="ar-SA"/>
        </w:rPr>
        <w:t>电缆桥架（线槽）敷设应事先做好平面、立平布置。布置原则是：桥架让通风管道和消防水管道，尽量缩短线路长度，尽量贴梁（板）、贴墙（考虑合适检修距离）、贴风管（考虑保温厚度）敷设，以利提高空间利用率。封闭母线槽垂直敷设时,支持点间距不大于2m。</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）智能化工程：</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720" w:firstLineChars="3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综合布线系统：综合布线系统给各区域提供语音、数据、影像和其他信息技术的传输平台。网线应使用超六类屏蔽线，以保证后续防信号干扰，线缆敷设应符合设计和规范要求。内外网独立设置，实现物理隔离。</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720" w:firstLineChars="3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2）系统输出口频道间载波电平差：任意频道间≤10dB，相邻频道间≤3dB，频道频率稳定度±25kHz ，图像/伴音频率间隔稳定度±5kHz ，用户电平要求(64、67±4) dB，图象清晰度应在四级以上。</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720" w:firstLineChars="3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3)门禁系统：门禁系统主要是展厅的出入口进行控制。采用联网集中控制系统，所有门禁系统采用同一卡片，使得主要出入口不需钥匙而直接出入。</w:t>
      </w:r>
    </w:p>
    <w:p>
      <w:pPr>
        <w:keepNext w:val="0"/>
        <w:keepLines w:val="0"/>
        <w:pageBreakBefore w:val="0"/>
        <w:widowControl w:val="0"/>
        <w:topLinePunct w:val="0"/>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9.展厅出入口、通道装饰装修</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主要为展厅入口（超白玻璃）、展厅出口（玻璃）、展厅内通道（I区）等区域及相关配套装修装饰，按照招标方认可的深化设计方案施工。展厅出入口能实现遥控常开、常闭控制。</w:t>
      </w:r>
    </w:p>
    <w:p>
      <w:pPr>
        <w:pStyle w:val="2"/>
        <w:keepNext w:val="0"/>
        <w:keepLines w:val="0"/>
        <w:pageBreakBefore w:val="0"/>
        <w:widowControl w:val="0"/>
        <w:topLinePunct w:val="0"/>
        <w:bidi w:val="0"/>
        <w:adjustRightInd w:val="0"/>
        <w:snapToGrid w:val="0"/>
        <w:spacing w:before="0" w:after="0" w:afterLines="0" w:line="36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10.灯箱、亚克力发光字等装饰装修</w:t>
      </w:r>
    </w:p>
    <w:p>
      <w:pPr>
        <w:pStyle w:val="2"/>
        <w:keepNext w:val="0"/>
        <w:keepLines w:val="0"/>
        <w:pageBreakBefore w:val="0"/>
        <w:widowControl w:val="0"/>
        <w:topLinePunct w:val="0"/>
        <w:bidi w:val="0"/>
        <w:adjustRightInd w:val="0"/>
        <w:snapToGri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主要为展厅灯箱、亚克力发光字、图文等装饰装修，按照招标方认可的深化设计方案施工。</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11.装修材料应采用符合国家及行业标准的环保材料。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设备和软件要求</w:t>
      </w:r>
    </w:p>
    <w:p>
      <w:pPr>
        <w:keepNext w:val="0"/>
        <w:keepLines w:val="0"/>
        <w:pageBreakBefore w:val="0"/>
        <w:widowControl w:val="0"/>
        <w:topLinePunct w:val="0"/>
        <w:bidi w:val="0"/>
        <w:adjustRightInd w:val="0"/>
        <w:snapToGrid w:val="0"/>
        <w:spacing w:line="360" w:lineRule="auto"/>
        <w:ind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1.LED透明贴膜屏及附件（含安装排线及隐藏电源等）</w:t>
      </w:r>
      <w:r>
        <w:rPr>
          <w:rFonts w:hint="eastAsia" w:ascii="宋体" w:hAnsi="宋体" w:eastAsia="宋体" w:cs="宋体"/>
          <w:color w:val="auto"/>
          <w:sz w:val="24"/>
          <w:szCs w:val="24"/>
          <w:highlight w:val="none"/>
          <w:lang w:val="en-US" w:eastAsia="zh-CN"/>
        </w:rPr>
        <w:t>，位于展厅入口处</w:t>
      </w:r>
    </w:p>
    <w:p>
      <w:pPr>
        <w:keepNext w:val="0"/>
        <w:keepLines w:val="0"/>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（A区）：</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屏幕尺寸：不低于5000*2450mm，或面积不少于12.25㎡</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TF3.96-7.81（灯驱分离）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像素组成：R1G1B1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像素间距：3.96*7.81mm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灯珠:1921常规灯珠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控制系统：诺瓦/摩西尔/卡莱特等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箱体分辨率：252*64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单模组分辨率：126*8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像素点/㎡：不低于16128dot/㎡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通透率：&lt;55%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显示亮度：≤4500cd/㎡                       </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箱体重量：&lt;6kg</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2.弧形LED屏（含压铸铝箱体、图像处理系统等）</w:t>
      </w:r>
      <w:r>
        <w:rPr>
          <w:rFonts w:hint="eastAsia" w:ascii="宋体" w:hAnsi="宋体" w:eastAsia="宋体" w:cs="宋体"/>
          <w:sz w:val="24"/>
          <w:szCs w:val="24"/>
          <w:highlight w:val="none"/>
          <w:lang w:val="en-US" w:eastAsia="zh-CN"/>
        </w:rPr>
        <w:t>，位于企业宣传片展示区域（C区）：</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P1.5 LED屏显示系统，显示屏采用当前主流品牌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屏幕尺寸：4500mm*2530mm，或面积不少于11.4㎡</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像素点间距：1.538mm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像素组成：R1G1B1</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显示效果：4K超清、 超高刷新：≥3840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整屏平整度≤0.05mm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模组平整度≤0.02mm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拼接缝≤0.02mm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单元板分辨率208*104</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亮度≥500cd/m²</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亮度均匀性≥98%</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水平视角≥160°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垂直视角≥160°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对比度≥7500：1</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像素失控率&lt;0.01%</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发光点中心偏距＜1%</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3.LED显示屏及配套设备</w:t>
      </w:r>
      <w:r>
        <w:rPr>
          <w:rFonts w:hint="eastAsia" w:ascii="宋体" w:hAnsi="宋体" w:eastAsia="宋体" w:cs="宋体"/>
          <w:sz w:val="24"/>
          <w:szCs w:val="24"/>
          <w:highlight w:val="none"/>
          <w:lang w:val="en-US" w:eastAsia="zh-CN"/>
        </w:rPr>
        <w:t>，位于抽水蓄能作用及原理介绍区（E区）</w:t>
      </w:r>
      <w:r>
        <w:rPr>
          <w:rFonts w:hint="eastAsia" w:ascii="宋体" w:hAnsi="宋体" w:eastAsia="宋体" w:cs="宋体"/>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显示屏采用当前主流品牌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屏幕尺寸：面积不少于7㎡</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屏幕分辨率：1720点*1032点</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LED灯：不低于SMD1515级别</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模组尺寸：320mm*160mm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模组分辨率：172点*86点</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屏幕刷新率：3840Hz</w:t>
      </w:r>
    </w:p>
    <w:p>
      <w:pPr>
        <w:pStyle w:val="2"/>
        <w:keepNext w:val="0"/>
        <w:keepLines w:val="0"/>
        <w:pageBreakBefore w:val="0"/>
        <w:widowControl w:val="0"/>
        <w:topLinePunct w:val="0"/>
        <w:bidi w:val="0"/>
        <w:adjustRightInd w:val="0"/>
        <w:spacing w:before="0" w:after="0" w:afterLines="0" w:line="36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drawing>
          <wp:inline distT="0" distB="0" distL="114300" distR="114300">
            <wp:extent cx="2879725" cy="2139950"/>
            <wp:effectExtent l="0" t="0" r="3175" b="6350"/>
            <wp:docPr id="3" name="图片 3" descr="WXWorkLocal_1711675853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XWorkLocal_17116758535448"/>
                    <pic:cNvPicPr>
                      <a:picLocks noChangeAspect="1"/>
                    </pic:cNvPicPr>
                  </pic:nvPicPr>
                  <pic:blipFill>
                    <a:blip r:embed="rId7"/>
                    <a:stretch>
                      <a:fillRect/>
                    </a:stretch>
                  </pic:blipFill>
                  <pic:spPr>
                    <a:xfrm>
                      <a:off x="0" y="0"/>
                      <a:ext cx="2879725" cy="2139950"/>
                    </a:xfrm>
                    <a:prstGeom prst="rect">
                      <a:avLst/>
                    </a:prstGeom>
                  </pic:spPr>
                </pic:pic>
              </a:graphicData>
            </a:graphic>
          </wp:inline>
        </w:drawing>
      </w:r>
    </w:p>
    <w:p>
      <w:pPr>
        <w:pStyle w:val="2"/>
        <w:keepNext w:val="0"/>
        <w:keepLines w:val="0"/>
        <w:pageBreakBefore w:val="0"/>
        <w:widowControl w:val="0"/>
        <w:kinsoku w:val="0"/>
        <w:wordWrap w:val="0"/>
        <w:overflowPunct w:val="0"/>
        <w:topLinePunct w:val="0"/>
        <w:autoSpaceDE w:val="0"/>
        <w:autoSpaceDN w:val="0"/>
        <w:bidi w:val="0"/>
        <w:adjustRightInd w:val="0"/>
        <w:snapToGrid/>
        <w:spacing w:before="0" w:after="157" w:afterLines="50" w:line="360" w:lineRule="auto"/>
        <w:ind w:firstLine="454"/>
        <w:jc w:val="center"/>
        <w:textAlignment w:val="auto"/>
        <w:rPr>
          <w:rFonts w:hint="eastAsia" w:ascii="宋体" w:hAnsi="宋体" w:eastAsia="宋体" w:cs="宋体"/>
          <w:sz w:val="24"/>
          <w:szCs w:val="24"/>
          <w:highlight w:val="none"/>
          <w:lang w:val="en-US" w:eastAsia="zh-CN"/>
        </w:rPr>
      </w:pPr>
      <w:r>
        <w:rPr>
          <w:rFonts w:hint="eastAsia"/>
          <w:highlight w:val="none"/>
          <w:lang w:val="en-US" w:eastAsia="zh-CN"/>
        </w:rPr>
        <w:t>图2 抽水蓄能作用及原理区域初步设计图（沙盘+显示屏）</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4.触摸互动屏及配套设备</w:t>
      </w:r>
      <w:r>
        <w:rPr>
          <w:rFonts w:hint="eastAsia" w:ascii="宋体" w:hAnsi="宋体" w:eastAsia="宋体" w:cs="宋体"/>
          <w:sz w:val="24"/>
          <w:szCs w:val="24"/>
          <w:highlight w:val="none"/>
          <w:lang w:val="en-US" w:eastAsia="zh-CN"/>
        </w:rPr>
        <w:t>，位于智慧工地应用展示区域（G区）</w:t>
      </w:r>
      <w:r>
        <w:rPr>
          <w:rFonts w:hint="eastAsia" w:ascii="宋体" w:hAnsi="宋体" w:eastAsia="宋体" w:cs="宋体"/>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显示屏采用当前主流品牌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屏幕尺寸或数量：面积不少于2*4个48寸液晶拼接面积</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显示要求：4K高清</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屏幕比例: 16：9</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接口类型: HDMI、网线等</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5.沉浸式弧形屏（含压铸铝箱体及配套设备）</w:t>
      </w:r>
      <w:r>
        <w:rPr>
          <w:rFonts w:hint="eastAsia" w:ascii="宋体" w:hAnsi="宋体" w:eastAsia="宋体" w:cs="宋体"/>
          <w:sz w:val="24"/>
          <w:szCs w:val="24"/>
          <w:highlight w:val="none"/>
          <w:lang w:val="en-US" w:eastAsia="zh-CN"/>
        </w:rPr>
        <w:t>，位于沉浸式体验区（J区）</w:t>
      </w:r>
      <w:r>
        <w:rPr>
          <w:rFonts w:hint="eastAsia" w:ascii="宋体" w:hAnsi="宋体" w:eastAsia="宋体" w:cs="宋体"/>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显示屏采用当前主流品牌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屏幕尺寸：面积不少于20㎡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像素点间距：1.538mm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像素构成：1R1G1B</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模组尺寸：320*160mm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显示效果：4K超清、超高刷新：≥3840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整屏平整度≤0.05mm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模组平整度≤0.02mm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拼接缝≤0.02mm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单元板分辨率208*104</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亮度≥500cd/m²</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亮度均匀性≥98%</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水平视角≥160°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垂直视角≥160°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对比度≥7500：1</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像素失控率&lt;0.01%</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发光点中心偏距＜1%</w:t>
      </w:r>
    </w:p>
    <w:p>
      <w:pPr>
        <w:pStyle w:val="2"/>
        <w:keepNext w:val="0"/>
        <w:keepLines w:val="0"/>
        <w:pageBreakBefore w:val="0"/>
        <w:widowControl w:val="0"/>
        <w:topLinePunct w:val="0"/>
        <w:bidi w:val="0"/>
        <w:adjustRightInd w:val="0"/>
        <w:spacing w:before="0" w:after="0" w:afterLines="0" w:line="36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drawing>
          <wp:inline distT="0" distB="0" distL="114300" distR="114300">
            <wp:extent cx="2879725" cy="1684655"/>
            <wp:effectExtent l="0" t="0" r="3175" b="4445"/>
            <wp:docPr id="4" name="图片 4" descr="C:\Users\admin\Desktop\WXWorkLocal_17116761301727.pngWXWorkLocal_1711676130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Desktop\WXWorkLocal_17116761301727.pngWXWorkLocal_17116761301727"/>
                    <pic:cNvPicPr>
                      <a:picLocks noChangeAspect="1"/>
                    </pic:cNvPicPr>
                  </pic:nvPicPr>
                  <pic:blipFill>
                    <a:blip r:embed="rId8"/>
                    <a:srcRect/>
                    <a:stretch>
                      <a:fillRect/>
                    </a:stretch>
                  </pic:blipFill>
                  <pic:spPr>
                    <a:xfrm>
                      <a:off x="0" y="0"/>
                      <a:ext cx="2879725" cy="1684655"/>
                    </a:xfrm>
                    <a:prstGeom prst="rect">
                      <a:avLst/>
                    </a:prstGeom>
                  </pic:spPr>
                </pic:pic>
              </a:graphicData>
            </a:graphic>
          </wp:inline>
        </w:drawing>
      </w:r>
    </w:p>
    <w:p>
      <w:pPr>
        <w:pStyle w:val="2"/>
        <w:keepNext w:val="0"/>
        <w:keepLines w:val="0"/>
        <w:pageBreakBefore w:val="0"/>
        <w:widowControl w:val="0"/>
        <w:kinsoku w:val="0"/>
        <w:wordWrap w:val="0"/>
        <w:overflowPunct w:val="0"/>
        <w:topLinePunct w:val="0"/>
        <w:autoSpaceDE w:val="0"/>
        <w:autoSpaceDN w:val="0"/>
        <w:bidi w:val="0"/>
        <w:adjustRightInd w:val="0"/>
        <w:snapToGrid/>
        <w:spacing w:before="0" w:after="157" w:afterLines="50" w:line="36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highlight w:val="none"/>
          <w:lang w:val="en-US" w:eastAsia="zh-CN"/>
        </w:rPr>
        <w:t xml:space="preserve">图3 </w:t>
      </w:r>
      <w:r>
        <w:rPr>
          <w:rFonts w:hint="eastAsia" w:ascii="宋体" w:hAnsi="宋体" w:eastAsia="宋体" w:cs="宋体"/>
          <w:sz w:val="24"/>
          <w:szCs w:val="24"/>
          <w:highlight w:val="none"/>
          <w:lang w:val="en-US" w:eastAsia="zh-CN"/>
        </w:rPr>
        <w:t>沉浸式体验区</w:t>
      </w:r>
      <w:r>
        <w:rPr>
          <w:rFonts w:hint="eastAsia"/>
          <w:highlight w:val="none"/>
          <w:lang w:val="en-US" w:eastAsia="zh-CN"/>
        </w:rPr>
        <w:t>初步设计图</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lang w:val="en-US" w:eastAsia="zh-CN"/>
        </w:rPr>
        <w:t>OLED透明屏及配套设备</w:t>
      </w:r>
      <w:r>
        <w:rPr>
          <w:rFonts w:hint="eastAsia" w:ascii="宋体" w:hAnsi="宋体" w:eastAsia="宋体" w:cs="宋体"/>
          <w:sz w:val="24"/>
          <w:szCs w:val="24"/>
          <w:highlight w:val="none"/>
          <w:lang w:val="en-US" w:eastAsia="zh-CN"/>
        </w:rPr>
        <w:t>，位于实物展示台区域</w:t>
      </w:r>
      <w:r>
        <w:rPr>
          <w:rFonts w:hint="eastAsia" w:ascii="宋体" w:hAnsi="宋体" w:eastAsia="宋体" w:cs="宋体"/>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显示屏采用当前主流品牌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屏幕尺寸：50</w:t>
      </w:r>
      <w:r>
        <w:rPr>
          <w:rFonts w:hint="eastAsia" w:ascii="宋体" w:hAnsi="宋体" w:cs="宋体"/>
          <w:b w:val="0"/>
          <w:bCs w:val="0"/>
          <w:sz w:val="24"/>
          <w:szCs w:val="24"/>
          <w:highlight w:val="none"/>
          <w:lang w:val="en-US" w:eastAsia="zh-CN"/>
        </w:rPr>
        <w:t>英</w:t>
      </w:r>
      <w:r>
        <w:rPr>
          <w:rFonts w:hint="eastAsia" w:ascii="宋体" w:hAnsi="宋体" w:eastAsia="宋体" w:cs="宋体"/>
          <w:b w:val="0"/>
          <w:bCs w:val="0"/>
          <w:sz w:val="24"/>
          <w:szCs w:val="24"/>
          <w:highlight w:val="none"/>
          <w:lang w:val="en-US" w:eastAsia="zh-CN"/>
        </w:rPr>
        <w:t>寸显示屏</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面板类型：OLED面板技术</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动态对比度：100000:1</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屏幕比例: 16：9</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分辨率：1920*1080以上</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亮度：150-400cd/m²自主调节</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刷新率：120Hz</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寿命（典型）：30000小时</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播放格式：视频及图片常见格式</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接口类型: HDMI、USB、网线等</w:t>
      </w:r>
    </w:p>
    <w:p>
      <w:pPr>
        <w:pStyle w:val="2"/>
        <w:keepNext w:val="0"/>
        <w:keepLines w:val="0"/>
        <w:pageBreakBefore w:val="0"/>
        <w:widowControl w:val="0"/>
        <w:topLinePunct w:val="0"/>
        <w:bidi w:val="0"/>
        <w:adjustRightInd w:val="0"/>
        <w:spacing w:before="0" w:after="0" w:afterLines="0" w:line="36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drawing>
          <wp:inline distT="0" distB="0" distL="114300" distR="114300">
            <wp:extent cx="2879725" cy="2027555"/>
            <wp:effectExtent l="0" t="0" r="3175" b="4445"/>
            <wp:docPr id="5" name="图片 5" descr="C:\Users\admin\Desktop\WXWorkLocal_17116763641539.pngWXWorkLocal_1711676364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Desktop\WXWorkLocal_17116763641539.pngWXWorkLocal_17116763641539"/>
                    <pic:cNvPicPr>
                      <a:picLocks noChangeAspect="1"/>
                    </pic:cNvPicPr>
                  </pic:nvPicPr>
                  <pic:blipFill>
                    <a:blip r:embed="rId9"/>
                    <a:srcRect/>
                    <a:stretch>
                      <a:fillRect/>
                    </a:stretch>
                  </pic:blipFill>
                  <pic:spPr>
                    <a:xfrm>
                      <a:off x="0" y="0"/>
                      <a:ext cx="2879725" cy="2027555"/>
                    </a:xfrm>
                    <a:prstGeom prst="rect">
                      <a:avLst/>
                    </a:prstGeom>
                  </pic:spPr>
                </pic:pic>
              </a:graphicData>
            </a:graphic>
          </wp:inline>
        </w:drawing>
      </w:r>
    </w:p>
    <w:p>
      <w:pPr>
        <w:pStyle w:val="2"/>
        <w:keepNext w:val="0"/>
        <w:keepLines w:val="0"/>
        <w:pageBreakBefore w:val="0"/>
        <w:widowControl w:val="0"/>
        <w:kinsoku w:val="0"/>
        <w:wordWrap w:val="0"/>
        <w:overflowPunct w:val="0"/>
        <w:topLinePunct w:val="0"/>
        <w:autoSpaceDE w:val="0"/>
        <w:autoSpaceDN w:val="0"/>
        <w:bidi w:val="0"/>
        <w:adjustRightInd w:val="0"/>
        <w:snapToGrid/>
        <w:spacing w:before="0" w:after="157" w:afterLines="50" w:line="360" w:lineRule="auto"/>
        <w:ind w:left="0" w:leftChars="0" w:firstLine="0" w:firstLineChars="0"/>
        <w:jc w:val="center"/>
        <w:textAlignment w:val="auto"/>
        <w:rPr>
          <w:rFonts w:hint="eastAsia" w:ascii="宋体" w:hAnsi="宋体" w:eastAsia="宋体" w:cs="宋体"/>
          <w:b w:val="0"/>
          <w:bCs w:val="0"/>
          <w:sz w:val="24"/>
          <w:szCs w:val="24"/>
          <w:highlight w:val="none"/>
          <w:lang w:val="en-US" w:eastAsia="zh-CN"/>
        </w:rPr>
      </w:pPr>
      <w:r>
        <w:rPr>
          <w:rFonts w:hint="eastAsia"/>
          <w:highlight w:val="none"/>
          <w:lang w:val="en-US" w:eastAsia="zh-CN"/>
        </w:rPr>
        <w:t xml:space="preserve">图4 </w:t>
      </w:r>
      <w:r>
        <w:rPr>
          <w:rFonts w:hint="eastAsia" w:ascii="宋体" w:hAnsi="宋体" w:eastAsia="宋体" w:cs="宋体"/>
          <w:sz w:val="24"/>
          <w:szCs w:val="24"/>
          <w:highlight w:val="none"/>
          <w:lang w:val="en-US" w:eastAsia="zh-CN"/>
        </w:rPr>
        <w:t>实物展示台区域</w:t>
      </w:r>
      <w:r>
        <w:rPr>
          <w:rFonts w:hint="eastAsia"/>
          <w:highlight w:val="none"/>
          <w:lang w:val="en-US" w:eastAsia="zh-CN"/>
        </w:rPr>
        <w:t>初步设计图（</w:t>
      </w:r>
      <w:r>
        <w:rPr>
          <w:rFonts w:hint="eastAsia" w:ascii="宋体" w:hAnsi="宋体" w:eastAsia="宋体" w:cs="宋体"/>
          <w:sz w:val="24"/>
          <w:szCs w:val="24"/>
          <w:highlight w:val="none"/>
          <w:lang w:val="en-US" w:eastAsia="zh-CN"/>
        </w:rPr>
        <w:t>OLED透明屏+模型或实物</w:t>
      </w:r>
      <w:r>
        <w:rPr>
          <w:rFonts w:hint="eastAsia"/>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7.</w:t>
      </w:r>
      <w:r>
        <w:rPr>
          <w:rFonts w:hint="eastAsia" w:ascii="宋体" w:hAnsi="宋体" w:eastAsia="宋体" w:cs="宋体"/>
          <w:b/>
          <w:bCs/>
          <w:sz w:val="24"/>
          <w:szCs w:val="24"/>
          <w:highlight w:val="none"/>
          <w:lang w:val="en-US" w:eastAsia="zh-CN"/>
        </w:rPr>
        <w:t>LED柔性屏（异形屏，如飘带形</w:t>
      </w:r>
      <w:r>
        <w:rPr>
          <w:rFonts w:hint="eastAsia" w:ascii="宋体" w:hAnsi="宋体" w:cs="宋体"/>
          <w:b/>
          <w:bCs/>
          <w:sz w:val="24"/>
          <w:szCs w:val="24"/>
          <w:highlight w:val="none"/>
          <w:lang w:val="en-US" w:eastAsia="zh-CN"/>
        </w:rPr>
        <w:t>）</w:t>
      </w:r>
      <w:r>
        <w:rPr>
          <w:rFonts w:hint="eastAsia" w:ascii="宋体" w:hAnsi="宋体" w:eastAsia="宋体" w:cs="宋体"/>
          <w:b w:val="0"/>
          <w:bCs w:val="0"/>
          <w:sz w:val="24"/>
          <w:szCs w:val="24"/>
          <w:highlight w:val="none"/>
          <w:lang w:val="en-US" w:eastAsia="zh-CN"/>
        </w:rPr>
        <w:t>，位于</w:t>
      </w:r>
      <w:r>
        <w:rPr>
          <w:rFonts w:hint="eastAsia" w:ascii="宋体" w:hAnsi="宋体" w:cs="宋体"/>
          <w:b w:val="0"/>
          <w:bCs w:val="0"/>
          <w:sz w:val="24"/>
          <w:szCs w:val="24"/>
          <w:highlight w:val="none"/>
          <w:lang w:val="en-US" w:eastAsia="zh-CN"/>
        </w:rPr>
        <w:t>员工风采等区域：</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显示屏采用当前主流品牌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屏幕尺寸：面积约2*2㎡</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像素点间距：1.538mm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模组分辨率：208*104</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亮度≥1200cd/m²</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视角≥140°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lang w:val="en-US" w:eastAsia="zh-CN"/>
        </w:rPr>
        <w:t>.其它区域显示屏及配套设备</w:t>
      </w:r>
      <w:r>
        <w:rPr>
          <w:rFonts w:hint="eastAsia" w:ascii="宋体" w:hAnsi="宋体" w:eastAsia="宋体" w:cs="宋体"/>
          <w:sz w:val="24"/>
          <w:szCs w:val="24"/>
          <w:highlight w:val="none"/>
          <w:lang w:val="en-US" w:eastAsia="zh-CN"/>
        </w:rPr>
        <w:t>，位于“党建+基建”</w:t>
      </w:r>
      <w:r>
        <w:rPr>
          <w:rFonts w:hint="eastAsia" w:ascii="宋体" w:hAnsi="宋体" w:cs="宋体"/>
          <w:sz w:val="24"/>
          <w:szCs w:val="24"/>
          <w:highlight w:val="none"/>
          <w:lang w:val="en-US" w:eastAsia="zh-CN"/>
        </w:rPr>
        <w:t>等</w:t>
      </w:r>
      <w:r>
        <w:rPr>
          <w:rFonts w:hint="eastAsia" w:ascii="宋体" w:hAnsi="宋体" w:eastAsia="宋体" w:cs="宋体"/>
          <w:sz w:val="24"/>
          <w:szCs w:val="24"/>
          <w:highlight w:val="none"/>
          <w:lang w:val="en-US" w:eastAsia="zh-CN"/>
        </w:rPr>
        <w:t>区域</w:t>
      </w:r>
      <w:r>
        <w:rPr>
          <w:rFonts w:hint="eastAsia" w:ascii="宋体" w:hAnsi="宋体" w:eastAsia="宋体" w:cs="宋体"/>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显示屏采用当前主流品牌</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屏幕尺寸或数量：</w:t>
      </w:r>
      <w:r>
        <w:rPr>
          <w:rFonts w:hint="eastAsia" w:ascii="宋体" w:hAnsi="宋体" w:cs="宋体"/>
          <w:sz w:val="24"/>
          <w:szCs w:val="24"/>
          <w:highlight w:val="none"/>
          <w:lang w:val="en-US" w:eastAsia="zh-CN"/>
        </w:rPr>
        <w:t>60英</w:t>
      </w:r>
      <w:r>
        <w:rPr>
          <w:rFonts w:hint="eastAsia" w:ascii="宋体" w:hAnsi="宋体" w:eastAsia="宋体" w:cs="宋体"/>
          <w:sz w:val="24"/>
          <w:szCs w:val="24"/>
          <w:highlight w:val="none"/>
          <w:lang w:val="en-US" w:eastAsia="zh-CN"/>
        </w:rPr>
        <w:t>寸显示屏</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显示要求：4K高清</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屏幕比例: 16：9</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接口类型:  HDMI、USB、网线等</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lang w:val="en-US" w:eastAsia="zh-CN"/>
        </w:rPr>
        <w:t>.沙盘模型</w:t>
      </w:r>
      <w:r>
        <w:rPr>
          <w:rFonts w:hint="eastAsia" w:ascii="宋体" w:hAnsi="宋体" w:eastAsia="宋体" w:cs="宋体"/>
          <w:sz w:val="24"/>
          <w:szCs w:val="24"/>
          <w:highlight w:val="none"/>
          <w:lang w:val="en-US" w:eastAsia="zh-CN"/>
        </w:rPr>
        <w:t>，位于抽水蓄能作用及原理介绍区（E区）</w:t>
      </w:r>
      <w:r>
        <w:rPr>
          <w:rFonts w:hint="eastAsia" w:ascii="宋体" w:hAnsi="宋体" w:eastAsia="宋体" w:cs="宋体"/>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椭圆形或方形，不少于9㎡。</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沙盘模型体现抽水蓄能电站工作作用及原理示意；体现核电、风电、光伏、储能及用户等各个板块示意，具备声光展示等功能。</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根据需求深化设计沙盘具体展示内容及形式，经招标方认可后制作及安装。</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10</w:t>
      </w:r>
      <w:r>
        <w:rPr>
          <w:rFonts w:hint="eastAsia" w:ascii="宋体" w:hAnsi="宋体" w:eastAsia="宋体" w:cs="宋体"/>
          <w:b/>
          <w:bCs/>
          <w:sz w:val="24"/>
          <w:szCs w:val="24"/>
          <w:highlight w:val="none"/>
          <w:lang w:val="en-US" w:eastAsia="zh-CN"/>
        </w:rPr>
        <w:t>.音响设备</w:t>
      </w:r>
      <w:r>
        <w:rPr>
          <w:rFonts w:hint="eastAsia" w:ascii="宋体" w:hAnsi="宋体" w:eastAsia="宋体" w:cs="宋体"/>
          <w:b/>
          <w:bCs/>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应根据设计要求，配置足够数量的当前主流品牌音响和专业功放，数量均应不低于4个，并不低于以下要求：</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（1）音箱</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功率范围：1W-60W</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频率范围：130Hz-20kHz</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灵敏度：88dB(2.83V/1m)</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额定阻抗：80</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低音：一路封闭式有源超低音</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单元配置：专业10英寸超低音单元</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额定功率：150W</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频率范围：25Hz-200H(NORMAL)</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（2）通道专业功放</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功率输出：每声道140瓦(6Q，1kHz，THD10%，单声道驱动，JEITA)</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每声道130瓦(6Q，1kHz，THD1%，单声道驱动)</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每声道90瓦(6Q，1kHZ，THD07%，双声道驱动)</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每声道70瓦(8Q，20Hz-20kHz，THD008%，双声道驱动</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扬声器阻抗：4-16Ω</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前置放大器部分</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信噪比：98dB(IHF-A计权，DIRECT模式)</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调频(FM)部分调谐频率范围：87.5-108MHz</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调幅(AM)部分调谐频率范围：522kHz-1611kHz</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电源：AC 220V,50Hz</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功耗：330W(待机0.1W，CEC待机0.5W)</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无声功耗：30W(ECO开)，45W (ECO关)</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11</w:t>
      </w:r>
      <w:r>
        <w:rPr>
          <w:rFonts w:hint="eastAsia" w:ascii="宋体" w:hAnsi="宋体" w:eastAsia="宋体" w:cs="宋体"/>
          <w:b/>
          <w:bCs/>
          <w:sz w:val="24"/>
          <w:szCs w:val="24"/>
          <w:highlight w:val="none"/>
          <w:lang w:val="en-US" w:eastAsia="zh-CN"/>
        </w:rPr>
        <w:t>.中控系统设备</w:t>
      </w:r>
      <w:r>
        <w:rPr>
          <w:rFonts w:hint="eastAsia" w:ascii="宋体" w:hAnsi="宋体" w:eastAsia="宋体" w:cs="宋体"/>
          <w:b/>
          <w:bCs/>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包含控制主机、服务器、路由器、交换机、平板（至少2台）等设备。设备应采用主流产品、满足设计要求，并预留至少20%的拓展裕度。</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lang w:val="en-US" w:eastAsia="zh-CN"/>
        </w:rPr>
        <w:t>.可视化集控中控系统</w:t>
      </w:r>
      <w:r>
        <w:rPr>
          <w:rFonts w:hint="eastAsia" w:ascii="宋体" w:hAnsi="宋体" w:eastAsia="宋体" w:cs="宋体"/>
          <w:b/>
          <w:bCs/>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可以控制展厅的开关门、开关灯，所有设备开关机，不同场景下的灯光亮度调节、背景声音控制。可分组控制各模块与功能。可控制展示区演示电脑的开关机等。可以控制影片播放（暂停，重播，更换影片），音量控制。支持RS485通信协议及Modbus通信协议。</w:t>
      </w:r>
    </w:p>
    <w:p>
      <w:pPr>
        <w:pStyle w:val="2"/>
        <w:keepNext w:val="0"/>
        <w:keepLines w:val="0"/>
        <w:pageBreakBefore w:val="0"/>
        <w:widowControl w:val="0"/>
        <w:topLinePunct w:val="0"/>
        <w:bidi w:val="0"/>
        <w:adjustRightInd w:val="0"/>
        <w:spacing w:before="0" w:after="0" w:afterLines="0"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厅整体智能控制可应用于灯光、电动机、电脑开关机等准备的智能控制，至少应满足以下要求：其可接收总线通讯协议或接收1527、2262编码无线信号接收点动开关量输入信号，通过单片机处理输出对应继电器的控制命令，对继电器进行开/关，只开，只关等联动控制，其可多块进行串联扩充到256路；大功率电器模块支持控制额定功率10000W以下且最大功率30000W内的电器设备进行开关，负载最大电流不超过100A。</w:t>
      </w:r>
    </w:p>
    <w:p>
      <w:pPr>
        <w:pStyle w:val="2"/>
        <w:keepNext w:val="0"/>
        <w:keepLines w:val="0"/>
        <w:pageBreakBefore w:val="0"/>
        <w:widowControl w:val="0"/>
        <w:numPr>
          <w:ilvl w:val="0"/>
          <w:numId w:val="0"/>
        </w:numPr>
        <w:kinsoku w:val="0"/>
        <w:wordWrap w:val="0"/>
        <w:overflowPunct w:val="0"/>
        <w:topLinePunct w:val="0"/>
        <w:autoSpaceDE w:val="0"/>
        <w:autoSpaceDN w:val="0"/>
        <w:bidi w:val="0"/>
        <w:adjustRightInd w:val="0"/>
        <w:snapToGrid/>
        <w:spacing w:before="0" w:after="0" w:afterLines="0" w:line="360" w:lineRule="auto"/>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lang w:val="en-US" w:eastAsia="zh-CN"/>
        </w:rPr>
        <w:t>.运用软件</w:t>
      </w:r>
      <w:r>
        <w:rPr>
          <w:rFonts w:hint="eastAsia" w:ascii="宋体" w:hAnsi="宋体" w:eastAsia="宋体" w:cs="宋体"/>
          <w:b/>
          <w:bCs/>
          <w:color w:val="auto"/>
          <w:sz w:val="24"/>
          <w:szCs w:val="24"/>
          <w:highlight w:val="none"/>
          <w:lang w:val="en-US" w:eastAsia="zh-CN"/>
        </w:rPr>
        <w:t>：</w:t>
      </w:r>
    </w:p>
    <w:p>
      <w:pPr>
        <w:pStyle w:val="2"/>
        <w:keepNext w:val="0"/>
        <w:keepLines w:val="0"/>
        <w:pageBreakBefore w:val="0"/>
        <w:widowControl w:val="0"/>
        <w:topLinePunct w:val="0"/>
        <w:bidi w:val="0"/>
        <w:adjustRightInd w:val="0"/>
        <w:spacing w:before="0" w:after="0" w:afterLines="0" w:afterAutospacing="0"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针对展厅展示内容的开关及调节控制开发。</w:t>
      </w:r>
    </w:p>
    <w:p>
      <w:pPr>
        <w:pStyle w:val="2"/>
        <w:keepNext w:val="0"/>
        <w:keepLines w:val="0"/>
        <w:pageBreakBefore w:val="0"/>
        <w:widowControl w:val="0"/>
        <w:topLinePunct w:val="0"/>
        <w:bidi w:val="0"/>
        <w:adjustRightInd w:val="0"/>
        <w:spacing w:before="0" w:after="0" w:afterLines="0" w:afterAutospacing="0"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.演示厅应配置电源控制箱和电源控制器等设备，满足现场对电源的需求。</w:t>
      </w:r>
    </w:p>
    <w:p>
      <w:pPr>
        <w:keepNext w:val="0"/>
        <w:keepLines w:val="0"/>
        <w:pageBreakBefore w:val="0"/>
        <w:widowControl w:val="0"/>
        <w:topLinePunct w:val="0"/>
        <w:bidi w:val="0"/>
        <w:adjustRightInd w:val="0"/>
        <w:snapToGrid w:val="0"/>
        <w:spacing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.投标方应配置无线键鼠、显示器、网线、音响线</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接头、机柜等项目所需的配件。</w:t>
      </w:r>
    </w:p>
    <w:p>
      <w:pPr>
        <w:keepNext w:val="0"/>
        <w:keepLines w:val="0"/>
        <w:pageBreakBefore w:val="0"/>
        <w:widowControl w:val="0"/>
        <w:topLinePunct w:val="0"/>
        <w:bidi w:val="0"/>
        <w:adjustRightInd w:val="0"/>
        <w:snapToGrid w:val="0"/>
        <w:spacing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.展示厅应配置相应的功放设备、灯光设备、视频展示设备及相关配件，以满足现场需求。</w:t>
      </w:r>
    </w:p>
    <w:p>
      <w:pPr>
        <w:keepNext w:val="0"/>
        <w:keepLines w:val="0"/>
        <w:pageBreakBefore w:val="0"/>
        <w:widowControl w:val="0"/>
        <w:topLinePunct w:val="0"/>
        <w:bidi w:val="0"/>
        <w:adjustRightInd w:val="0"/>
        <w:snapToGrid w:val="0"/>
        <w:spacing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.投标人未在投标文件中明确的材料品牌和型号，应采用合格的、市面上主流品牌的材料并提供清单给招标人确认，若不满足要求的应进行更换，更换的材料不做价格调整。</w:t>
      </w:r>
    </w:p>
    <w:p>
      <w:pPr>
        <w:keepNext w:val="0"/>
        <w:keepLines w:val="0"/>
        <w:pageBreakBefore w:val="0"/>
        <w:widowControl w:val="0"/>
        <w:topLinePunct w:val="0"/>
        <w:bidi w:val="0"/>
        <w:adjustRightInd w:val="0"/>
        <w:snapToGrid w:val="0"/>
        <w:spacing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.投标人应负责所有设备及其配套设备的安装、调试，调试后应可满足合格、稳定运行条件。</w:t>
      </w:r>
    </w:p>
    <w:p>
      <w:pPr>
        <w:keepNext w:val="0"/>
        <w:keepLines w:val="0"/>
        <w:pageBreakBefore w:val="0"/>
        <w:widowControl w:val="0"/>
        <w:topLinePunct w:val="0"/>
        <w:bidi w:val="0"/>
        <w:adjustRightInd w:val="0"/>
        <w:snapToGrid w:val="0"/>
        <w:spacing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.项目所涉及的硬件和软件均应预留可拓展和可维护接口，并对招标方免费开放。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1"/>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（三</w:t>
      </w:r>
      <w:r>
        <w:rPr>
          <w:rFonts w:hint="eastAsia" w:ascii="宋体" w:hAnsi="宋体" w:eastAsia="宋体" w:cs="宋体"/>
          <w:b/>
          <w:color w:val="auto"/>
          <w:sz w:val="28"/>
          <w:szCs w:val="28"/>
          <w:highlight w:val="none"/>
          <w:lang w:val="en-US" w:eastAsia="zh-CN"/>
        </w:rPr>
        <w:t>）环境治理工作</w:t>
      </w:r>
      <w:r>
        <w:rPr>
          <w:rFonts w:hint="eastAsia" w:ascii="宋体" w:hAnsi="宋体" w:cs="宋体"/>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参照</w:t>
      </w:r>
      <w:r>
        <w:rPr>
          <w:rFonts w:hint="eastAsia" w:ascii="宋体" w:hAnsi="宋体" w:eastAsia="宋体" w:cs="宋体"/>
          <w:color w:val="auto"/>
          <w:sz w:val="24"/>
          <w:szCs w:val="24"/>
          <w:highlight w:val="none"/>
          <w:lang w:val="en-US" w:eastAsia="zh-CN"/>
        </w:rPr>
        <w:t>《民用建筑工程室内环境污染控制标准》（GB50325-2020）</w:t>
      </w:r>
      <w:r>
        <w:rPr>
          <w:rFonts w:hint="eastAsia" w:ascii="宋体" w:hAnsi="宋体" w:cs="宋体"/>
          <w:color w:val="auto"/>
          <w:sz w:val="24"/>
          <w:szCs w:val="24"/>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治理流程</w:t>
      </w:r>
      <w:r>
        <w:rPr>
          <w:rFonts w:hint="eastAsia" w:ascii="宋体" w:hAnsi="宋体" w:cs="宋体"/>
          <w:color w:val="auto"/>
          <w:sz w:val="24"/>
          <w:szCs w:val="24"/>
          <w:highlight w:val="none"/>
          <w:lang w:val="en-US" w:eastAsia="zh-CN"/>
        </w:rPr>
        <w:t>主要包括</w:t>
      </w:r>
      <w:r>
        <w:rPr>
          <w:rFonts w:hint="eastAsia" w:ascii="宋体" w:hAnsi="宋体" w:eastAsia="宋体" w:cs="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现场勘查：工作人员到达需要进行甲醛治理的现场，确定室内污染源和室内环境综合情况，以便制定详细的治理方案。</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提出建议：现场勘测师在勘测完现场后，对勘测情况进行讲解并对室内环整改提出建议。</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制定方案：针对现场勘测情况制定全面的甲醛治理方案，除甲醛更彻底。</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治前准备：按照治理方案，做好治理前的准备工作。</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部署施工：由专业甲醛治理工程队会根据制定的甲醛治理方案，对治理现场进行全面的除甲醛施工。</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清理现场：在甲醛治理后，对治理现场进行清理，收走治理垃圾。</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治后须知：甲醛治理后现场需要封闭12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24小时,然后再开窗通风3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7天。</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验收复检：甲醛治理完3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7天后，对治理现场进行抽样检测，</w:t>
      </w:r>
      <w:r>
        <w:rPr>
          <w:rFonts w:hint="eastAsia" w:ascii="宋体" w:hAnsi="宋体" w:cs="宋体"/>
          <w:color w:val="auto"/>
          <w:sz w:val="24"/>
          <w:szCs w:val="24"/>
          <w:highlight w:val="none"/>
          <w:lang w:val="en-US" w:eastAsia="zh-CN"/>
        </w:rPr>
        <w:t>确实</w:t>
      </w:r>
      <w:r>
        <w:rPr>
          <w:rFonts w:hint="eastAsia" w:ascii="宋体" w:hAnsi="宋体" w:eastAsia="宋体" w:cs="宋体"/>
          <w:color w:val="auto"/>
          <w:sz w:val="24"/>
          <w:szCs w:val="24"/>
          <w:highlight w:val="none"/>
          <w:lang w:val="en-US" w:eastAsia="zh-CN"/>
        </w:rPr>
        <w:t>是否达到《</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"http://lvshangjia2017.gotoip1.com/Newsview/24.html" \l "part_01" \t "http://www.lsj100.com/Newsview/_self"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国家室内空气质量标准</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w:t>
      </w:r>
      <w:r>
        <w:rPr>
          <w:rFonts w:hint="eastAsia" w:ascii="宋体" w:hAnsi="宋体" w:cs="宋体"/>
          <w:b/>
          <w:color w:val="auto"/>
          <w:sz w:val="28"/>
          <w:szCs w:val="28"/>
          <w:highlight w:val="none"/>
          <w:lang w:val="en-US" w:eastAsia="zh-CN"/>
        </w:rPr>
        <w:t>四</w:t>
      </w:r>
      <w:r>
        <w:rPr>
          <w:rFonts w:hint="eastAsia" w:ascii="宋体" w:hAnsi="宋体" w:eastAsia="宋体" w:cs="宋体"/>
          <w:b/>
          <w:color w:val="auto"/>
          <w:sz w:val="28"/>
          <w:szCs w:val="28"/>
          <w:highlight w:val="none"/>
          <w:lang w:eastAsia="zh-CN"/>
        </w:rPr>
        <w:t>）</w:t>
      </w:r>
      <w:r>
        <w:rPr>
          <w:rFonts w:hint="eastAsia" w:ascii="宋体" w:hAnsi="宋体" w:cs="宋体"/>
          <w:b/>
          <w:color w:val="auto"/>
          <w:sz w:val="28"/>
          <w:szCs w:val="28"/>
          <w:highlight w:val="none"/>
          <w:lang w:val="en-US" w:eastAsia="zh-CN"/>
        </w:rPr>
        <w:t>深化设计</w:t>
      </w:r>
      <w:r>
        <w:rPr>
          <w:rFonts w:hint="eastAsia" w:ascii="宋体" w:hAnsi="宋体" w:eastAsia="宋体" w:cs="宋体"/>
          <w:b/>
          <w:color w:val="auto"/>
          <w:sz w:val="28"/>
          <w:szCs w:val="28"/>
          <w:highlight w:val="none"/>
          <w:lang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1.深化设计包括对设计方案（如展厅各区域的连贯和细节确定、灯箱图文的排版、灯带等美观效果的提升、按照招标方最新思路和要求的调整等）及施工图进行深化。</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2.深化设计方案应满足招标方需求，贴合行业和企业实际，布置合理、层次分明、美观漂亮，有空间感、科技感、现代感。</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3.投标时，投标方应对展厅深化设计的思路进行说明，可以通过图文（类似PPT)或文字形式；对整套施工图的具体安排（如施工图张数及名称等）进行说明。</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highlight w:val="none"/>
          <w:lang w:val="en-US" w:eastAsia="zh-CN"/>
        </w:rPr>
      </w:pPr>
      <w:r>
        <w:rPr>
          <w:rFonts w:hint="eastAsia" w:ascii="宋体" w:hAnsi="宋体" w:cs="宋体"/>
          <w:color w:val="auto"/>
          <w:sz w:val="24"/>
          <w:szCs w:val="24"/>
          <w:highlight w:val="none"/>
          <w:lang w:val="en-US" w:eastAsia="zh-CN"/>
        </w:rPr>
        <w:t>4.展厅最终（深化）设计方案及施工图由中标单位在合同签订后编制，并对照施工。竣工图在工程完工后提供。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w:t>
      </w:r>
      <w:r>
        <w:rPr>
          <w:rFonts w:hint="eastAsia" w:ascii="宋体" w:hAnsi="宋体" w:cs="宋体"/>
          <w:b/>
          <w:color w:val="auto"/>
          <w:sz w:val="28"/>
          <w:szCs w:val="28"/>
          <w:highlight w:val="none"/>
          <w:lang w:val="en-US" w:eastAsia="zh-CN"/>
        </w:rPr>
        <w:t>五</w:t>
      </w:r>
      <w:r>
        <w:rPr>
          <w:rFonts w:hint="eastAsia" w:ascii="宋体" w:hAnsi="宋体" w:eastAsia="宋体" w:cs="宋体"/>
          <w:b/>
          <w:color w:val="auto"/>
          <w:sz w:val="28"/>
          <w:szCs w:val="28"/>
          <w:highlight w:val="none"/>
          <w:lang w:eastAsia="zh-CN"/>
        </w:rPr>
        <w:t>）其他技术要求</w:t>
      </w:r>
    </w:p>
    <w:p>
      <w:pPr>
        <w:pageBreakBefore w:val="0"/>
        <w:widowControl w:val="0"/>
        <w:topLinePunct w:val="0"/>
        <w:bidi w:val="0"/>
        <w:adjustRightInd w:val="0"/>
        <w:snapToGrid w:val="0"/>
        <w:spacing w:line="360" w:lineRule="auto"/>
        <w:ind w:firstLine="480" w:firstLineChars="20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1.本项目施工区域右侧紧邻其他施工项目，投标人在墙体、消防、暖通、电气等施工时应与相邻施工单位做好配合，如遇问题或困难应按照招标人沟通协调的结果执行。</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针对工程规模较大的分部工程，投标人应制定专门的施工方案，并提前报招标人审批。</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整个项目执行过程中，招标人对投标人项目负责人有更换权，如投标人项目负责人不配合招标人工作，招标人有权提出更换。投标人应在招标人提出更换后3个工作日内提交替换人员资料，经招标人认可后，在5个工作日内到岗工作。</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投标人现场项目负责人应制定相应的施工计划实施表，每日及时汇报工作内容。</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投标人不得出现违法分包、转包等情况，如出现以上情况的话，甲方有权利终止合同。</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未尽事宜，项目过程中由投标人、招标人双方本着“质量第一、安全可靠”的原则协商解决。</w:t>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材料、设备</w:t>
      </w:r>
      <w:r>
        <w:rPr>
          <w:rFonts w:hint="eastAsia" w:ascii="宋体" w:hAnsi="宋体" w:cs="宋体"/>
          <w:b/>
          <w:color w:val="auto"/>
          <w:sz w:val="32"/>
          <w:szCs w:val="32"/>
          <w:highlight w:val="none"/>
          <w:lang w:val="en-US" w:eastAsia="zh-CN"/>
        </w:rPr>
        <w:t>、</w:t>
      </w:r>
      <w:r>
        <w:rPr>
          <w:rFonts w:hint="eastAsia" w:ascii="宋体" w:hAnsi="宋体" w:eastAsia="宋体" w:cs="宋体"/>
          <w:b/>
          <w:color w:val="auto"/>
          <w:sz w:val="32"/>
          <w:szCs w:val="32"/>
          <w:highlight w:val="none"/>
          <w:lang w:val="en-US" w:eastAsia="zh-CN"/>
        </w:rPr>
        <w:t>备品配件</w:t>
      </w:r>
      <w:r>
        <w:rPr>
          <w:rFonts w:hint="eastAsia" w:ascii="宋体" w:hAnsi="宋体" w:cs="宋体"/>
          <w:b/>
          <w:color w:val="auto"/>
          <w:sz w:val="32"/>
          <w:szCs w:val="32"/>
          <w:highlight w:val="none"/>
          <w:lang w:val="en-US" w:eastAsia="zh-CN"/>
        </w:rPr>
        <w:t>及</w:t>
      </w:r>
      <w:r>
        <w:rPr>
          <w:rFonts w:hint="eastAsia" w:ascii="宋体" w:hAnsi="宋体" w:eastAsia="宋体" w:cs="宋体"/>
          <w:b/>
          <w:color w:val="auto"/>
          <w:sz w:val="32"/>
          <w:szCs w:val="32"/>
          <w:highlight w:val="none"/>
          <w:lang w:val="en-US" w:eastAsia="zh-CN"/>
        </w:rPr>
        <w:t>工器具要求</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投标方采购的原材料、半成品，建材产品的品种、规格、性能，配合比、标号或强度等级等，应按项目技术规范及采购清单所列相关要求等选用正规生产厂家的产品。除应符合施工规范外，还应符合现行国家、行业和有关产品材料标准的规定。</w:t>
      </w:r>
    </w:p>
    <w:p>
      <w:pPr>
        <w:pageBreakBefore w:val="0"/>
        <w:widowControl w:val="0"/>
        <w:topLinePunct w:val="0"/>
        <w:bidi w:val="0"/>
        <w:adjustRightInd w:val="0"/>
        <w:snapToGrid w:val="0"/>
        <w:spacing w:line="360" w:lineRule="auto"/>
        <w:ind w:firstLine="480" w:firstLineChars="200"/>
        <w:jc w:val="both"/>
        <w:textAlignment w:val="auto"/>
        <w:rPr>
          <w:rFonts w:hint="eastAsia"/>
          <w:highlight w:val="none"/>
          <w:lang w:val="en-US" w:eastAsia="zh-CN"/>
        </w:rPr>
      </w:pPr>
      <w:r>
        <w:rPr>
          <w:rFonts w:hint="eastAsia" w:ascii="宋体" w:hAnsi="宋体" w:cs="宋体"/>
          <w:color w:val="auto"/>
          <w:sz w:val="24"/>
          <w:szCs w:val="24"/>
          <w:highlight w:val="none"/>
          <w:lang w:val="en-US" w:eastAsia="zh-CN"/>
        </w:rPr>
        <w:t>2.投标方采购的材料、半成品、成品、建筑构配件、器具和设备应保证质量可靠。材料和备件必须有生产厂家的产品合格证或出厂检验报告，并和招标方共同验收合格后方可使用。</w:t>
      </w:r>
      <w:r>
        <w:rPr>
          <w:rFonts w:hint="eastAsia" w:ascii="宋体" w:hAnsi="宋体" w:eastAsia="宋体" w:cs="宋体"/>
          <w:color w:val="auto"/>
          <w:sz w:val="24"/>
          <w:szCs w:val="24"/>
          <w:highlight w:val="none"/>
          <w:lang w:val="en-US" w:eastAsia="zh-CN"/>
        </w:rPr>
        <w:t>所更换材料的出厂检验证明必须保存完好，维护工作结束后一并交招标方进行归档。</w:t>
      </w:r>
      <w:r>
        <w:rPr>
          <w:rFonts w:hint="eastAsia" w:ascii="宋体" w:hAnsi="宋体" w:cs="宋体"/>
          <w:color w:val="auto"/>
          <w:sz w:val="24"/>
          <w:szCs w:val="24"/>
          <w:highlight w:val="none"/>
          <w:lang w:val="en-US" w:eastAsia="zh-CN"/>
        </w:rPr>
        <w:t>不合格物料一律不得在工程项目中使用，否则所发生的质量问题均由投标方负责。</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工程所需工器具、防护设施、劳保用品（要求工作人员服装统一）等均由投标方提供；招标方负责对工器具进行检查验收，不合格工器具一律不得在工程项目中使用。</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投标方自备的工器具，必须含有以下所列的种类和性能级别，且不限于此：</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常用的工器具、检测仪器如手拉葫芦、电钻、维护照明灯、电焊机（含逆变及塑料电焊机）等；</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 现场临时制作的专用工器具；</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 配备的工器具应满足工程需求</w:t>
      </w:r>
      <w:r>
        <w:rPr>
          <w:rFonts w:hint="eastAsia" w:ascii="宋体" w:hAnsi="宋体" w:cs="宋体"/>
          <w:color w:val="auto"/>
          <w:sz w:val="24"/>
          <w:szCs w:val="24"/>
          <w:highlight w:val="none"/>
          <w:lang w:val="en-US" w:eastAsia="zh-CN"/>
        </w:rPr>
        <w:t>；</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投标方投标时提供计划用于</w:t>
      </w:r>
      <w:r>
        <w:rPr>
          <w:rFonts w:hint="eastAsia" w:ascii="宋体" w:hAnsi="宋体" w:cs="宋体"/>
          <w:color w:val="auto"/>
          <w:sz w:val="24"/>
          <w:szCs w:val="24"/>
          <w:highlight w:val="none"/>
          <w:lang w:val="en-US" w:eastAsia="zh-CN"/>
        </w:rPr>
        <w:t>本项目</w:t>
      </w:r>
      <w:r>
        <w:rPr>
          <w:rFonts w:hint="eastAsia" w:ascii="宋体" w:hAnsi="宋体" w:eastAsia="宋体" w:cs="宋体"/>
          <w:color w:val="auto"/>
          <w:sz w:val="24"/>
          <w:szCs w:val="24"/>
          <w:highlight w:val="none"/>
          <w:lang w:val="en-US" w:eastAsia="zh-CN"/>
        </w:rPr>
        <w:t>的机具、车辆（作业）、设备清单。</w:t>
      </w:r>
    </w:p>
    <w:p>
      <w:pPr>
        <w:pageBreakBefore w:val="0"/>
        <w:widowControl w:val="0"/>
        <w:topLinePunct w:val="0"/>
        <w:bidi w:val="0"/>
        <w:adjustRightInd w:val="0"/>
        <w:snapToGrid w:val="0"/>
        <w:spacing w:line="360" w:lineRule="auto"/>
        <w:ind w:firstLine="480" w:firstLineChars="200"/>
        <w:jc w:val="both"/>
        <w:textAlignment w:val="auto"/>
        <w:rPr>
          <w:rFonts w:hint="eastAsia"/>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项目所有</w:t>
      </w:r>
      <w:r>
        <w:rPr>
          <w:rFonts w:hint="eastAsia" w:ascii="宋体" w:hAnsi="宋体" w:cs="宋体"/>
          <w:color w:val="auto"/>
          <w:sz w:val="24"/>
          <w:szCs w:val="24"/>
          <w:highlight w:val="none"/>
          <w:lang w:val="en-US" w:eastAsia="zh-CN"/>
        </w:rPr>
        <w:t>材料、</w:t>
      </w:r>
      <w:r>
        <w:rPr>
          <w:rFonts w:hint="eastAsia" w:ascii="宋体" w:hAnsi="宋体" w:eastAsia="宋体" w:cs="宋体"/>
          <w:color w:val="auto"/>
          <w:sz w:val="24"/>
          <w:szCs w:val="24"/>
          <w:highlight w:val="none"/>
          <w:lang w:val="en-US" w:eastAsia="zh-CN"/>
        </w:rPr>
        <w:t>设备</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lang w:val="en-US" w:eastAsia="zh-CN"/>
        </w:rPr>
        <w:t>的运输、配送由投标方负责。</w:t>
      </w:r>
    </w:p>
    <w:p>
      <w:pPr>
        <w:pageBreakBefore w:val="0"/>
        <w:widowControl w:val="0"/>
        <w:topLinePunct w:val="0"/>
        <w:bidi w:val="0"/>
        <w:adjustRightInd w:val="0"/>
        <w:snapToGrid w:val="0"/>
        <w:spacing w:line="360" w:lineRule="auto"/>
        <w:ind w:firstLine="480" w:firstLineChars="200"/>
        <w:jc w:val="both"/>
        <w:textAlignment w:val="auto"/>
        <w:rPr>
          <w:rFonts w:hint="eastAsia"/>
          <w:highlight w:val="none"/>
          <w:lang w:val="en-US" w:eastAsia="zh-CN"/>
        </w:rPr>
      </w:pPr>
      <w:r>
        <w:rPr>
          <w:rFonts w:hint="eastAsia" w:ascii="宋体" w:hAnsi="宋体" w:cs="宋体"/>
          <w:color w:val="auto"/>
          <w:sz w:val="24"/>
          <w:szCs w:val="24"/>
          <w:highlight w:val="none"/>
          <w:lang w:val="en-US" w:eastAsia="zh-CN"/>
        </w:rPr>
        <w:t xml:space="preserve">6.为了使有关工程材料及设备质量得以保证，在对部分采购项目主要材料设备的质量、价格等进行了广泛了解的前提下，对部分材料设备品牌给出指导建议，投标方可采用该品牌，或采用不低于该质量级别的其他品牌；未给出参考品牌的材料质量必须符合国家行业相关标准，具备出厂验收证明和合格证，详见采购清单（报价明细表）。有关参考品牌列表目的是为了方便承包人直观和准确地把握相应材料和工程设备的技术标准，不具指定或唯一的意思表示。承包人应当参考所列品牌的材料，采购相当于或高于所列品牌术标准的材料及设备。 </w:t>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质量要求 </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本工程使用的材料、设备及施工必须符合国家、</w:t>
      </w:r>
      <w:r>
        <w:rPr>
          <w:rFonts w:hint="eastAsia" w:ascii="宋体" w:hAnsi="宋体" w:eastAsia="宋体" w:cs="宋体"/>
          <w:color w:val="auto"/>
          <w:sz w:val="24"/>
          <w:szCs w:val="24"/>
          <w:highlight w:val="none"/>
          <w:lang w:val="en-US" w:eastAsia="zh-CN"/>
        </w:rPr>
        <w:t>广东省、</w:t>
      </w:r>
      <w:r>
        <w:rPr>
          <w:rFonts w:hint="eastAsia" w:ascii="宋体" w:hAnsi="宋体" w:cs="宋体"/>
          <w:color w:val="auto"/>
          <w:sz w:val="24"/>
          <w:szCs w:val="24"/>
          <w:highlight w:val="none"/>
          <w:lang w:val="en-US" w:eastAsia="zh-CN"/>
        </w:rPr>
        <w:t>广州</w:t>
      </w:r>
      <w:r>
        <w:rPr>
          <w:rFonts w:hint="eastAsia" w:ascii="宋体" w:hAnsi="宋体" w:eastAsia="宋体" w:cs="宋体"/>
          <w:color w:val="auto"/>
          <w:sz w:val="24"/>
          <w:szCs w:val="24"/>
          <w:highlight w:val="none"/>
          <w:lang w:val="en-US" w:eastAsia="zh-CN"/>
        </w:rPr>
        <w:t>市、</w:t>
      </w:r>
      <w:r>
        <w:rPr>
          <w:rFonts w:hint="eastAsia" w:ascii="宋体" w:hAnsi="宋体" w:eastAsia="宋体" w:cs="宋体"/>
          <w:color w:val="auto"/>
          <w:sz w:val="24"/>
          <w:szCs w:val="24"/>
          <w:highlight w:val="none"/>
        </w:rPr>
        <w:t>行业</w:t>
      </w:r>
      <w:r>
        <w:rPr>
          <w:rFonts w:hint="eastAsia" w:ascii="宋体" w:hAnsi="宋体" w:eastAsia="宋体" w:cs="宋体"/>
          <w:color w:val="auto"/>
          <w:sz w:val="24"/>
          <w:szCs w:val="24"/>
          <w:highlight w:val="none"/>
          <w:lang w:val="en-US" w:eastAsia="zh-CN"/>
        </w:rPr>
        <w:t>及</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人发</w:t>
      </w:r>
      <w:r>
        <w:rPr>
          <w:rFonts w:hint="eastAsia" w:ascii="宋体" w:hAnsi="宋体" w:eastAsia="宋体" w:cs="宋体"/>
          <w:color w:val="auto"/>
          <w:sz w:val="24"/>
          <w:szCs w:val="24"/>
          <w:highlight w:val="none"/>
        </w:rPr>
        <w:t>布的有关标准、规范、规程和验收标准等的要求，同时必须满足设计要求。当国家、行业及地方标准、规范存在不一致时，以要求更严格者为准。</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每道工序必须检查上道工序的质量，并对下道工序负责，确保每道工序受控。</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加强技术管理，每个分项工程必须进行技术交底，并拿出每道工序的施工方案。</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建立材料报验制度，对所有用于本工程的材料及辅助材料等均要有完善的材质报告、说明书、合格证、试验报告、销售许可证等资料，</w:t>
      </w:r>
      <w:r>
        <w:rPr>
          <w:rFonts w:hint="eastAsia" w:ascii="宋体" w:hAnsi="宋体" w:eastAsia="宋体" w:cs="宋体"/>
          <w:color w:val="auto"/>
          <w:sz w:val="24"/>
          <w:szCs w:val="24"/>
          <w:highlight w:val="none"/>
          <w:lang w:val="en-US" w:eastAsia="zh-CN"/>
        </w:rPr>
        <w:t>进场前</w:t>
      </w:r>
      <w:r>
        <w:rPr>
          <w:rFonts w:hint="eastAsia" w:ascii="宋体" w:hAnsi="宋体" w:eastAsia="宋体" w:cs="宋体"/>
          <w:color w:val="auto"/>
          <w:sz w:val="24"/>
          <w:szCs w:val="24"/>
          <w:highlight w:val="none"/>
        </w:rPr>
        <w:t>必须经过复检和报批，征得</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同意</w:t>
      </w:r>
      <w:r>
        <w:rPr>
          <w:rFonts w:hint="eastAsia" w:ascii="宋体" w:hAnsi="宋体" w:eastAsia="宋体" w:cs="宋体"/>
          <w:color w:val="auto"/>
          <w:sz w:val="24"/>
          <w:szCs w:val="24"/>
          <w:highlight w:val="none"/>
          <w:lang w:val="en-US" w:eastAsia="zh-CN"/>
        </w:rPr>
        <w:t>后方可进场</w:t>
      </w:r>
      <w:r>
        <w:rPr>
          <w:rFonts w:hint="eastAsia" w:ascii="宋体" w:hAnsi="宋体" w:eastAsia="宋体" w:cs="宋体"/>
          <w:color w:val="auto"/>
          <w:sz w:val="24"/>
          <w:szCs w:val="24"/>
          <w:highlight w:val="none"/>
        </w:rPr>
        <w:t>。</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做好工程验收和隐蔽工程验收记录，隐蔽工程必须报</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工程师检查确认</w:t>
      </w:r>
      <w:r>
        <w:rPr>
          <w:rFonts w:hint="eastAsia" w:ascii="宋体" w:hAnsi="宋体" w:cs="宋体"/>
          <w:color w:val="auto"/>
          <w:sz w:val="24"/>
          <w:szCs w:val="24"/>
          <w:highlight w:val="none"/>
          <w:lang w:val="en-US" w:eastAsia="zh-CN"/>
        </w:rPr>
        <w:t>后方能隐蔽。</w:t>
      </w:r>
    </w:p>
    <w:p>
      <w:pPr>
        <w:pageBreakBefore w:val="0"/>
        <w:widowControl w:val="0"/>
        <w:topLinePunct w:val="0"/>
        <w:bidi w:val="0"/>
        <w:adjustRightInd w:val="0"/>
        <w:snapToGrid w:val="0"/>
        <w:spacing w:line="360" w:lineRule="auto"/>
        <w:ind w:firstLine="480" w:firstLineChars="200"/>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5.做好现场成品保护工作。</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6.建立工程施工例会制度，及时提出和消除质量隐患。</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7.建立特殊工种职工档案，严禁无证上岗。</w:t>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工程验收要求</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指派负责人对质量监督管理工作具体实施，保证在规定的日期完成工程,并验收合格，满足合同及相关规范、规定、招标规范要求。</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严格执行验收制度，确保维护质量。投标方作为施工项目的第一级验收人员，应严把质量关，禁止将有缺陷和问题的工程留给下一级验收人员验收。</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招标方按工程进度检查工程质量，如出现质量问题，无条件返工，因此而发生的一切费用由投标方承担。</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竣工图和竣工资料应完整移交（一式四份），产品合格证、保修证书等资料应完整移交，</w:t>
      </w:r>
      <w:r>
        <w:rPr>
          <w:rFonts w:hint="eastAsia" w:ascii="宋体" w:hAnsi="宋体" w:eastAsia="宋体" w:cs="宋体"/>
          <w:color w:val="auto"/>
          <w:sz w:val="24"/>
          <w:szCs w:val="24"/>
          <w:highlight w:val="none"/>
          <w:lang w:val="zh-CN" w:eastAsia="zh-CN"/>
        </w:rPr>
        <w:t>自竣工之日起</w:t>
      </w:r>
      <w:r>
        <w:rPr>
          <w:rFonts w:hint="eastAsia" w:ascii="宋体" w:hAnsi="宋体" w:eastAsia="宋体" w:cs="宋体"/>
          <w:color w:val="auto"/>
          <w:sz w:val="24"/>
          <w:szCs w:val="24"/>
          <w:highlight w:val="none"/>
          <w:lang w:val="en-US" w:eastAsia="zh-CN"/>
        </w:rPr>
        <w:t>7日内投标人申请对本工程进行验收，并</w:t>
      </w:r>
      <w:r>
        <w:rPr>
          <w:rFonts w:hint="eastAsia" w:ascii="宋体" w:hAnsi="宋体" w:eastAsia="宋体" w:cs="宋体"/>
          <w:color w:val="auto"/>
          <w:sz w:val="24"/>
          <w:szCs w:val="24"/>
          <w:highlight w:val="none"/>
          <w:lang w:val="zh-CN" w:eastAsia="zh-CN"/>
        </w:rPr>
        <w:t>提供完整的竣工资料</w:t>
      </w:r>
      <w:r>
        <w:rPr>
          <w:rFonts w:hint="eastAsia" w:ascii="宋体" w:hAnsi="宋体" w:eastAsia="宋体" w:cs="宋体"/>
          <w:color w:val="auto"/>
          <w:sz w:val="24"/>
          <w:szCs w:val="24"/>
          <w:highlight w:val="none"/>
          <w:lang w:val="en-US" w:eastAsia="zh-CN"/>
        </w:rPr>
        <w:t>给招标方存档。</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所有设备应安排调试完成，满足现场使用条件后，方可验收。</w:t>
      </w:r>
    </w:p>
    <w:p>
      <w:pPr>
        <w:pageBreakBefore w:val="0"/>
        <w:widowControl w:val="0"/>
        <w:numPr>
          <w:ilvl w:val="0"/>
          <w:numId w:val="2"/>
        </w:numPr>
        <w:topLinePunct w:val="0"/>
        <w:bidi w:val="0"/>
        <w:spacing w:line="360" w:lineRule="auto"/>
        <w:jc w:val="both"/>
        <w:textAlignment w:val="auto"/>
        <w:outlineLvl w:val="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保修期要求</w:t>
      </w:r>
    </w:p>
    <w:p>
      <w:pPr>
        <w:pageBreakBefore w:val="0"/>
        <w:widowControl w:val="0"/>
        <w:topLinePunct w:val="0"/>
        <w:bidi w:val="0"/>
        <w:adjustRightInd w:val="0"/>
        <w:snapToGrid w:val="0"/>
        <w:spacing w:line="360" w:lineRule="auto"/>
        <w:ind w:firstLine="480" w:firstLineChars="200"/>
        <w:jc w:val="both"/>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4"/>
          <w:szCs w:val="24"/>
          <w:highlight w:val="none"/>
          <w:lang w:val="en-US" w:eastAsia="zh-CN"/>
        </w:rPr>
        <w:t>所有工程保修期除有特殊书面说明外，保修期均为</w:t>
      </w:r>
      <w:r>
        <w:rPr>
          <w:rFonts w:hint="eastAsia" w:ascii="宋体" w:hAnsi="宋体" w:cs="宋体"/>
          <w:color w:val="auto"/>
          <w:sz w:val="24"/>
          <w:szCs w:val="24"/>
          <w:highlight w:val="none"/>
          <w:lang w:val="en-US" w:eastAsia="zh-CN"/>
        </w:rPr>
        <w:t>两</w:t>
      </w:r>
      <w:r>
        <w:rPr>
          <w:rFonts w:hint="eastAsia" w:ascii="宋体" w:hAnsi="宋体" w:eastAsia="宋体" w:cs="宋体"/>
          <w:color w:val="auto"/>
          <w:sz w:val="24"/>
          <w:szCs w:val="24"/>
          <w:highlight w:val="none"/>
          <w:lang w:val="en-US" w:eastAsia="zh-CN"/>
        </w:rPr>
        <w:t>年。工程保修期从工程竣工验收合格之日开始计算。规定的保修期内，出现工程质量问题，由施工单位承担保修，所需费用由责任方承担。</w:t>
      </w:r>
    </w:p>
    <w:bookmarkEnd w:id="11"/>
    <w:sectPr>
      <w:footerReference r:id="rId3" w:type="default"/>
      <w:pgSz w:w="11906" w:h="16838"/>
      <w:pgMar w:top="1440" w:right="1800" w:bottom="1440" w:left="180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光小标宋_CNKI">
    <w:panose1 w:val="02000500000000000000"/>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PAGE   \* MERGEFORMAT</w:instrText>
    </w:r>
    <w:r>
      <w:fldChar w:fldCharType="separate"/>
    </w:r>
    <w:r>
      <w:rPr>
        <w:lang w:val="zh-CN"/>
      </w:rPr>
      <w:t>9</w:t>
    </w:r>
    <w: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BD318"/>
    <w:multiLevelType w:val="multilevel"/>
    <w:tmpl w:val="AD5BD318"/>
    <w:lvl w:ilvl="0" w:tentative="0">
      <w:start w:val="1"/>
      <w:numFmt w:val="chineseCounting"/>
      <w:suff w:val="nothing"/>
      <w:lvlText w:val="（%1）"/>
      <w:lvlJc w:val="left"/>
      <w:pPr>
        <w:tabs>
          <w:tab w:val="left" w:pos="0"/>
        </w:tabs>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upp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D97CEDDE"/>
    <w:multiLevelType w:val="singleLevel"/>
    <w:tmpl w:val="D97CEDDE"/>
    <w:lvl w:ilvl="0" w:tentative="0">
      <w:start w:val="1"/>
      <w:numFmt w:val="chineseCounting"/>
      <w:suff w:val="nothing"/>
      <w:lvlText w:val="%1、"/>
      <w:lvlJc w:val="left"/>
      <w:rPr>
        <w:rFonts w:hint="eastAsia"/>
      </w:rPr>
    </w:lvl>
  </w:abstractNum>
  <w:abstractNum w:abstractNumId="2">
    <w:nsid w:val="57BD6B44"/>
    <w:multiLevelType w:val="multilevel"/>
    <w:tmpl w:val="57BD6B44"/>
    <w:lvl w:ilvl="0" w:tentative="0">
      <w:start w:val="1"/>
      <w:numFmt w:val="chineseCounting"/>
      <w:suff w:val="nothing"/>
      <w:lvlText w:val="（%1）"/>
      <w:lvlJc w:val="left"/>
      <w:pPr>
        <w:tabs>
          <w:tab w:val="left" w:pos="0"/>
        </w:tabs>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upp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
    <w:nsid w:val="5DD75BEA"/>
    <w:multiLevelType w:val="multilevel"/>
    <w:tmpl w:val="5DD75BEA"/>
    <w:lvl w:ilvl="0" w:tentative="0">
      <w:start w:val="1"/>
      <w:numFmt w:val="decimal"/>
      <w:pStyle w:val="4"/>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A4D"/>
    <w:rsid w:val="000342B7"/>
    <w:rsid w:val="0005746C"/>
    <w:rsid w:val="00065D96"/>
    <w:rsid w:val="000854BC"/>
    <w:rsid w:val="000B4ADF"/>
    <w:rsid w:val="000D26CA"/>
    <w:rsid w:val="000E632B"/>
    <w:rsid w:val="001050D8"/>
    <w:rsid w:val="0010690F"/>
    <w:rsid w:val="00141D7D"/>
    <w:rsid w:val="00144224"/>
    <w:rsid w:val="00147332"/>
    <w:rsid w:val="00154955"/>
    <w:rsid w:val="00177BF8"/>
    <w:rsid w:val="0018342C"/>
    <w:rsid w:val="00184B0B"/>
    <w:rsid w:val="00184D32"/>
    <w:rsid w:val="001A2D79"/>
    <w:rsid w:val="001A40CB"/>
    <w:rsid w:val="001D74D6"/>
    <w:rsid w:val="001E4830"/>
    <w:rsid w:val="00202552"/>
    <w:rsid w:val="00215A82"/>
    <w:rsid w:val="00270EC5"/>
    <w:rsid w:val="00277114"/>
    <w:rsid w:val="0029179C"/>
    <w:rsid w:val="002F6B18"/>
    <w:rsid w:val="00322830"/>
    <w:rsid w:val="00325959"/>
    <w:rsid w:val="00361744"/>
    <w:rsid w:val="00375B5B"/>
    <w:rsid w:val="003B722B"/>
    <w:rsid w:val="00492E05"/>
    <w:rsid w:val="004C6EF5"/>
    <w:rsid w:val="004D1B13"/>
    <w:rsid w:val="00526FFD"/>
    <w:rsid w:val="00531C89"/>
    <w:rsid w:val="00531ED1"/>
    <w:rsid w:val="00544B26"/>
    <w:rsid w:val="00567DF9"/>
    <w:rsid w:val="005714CD"/>
    <w:rsid w:val="00584D17"/>
    <w:rsid w:val="00594EBA"/>
    <w:rsid w:val="005A3D75"/>
    <w:rsid w:val="006278CC"/>
    <w:rsid w:val="006367BB"/>
    <w:rsid w:val="006642DB"/>
    <w:rsid w:val="006A2179"/>
    <w:rsid w:val="006A4AD5"/>
    <w:rsid w:val="006A7A4D"/>
    <w:rsid w:val="006C0965"/>
    <w:rsid w:val="00711949"/>
    <w:rsid w:val="007310DE"/>
    <w:rsid w:val="0078008A"/>
    <w:rsid w:val="00780395"/>
    <w:rsid w:val="007A2B6D"/>
    <w:rsid w:val="007B0CC9"/>
    <w:rsid w:val="007C3E3E"/>
    <w:rsid w:val="007C7D41"/>
    <w:rsid w:val="007E4620"/>
    <w:rsid w:val="007F4032"/>
    <w:rsid w:val="007F706F"/>
    <w:rsid w:val="00845B06"/>
    <w:rsid w:val="008C7771"/>
    <w:rsid w:val="008E69ED"/>
    <w:rsid w:val="00923C5D"/>
    <w:rsid w:val="00931AE0"/>
    <w:rsid w:val="00943777"/>
    <w:rsid w:val="00944339"/>
    <w:rsid w:val="009B5D1B"/>
    <w:rsid w:val="00A13E34"/>
    <w:rsid w:val="00A27A76"/>
    <w:rsid w:val="00A843BE"/>
    <w:rsid w:val="00AF0E3B"/>
    <w:rsid w:val="00B3760A"/>
    <w:rsid w:val="00B5408E"/>
    <w:rsid w:val="00B67130"/>
    <w:rsid w:val="00B73BD5"/>
    <w:rsid w:val="00B828AE"/>
    <w:rsid w:val="00BE0B0B"/>
    <w:rsid w:val="00C031CD"/>
    <w:rsid w:val="00C773DF"/>
    <w:rsid w:val="00C8181A"/>
    <w:rsid w:val="00C86D5B"/>
    <w:rsid w:val="00CC208F"/>
    <w:rsid w:val="00CE4E17"/>
    <w:rsid w:val="00D049AE"/>
    <w:rsid w:val="00D0655E"/>
    <w:rsid w:val="00D74BEA"/>
    <w:rsid w:val="00DB0FD4"/>
    <w:rsid w:val="00DD3715"/>
    <w:rsid w:val="00E331A5"/>
    <w:rsid w:val="00E337BE"/>
    <w:rsid w:val="00EE76D7"/>
    <w:rsid w:val="00EF4A6E"/>
    <w:rsid w:val="00F34FD2"/>
    <w:rsid w:val="00F90EAE"/>
    <w:rsid w:val="00FA6CDE"/>
    <w:rsid w:val="00FB018D"/>
    <w:rsid w:val="01BF6367"/>
    <w:rsid w:val="03246733"/>
    <w:rsid w:val="05E65055"/>
    <w:rsid w:val="06242F2F"/>
    <w:rsid w:val="07452AC9"/>
    <w:rsid w:val="075877BE"/>
    <w:rsid w:val="083E4840"/>
    <w:rsid w:val="08586F0C"/>
    <w:rsid w:val="0B2447EE"/>
    <w:rsid w:val="0BEC04A6"/>
    <w:rsid w:val="0CAA2C6E"/>
    <w:rsid w:val="0F7F4A3B"/>
    <w:rsid w:val="10013A51"/>
    <w:rsid w:val="11A55539"/>
    <w:rsid w:val="12746E83"/>
    <w:rsid w:val="139C3D67"/>
    <w:rsid w:val="140C72C6"/>
    <w:rsid w:val="146B2CC9"/>
    <w:rsid w:val="14945901"/>
    <w:rsid w:val="15FE3F1E"/>
    <w:rsid w:val="160E4469"/>
    <w:rsid w:val="165840B5"/>
    <w:rsid w:val="166C4B98"/>
    <w:rsid w:val="192D068C"/>
    <w:rsid w:val="19B86348"/>
    <w:rsid w:val="19D43D3A"/>
    <w:rsid w:val="1BEE7634"/>
    <w:rsid w:val="1C821F0B"/>
    <w:rsid w:val="1D8A707B"/>
    <w:rsid w:val="1D903419"/>
    <w:rsid w:val="1EA32104"/>
    <w:rsid w:val="204B0013"/>
    <w:rsid w:val="21590CC5"/>
    <w:rsid w:val="223F0006"/>
    <w:rsid w:val="22AE7F72"/>
    <w:rsid w:val="231015AC"/>
    <w:rsid w:val="23C75235"/>
    <w:rsid w:val="23EC0C7E"/>
    <w:rsid w:val="23F14FC8"/>
    <w:rsid w:val="244E150B"/>
    <w:rsid w:val="24BC0052"/>
    <w:rsid w:val="260F727C"/>
    <w:rsid w:val="26393F5D"/>
    <w:rsid w:val="277A276A"/>
    <w:rsid w:val="287918B0"/>
    <w:rsid w:val="29B353EB"/>
    <w:rsid w:val="29FE095B"/>
    <w:rsid w:val="2ABC0BBC"/>
    <w:rsid w:val="2B6317C4"/>
    <w:rsid w:val="2BBE3F6D"/>
    <w:rsid w:val="2C22232A"/>
    <w:rsid w:val="2CFA247E"/>
    <w:rsid w:val="2DE2343B"/>
    <w:rsid w:val="2DEA3C77"/>
    <w:rsid w:val="2E641A99"/>
    <w:rsid w:val="2F496BDB"/>
    <w:rsid w:val="2FB813BC"/>
    <w:rsid w:val="2FFD5044"/>
    <w:rsid w:val="31884176"/>
    <w:rsid w:val="31F35D6D"/>
    <w:rsid w:val="32100AB7"/>
    <w:rsid w:val="33360CF9"/>
    <w:rsid w:val="33462612"/>
    <w:rsid w:val="3422555A"/>
    <w:rsid w:val="34B140C7"/>
    <w:rsid w:val="35F532F1"/>
    <w:rsid w:val="36A31F10"/>
    <w:rsid w:val="38D67FFF"/>
    <w:rsid w:val="399D670C"/>
    <w:rsid w:val="3B564AAE"/>
    <w:rsid w:val="3B5919F3"/>
    <w:rsid w:val="3C5A22F6"/>
    <w:rsid w:val="3C8921B5"/>
    <w:rsid w:val="3CBE0C38"/>
    <w:rsid w:val="3D213318"/>
    <w:rsid w:val="3DCA4EFC"/>
    <w:rsid w:val="3E6E0290"/>
    <w:rsid w:val="3E97166B"/>
    <w:rsid w:val="3EC01BE3"/>
    <w:rsid w:val="3EDE7534"/>
    <w:rsid w:val="3F1B6E20"/>
    <w:rsid w:val="3F2450A6"/>
    <w:rsid w:val="3F5A1FF3"/>
    <w:rsid w:val="3F5E1A29"/>
    <w:rsid w:val="3FA6354E"/>
    <w:rsid w:val="3FC41E29"/>
    <w:rsid w:val="3FE97CF4"/>
    <w:rsid w:val="417333D6"/>
    <w:rsid w:val="41902AE4"/>
    <w:rsid w:val="42480885"/>
    <w:rsid w:val="428E3AE6"/>
    <w:rsid w:val="42924E67"/>
    <w:rsid w:val="431D27F7"/>
    <w:rsid w:val="44241459"/>
    <w:rsid w:val="4471159E"/>
    <w:rsid w:val="457A626A"/>
    <w:rsid w:val="45C9178A"/>
    <w:rsid w:val="46D7282E"/>
    <w:rsid w:val="470D7362"/>
    <w:rsid w:val="499E6C57"/>
    <w:rsid w:val="4C2C1484"/>
    <w:rsid w:val="4CBE67F4"/>
    <w:rsid w:val="4E497600"/>
    <w:rsid w:val="4EF16AA6"/>
    <w:rsid w:val="4F6A2E84"/>
    <w:rsid w:val="50333F70"/>
    <w:rsid w:val="50B8080C"/>
    <w:rsid w:val="50D11C6F"/>
    <w:rsid w:val="52153944"/>
    <w:rsid w:val="531C026A"/>
    <w:rsid w:val="534B7471"/>
    <w:rsid w:val="545A2D73"/>
    <w:rsid w:val="54C01C1C"/>
    <w:rsid w:val="551B73A1"/>
    <w:rsid w:val="55291E6B"/>
    <w:rsid w:val="5560183D"/>
    <w:rsid w:val="55E57A0C"/>
    <w:rsid w:val="55F65CBA"/>
    <w:rsid w:val="56CD2328"/>
    <w:rsid w:val="57D83FAF"/>
    <w:rsid w:val="588A5FD1"/>
    <w:rsid w:val="591528CC"/>
    <w:rsid w:val="59464E5C"/>
    <w:rsid w:val="59AC58B8"/>
    <w:rsid w:val="5A157CD6"/>
    <w:rsid w:val="5A446A81"/>
    <w:rsid w:val="5A7750A4"/>
    <w:rsid w:val="5B152C85"/>
    <w:rsid w:val="5D584E84"/>
    <w:rsid w:val="5D7C02BD"/>
    <w:rsid w:val="5F523471"/>
    <w:rsid w:val="61D3714D"/>
    <w:rsid w:val="64820538"/>
    <w:rsid w:val="64E92CF5"/>
    <w:rsid w:val="653F6571"/>
    <w:rsid w:val="654354C3"/>
    <w:rsid w:val="6596557C"/>
    <w:rsid w:val="661A4F78"/>
    <w:rsid w:val="670818F0"/>
    <w:rsid w:val="67221143"/>
    <w:rsid w:val="67390B45"/>
    <w:rsid w:val="679C70A9"/>
    <w:rsid w:val="67DC31A7"/>
    <w:rsid w:val="67E97AAD"/>
    <w:rsid w:val="67F614D9"/>
    <w:rsid w:val="6B8A6E20"/>
    <w:rsid w:val="6BB5675A"/>
    <w:rsid w:val="6C6E7A42"/>
    <w:rsid w:val="6D626F00"/>
    <w:rsid w:val="6F564089"/>
    <w:rsid w:val="6FC51AC5"/>
    <w:rsid w:val="6FC55797"/>
    <w:rsid w:val="70770E10"/>
    <w:rsid w:val="70C20B4D"/>
    <w:rsid w:val="710D0B53"/>
    <w:rsid w:val="733B5358"/>
    <w:rsid w:val="74512BAC"/>
    <w:rsid w:val="74820153"/>
    <w:rsid w:val="74D354F1"/>
    <w:rsid w:val="75365D8A"/>
    <w:rsid w:val="753F32E7"/>
    <w:rsid w:val="75D13EDB"/>
    <w:rsid w:val="75EF09CF"/>
    <w:rsid w:val="763B271D"/>
    <w:rsid w:val="77445BCC"/>
    <w:rsid w:val="777039B9"/>
    <w:rsid w:val="782150B8"/>
    <w:rsid w:val="7837112B"/>
    <w:rsid w:val="78927E4B"/>
    <w:rsid w:val="78B124F1"/>
    <w:rsid w:val="7A052997"/>
    <w:rsid w:val="7AB524AE"/>
    <w:rsid w:val="7AE074D8"/>
    <w:rsid w:val="7D4C1782"/>
    <w:rsid w:val="7EC37706"/>
    <w:rsid w:val="7EC73E60"/>
    <w:rsid w:val="7EF1695C"/>
    <w:rsid w:val="7F221EC6"/>
    <w:rsid w:val="7F68371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numPr>
        <w:ilvl w:val="0"/>
        <w:numId w:val="1"/>
      </w:numPr>
      <w:spacing w:before="340" w:after="330" w:line="578" w:lineRule="auto"/>
      <w:jc w:val="center"/>
      <w:outlineLvl w:val="0"/>
    </w:pPr>
    <w:rPr>
      <w:b/>
      <w:bCs/>
      <w:kern w:val="44"/>
      <w:sz w:val="44"/>
      <w:szCs w:val="44"/>
    </w:rPr>
  </w:style>
  <w:style w:type="paragraph" w:styleId="5">
    <w:name w:val="heading 2"/>
    <w:basedOn w:val="1"/>
    <w:next w:val="1"/>
    <w:link w:val="11"/>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0">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kinsoku w:val="0"/>
      <w:wordWrap w:val="0"/>
      <w:overflowPunct w:val="0"/>
      <w:autoSpaceDE w:val="0"/>
      <w:autoSpaceDN w:val="0"/>
      <w:adjustRightInd w:val="0"/>
      <w:spacing w:before="120" w:after="120" w:line="360" w:lineRule="auto"/>
      <w:ind w:firstLine="454"/>
      <w:jc w:val="left"/>
    </w:pPr>
    <w:rPr>
      <w:rFonts w:ascii="Times New Roman" w:hAnsi="Times New Roman" w:eastAsia="宋体" w:cs="Times New Roman"/>
      <w:sz w:val="24"/>
      <w:szCs w:val="21"/>
    </w:rPr>
  </w:style>
  <w:style w:type="paragraph" w:styleId="3">
    <w:name w:val="Body Text"/>
    <w:basedOn w:val="1"/>
    <w:qFormat/>
    <w:uiPriority w:val="0"/>
    <w:pPr>
      <w:spacing w:after="120" w:afterLines="0" w:afterAutospacing="0"/>
    </w:p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39"/>
    <w:rPr>
      <w:rFonts w:ascii="Calibri" w:hAnsi="Calibri" w:eastAsia="宋体" w:cs="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2 Char"/>
    <w:link w:val="5"/>
    <w:qFormat/>
    <w:uiPriority w:val="9"/>
    <w:rPr>
      <w:rFonts w:ascii="Cambria" w:hAnsi="Cambria"/>
      <w:b/>
      <w:bCs/>
      <w:kern w:val="2"/>
      <w:sz w:val="32"/>
      <w:szCs w:val="32"/>
    </w:rPr>
  </w:style>
  <w:style w:type="character" w:customStyle="1" w:styleId="12">
    <w:name w:val="页脚 Char"/>
    <w:link w:val="6"/>
    <w:qFormat/>
    <w:uiPriority w:val="99"/>
    <w:rPr>
      <w:kern w:val="2"/>
      <w:sz w:val="18"/>
      <w:szCs w:val="18"/>
    </w:rPr>
  </w:style>
  <w:style w:type="character" w:customStyle="1" w:styleId="13">
    <w:name w:val="页眉 Char"/>
    <w:link w:val="7"/>
    <w:qFormat/>
    <w:uiPriority w:val="99"/>
    <w:rPr>
      <w:kern w:val="2"/>
      <w:sz w:val="18"/>
      <w:szCs w:val="18"/>
    </w:rPr>
  </w:style>
  <w:style w:type="paragraph" w:customStyle="1" w:styleId="14">
    <w:name w:val="2 Char"/>
    <w:basedOn w:val="1"/>
    <w:qFormat/>
    <w:uiPriority w:val="0"/>
    <w:rPr>
      <w:rFonts w:ascii="Times New Roman" w:hAnsi="Times New Roman"/>
      <w:szCs w:val="20"/>
    </w:rPr>
  </w:style>
  <w:style w:type="paragraph" w:styleId="15">
    <w:name w:val="List Paragraph"/>
    <w:basedOn w:val="1"/>
    <w:qFormat/>
    <w:uiPriority w:val="34"/>
    <w:pPr>
      <w:ind w:firstLine="420" w:firstLineChars="200"/>
    </w:pPr>
    <w:rPr>
      <w:szCs w:val="20"/>
    </w:rPr>
  </w:style>
  <w:style w:type="paragraph" w:customStyle="1" w:styleId="16">
    <w:name w:val="样式 标准正文 + 宋体 小四"/>
    <w:basedOn w:val="1"/>
    <w:qFormat/>
    <w:uiPriority w:val="0"/>
    <w:pPr>
      <w:spacing w:line="360" w:lineRule="auto"/>
      <w:ind w:firstLine="200" w:firstLineChars="200"/>
    </w:pPr>
    <w:rPr>
      <w:sz w:val="24"/>
      <w:szCs w:val="20"/>
    </w:rPr>
  </w:style>
  <w:style w:type="paragraph" w:customStyle="1" w:styleId="1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10</Pages>
  <Words>627</Words>
  <Characters>3580</Characters>
  <Lines>29</Lines>
  <Paragraphs>8</Paragraphs>
  <TotalTime>9</TotalTime>
  <ScaleCrop>false</ScaleCrop>
  <LinksUpToDate>false</LinksUpToDate>
  <CharactersWithSpaces>4199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2018-06-11T15:11:00Z</dcterms:created>
  <dc:creator>dameng</dc:creator>
  <cp:lastModifiedBy>吕程</cp:lastModifiedBy>
  <cp:lastPrinted>2023-04-13T00:50:00Z</cp:lastPrinted>
  <dcterms:modified xsi:type="dcterms:W3CDTF">2024-03-29T02:54:47Z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AB3C71F5C0D24CD58CED4D6AAA35BC16</vt:lpwstr>
  </property>
</Properties>
</file>