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附件1：</w:t>
      </w:r>
    </w:p>
    <w:p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报价清单</w:t>
      </w:r>
    </w:p>
    <w:tbl>
      <w:tblPr>
        <w:tblStyle w:val="8"/>
        <w:tblW w:w="1340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9"/>
        <w:gridCol w:w="1710"/>
        <w:gridCol w:w="7125"/>
        <w:gridCol w:w="855"/>
        <w:gridCol w:w="780"/>
        <w:gridCol w:w="1335"/>
        <w:gridCol w:w="7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799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71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服务名称</w:t>
            </w:r>
          </w:p>
        </w:tc>
        <w:tc>
          <w:tcPr>
            <w:tcW w:w="712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服务主要内容</w:t>
            </w:r>
          </w:p>
        </w:tc>
        <w:tc>
          <w:tcPr>
            <w:tcW w:w="85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78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133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含税报价（元）</w:t>
            </w:r>
          </w:p>
        </w:tc>
        <w:tc>
          <w:tcPr>
            <w:tcW w:w="798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税率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  <w:jc w:val="center"/>
        </w:trPr>
        <w:tc>
          <w:tcPr>
            <w:tcW w:w="799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71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云南储能公司2024年关于马某生命权纠纷一审案件代理服务</w:t>
            </w:r>
          </w:p>
        </w:tc>
        <w:tc>
          <w:tcPr>
            <w:tcW w:w="712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研究诉讼方案，准备证据、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应诉方案、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答辩状等开庭准备相关手续和资料，参加一审开庭审理。</w:t>
            </w:r>
          </w:p>
        </w:tc>
        <w:tc>
          <w:tcPr>
            <w:tcW w:w="85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件</w:t>
            </w:r>
          </w:p>
        </w:tc>
        <w:tc>
          <w:tcPr>
            <w:tcW w:w="78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35" w:type="dxa"/>
            <w:vAlign w:val="center"/>
          </w:tcPr>
          <w:p>
            <w:pPr>
              <w:pStyle w:val="14"/>
              <w:bidi w:val="0"/>
              <w:ind w:left="0" w:leftChars="0" w:firstLine="0" w:firstLineChars="0"/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798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6%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3" w:hRule="atLeast"/>
          <w:jc w:val="center"/>
        </w:trPr>
        <w:tc>
          <w:tcPr>
            <w:tcW w:w="799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240" w:firstLineChars="1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71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云南储能公司2024年关于马某生命权纠纷二审案件代理服务</w:t>
            </w:r>
          </w:p>
        </w:tc>
        <w:tc>
          <w:tcPr>
            <w:tcW w:w="712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研究诉讼方案，准备证据、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应诉方案、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答辩状等开庭准备相关手续和资料，参加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二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审开庭审理。</w:t>
            </w:r>
          </w:p>
        </w:tc>
        <w:tc>
          <w:tcPr>
            <w:tcW w:w="85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件</w:t>
            </w:r>
          </w:p>
        </w:tc>
        <w:tc>
          <w:tcPr>
            <w:tcW w:w="78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3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98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6%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11269" w:type="dxa"/>
            <w:gridSpan w:val="5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合计</w:t>
            </w:r>
          </w:p>
        </w:tc>
        <w:tc>
          <w:tcPr>
            <w:tcW w:w="133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98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</w:tbl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highlight w:val="none"/>
          <w:vertAlign w:val="baseli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highlight w:val="none"/>
          <w:vertAlign w:val="baseline"/>
          <w:lang w:val="en-US" w:eastAsia="zh-CN"/>
        </w:rPr>
        <w:t>注：1.报价合计金额须与零星采购平台合计报价一致。2.服务完成后一次性支付服务费。如最终只发生一审代理服务，</w:t>
      </w:r>
      <w:r>
        <w:rPr>
          <w:rFonts w:hint="eastAsia" w:asciiTheme="minorEastAsia" w:hAnsiTheme="minorEastAsia" w:cstheme="minorEastAsia"/>
          <w:b w:val="0"/>
          <w:bCs w:val="0"/>
          <w:color w:val="auto"/>
          <w:sz w:val="24"/>
          <w:szCs w:val="24"/>
          <w:highlight w:val="none"/>
          <w:vertAlign w:val="baseline"/>
          <w:lang w:val="en-US" w:eastAsia="zh-CN"/>
        </w:rPr>
        <w:t>按照本报价清单对应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highlight w:val="none"/>
          <w:vertAlign w:val="baseline"/>
          <w:lang w:val="en-US" w:eastAsia="zh-CN"/>
        </w:rPr>
        <w:t>支付一审代理服务费；如一审、二审代理服务均发生，则支付</w:t>
      </w:r>
      <w:r>
        <w:rPr>
          <w:rFonts w:hint="eastAsia" w:asciiTheme="minorEastAsia" w:hAnsiTheme="minorEastAsia" w:cstheme="minorEastAsia"/>
          <w:b w:val="0"/>
          <w:bCs w:val="0"/>
          <w:color w:val="auto"/>
          <w:sz w:val="24"/>
          <w:szCs w:val="24"/>
          <w:highlight w:val="none"/>
          <w:vertAlign w:val="baseline"/>
          <w:lang w:val="en-US" w:eastAsia="zh-CN"/>
        </w:rPr>
        <w:t>本报价清单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highlight w:val="none"/>
          <w:vertAlign w:val="baseline"/>
          <w:lang w:val="en-US" w:eastAsia="zh-CN"/>
        </w:rPr>
        <w:t>合计总价。3.本报价清单与资格证明材料一并上传至零星采购平台证明材料页面。</w:t>
      </w:r>
    </w:p>
    <w:p>
      <w:pPr>
        <w:jc w:val="both"/>
        <w:rPr>
          <w:rFonts w:hint="default"/>
          <w:sz w:val="32"/>
          <w:szCs w:val="32"/>
          <w:lang w:val="en-US" w:eastAsia="zh-CN"/>
        </w:rPr>
      </w:pPr>
      <w:bookmarkStart w:id="0" w:name="_GoBack"/>
      <w:bookmarkEnd w:id="0"/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align>left</wp:align>
              </wp:positionH>
              <wp:positionV relativeFrom="page">
                <wp:posOffset>9570085</wp:posOffset>
              </wp:positionV>
              <wp:extent cx="826135" cy="231140"/>
              <wp:effectExtent l="0" t="0" r="0" b="0"/>
              <wp:wrapNone/>
              <wp:docPr id="1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26135" cy="231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210" w:leftChars="100"/>
                            <w:textAlignment w:val="top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  <w:rFonts w:ascii="宋体" w:hAnsi="宋体" w:eastAsia="宋体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2" o:spid="_x0000_s1026" o:spt="202" type="#_x0000_t202" style="position:absolute;left:0pt;margin-top:753.55pt;height:18.2pt;width:65.05pt;mso-position-horizontal:left;mso-position-vertical-relative:page;mso-wrap-style:none;z-index:251659264;mso-width-relative:page;mso-height-relative:page;" filled="f" stroked="f" coordsize="21600,21600" o:allowincell="f" o:gfxdata="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pc1AYNUAAAAKAQAADwAAAAAAAAABACAAAAAiAAAAZHJz&#10;L2Rvd25yZXYueG1sUEsBAhQAFAAAAAgAh07iQEraZCXOAQAAmAMAAA4AAAAAAAAAAQAgAAAAJAEA&#10;AGRycy9lMm9Eb2MueG1sUEsFBgAAAAAGAAYAWQEAAGQ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ind w:left="210" w:leftChars="100"/>
                      <w:textAlignment w:val="top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hint="eastAsia" w:ascii="宋体" w:hAnsi="宋体" w:eastAsia="宋体"/>
                        <w:sz w:val="28"/>
                      </w:rPr>
                      <w:t xml:space="preserve">—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Style w:val="10"/>
                        <w:rFonts w:ascii="宋体" w:hAnsi="宋体" w:eastAsia="宋体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Style w:val="10"/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rPr>
        <w:szCs w:val="21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bordersDoNotSurroundHeader w:val="0"/>
  <w:bordersDoNotSurroundFooter w:val="0"/>
  <w:documentProtection w:enforcement="0"/>
  <w:defaultTabStop w:val="42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CDE"/>
    <w:rsid w:val="00344B8B"/>
    <w:rsid w:val="003738E8"/>
    <w:rsid w:val="00823AD5"/>
    <w:rsid w:val="00894C76"/>
    <w:rsid w:val="00996852"/>
    <w:rsid w:val="00B97CDE"/>
    <w:rsid w:val="00D86690"/>
    <w:rsid w:val="00D9055A"/>
    <w:rsid w:val="00E03CE3"/>
    <w:rsid w:val="00E2005B"/>
    <w:rsid w:val="00E23C8B"/>
    <w:rsid w:val="00EA573E"/>
    <w:rsid w:val="050E3B36"/>
    <w:rsid w:val="0C4C528E"/>
    <w:rsid w:val="124624FA"/>
    <w:rsid w:val="18041188"/>
    <w:rsid w:val="1820565D"/>
    <w:rsid w:val="1FF95250"/>
    <w:rsid w:val="30EA01BB"/>
    <w:rsid w:val="35094799"/>
    <w:rsid w:val="3F5807F1"/>
    <w:rsid w:val="405400D4"/>
    <w:rsid w:val="45445C70"/>
    <w:rsid w:val="4B743FED"/>
    <w:rsid w:val="4D0F7727"/>
    <w:rsid w:val="503364D3"/>
    <w:rsid w:val="552B771C"/>
    <w:rsid w:val="59837320"/>
    <w:rsid w:val="60214759"/>
    <w:rsid w:val="68246C0D"/>
    <w:rsid w:val="BDED2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（缩进）"/>
    <w:basedOn w:val="1"/>
    <w:qFormat/>
    <w:uiPriority w:val="0"/>
    <w:pPr>
      <w:spacing w:before="156" w:after="156"/>
      <w:ind w:firstLine="480" w:firstLineChars="200"/>
    </w:pPr>
  </w:style>
  <w:style w:type="paragraph" w:styleId="3">
    <w:name w:val="Normal Indent"/>
    <w:basedOn w:val="1"/>
    <w:qFormat/>
    <w:uiPriority w:val="0"/>
    <w:pPr>
      <w:adjustRightInd w:val="0"/>
      <w:spacing w:line="560" w:lineRule="exact"/>
      <w:ind w:firstLine="624"/>
      <w:jc w:val="left"/>
      <w:textAlignment w:val="baseline"/>
    </w:pPr>
    <w:rPr>
      <w:rFonts w:ascii="Times New Roman" w:hAnsi="Times New Roman" w:eastAsia="仿宋_GB2312" w:cs="Times New Roman"/>
      <w:kern w:val="0"/>
      <w:sz w:val="32"/>
      <w:szCs w:val="20"/>
    </w:r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paragraph" w:styleId="5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adjustRightInd w:val="0"/>
      <w:spacing w:line="240" w:lineRule="atLeas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paragraph" w:styleId="6">
    <w:name w:val="Normal (Web)"/>
    <w:basedOn w:val="1"/>
    <w:unhideWhenUsed/>
    <w:qFormat/>
    <w:uiPriority w:val="99"/>
    <w:pPr>
      <w:keepNext w:val="0"/>
      <w:keepLines w:val="0"/>
      <w:widowControl/>
      <w:suppressLineNumbers w:val="0"/>
      <w:spacing w:before="100" w:beforeAutospacing="1" w:after="100" w:afterAutospacing="1"/>
      <w:ind w:left="0" w:right="0"/>
      <w:jc w:val="left"/>
    </w:pPr>
    <w:rPr>
      <w:rFonts w:hint="eastAsia" w:ascii="宋体" w:hAnsi="宋体" w:eastAsia="宋体" w:cs="宋体"/>
      <w:color w:val="000000"/>
      <w:kern w:val="0"/>
      <w:sz w:val="24"/>
      <w:szCs w:val="24"/>
      <w:lang w:val="en-US" w:eastAsia="zh-CN" w:bidi="ar"/>
    </w:rPr>
  </w:style>
  <w:style w:type="table" w:styleId="8">
    <w:name w:val="Table Grid"/>
    <w:basedOn w:val="7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  <w:style w:type="character" w:customStyle="1" w:styleId="11">
    <w:name w:val="页眉 Char"/>
    <w:basedOn w:val="9"/>
    <w:link w:val="5"/>
    <w:qFormat/>
    <w:uiPriority w:val="0"/>
    <w:rPr>
      <w:rFonts w:ascii="Times New Roman" w:hAnsi="Times New Roman" w:eastAsia="仿宋_GB2312" w:cs="Times New Roman"/>
      <w:kern w:val="0"/>
      <w:sz w:val="18"/>
      <w:szCs w:val="20"/>
    </w:rPr>
  </w:style>
  <w:style w:type="character" w:customStyle="1" w:styleId="12">
    <w:name w:val="页脚 Char"/>
    <w:basedOn w:val="9"/>
    <w:link w:val="4"/>
    <w:qFormat/>
    <w:uiPriority w:val="0"/>
    <w:rPr>
      <w:rFonts w:ascii="Times New Roman" w:hAnsi="Times New Roman" w:eastAsia="仿宋_GB2312" w:cs="Times New Roman"/>
      <w:kern w:val="0"/>
      <w:sz w:val="18"/>
      <w:szCs w:val="20"/>
    </w:rPr>
  </w:style>
  <w:style w:type="paragraph" w:customStyle="1" w:styleId="13">
    <w:name w:val="版记-其他左对齐"/>
    <w:qFormat/>
    <w:uiPriority w:val="0"/>
    <w:pPr>
      <w:widowControl w:val="0"/>
      <w:suppressAutoHyphens/>
      <w:snapToGrid w:val="0"/>
      <w:spacing w:line="560" w:lineRule="exact"/>
      <w:ind w:left="-35" w:leftChars="-35" w:right="-35" w:rightChars="-35"/>
    </w:pPr>
    <w:rPr>
      <w:rFonts w:ascii="仿宋_GB2312" w:hAnsi="Times New Roman" w:eastAsia="仿宋_GB2312" w:cs="宋体"/>
      <w:kern w:val="0"/>
      <w:sz w:val="32"/>
      <w:szCs w:val="20"/>
      <w:lang w:val="en-US" w:eastAsia="zh-CN" w:bidi="ar-SA"/>
    </w:rPr>
  </w:style>
  <w:style w:type="paragraph" w:customStyle="1" w:styleId="14">
    <w:name w:val="样式 首行缩进 + 宋体 行距: 1.5 倍行距"/>
    <w:basedOn w:val="1"/>
    <w:qFormat/>
    <w:uiPriority w:val="0"/>
    <w:pPr>
      <w:spacing w:line="360" w:lineRule="auto"/>
      <w:ind w:firstLine="420" w:firstLineChars="200"/>
    </w:pPr>
    <w:rPr>
      <w:rFonts w:ascii="宋体" w:hAnsi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1</Pages>
  <Words>21</Words>
  <Characters>120</Characters>
  <Lines>1</Lines>
  <Paragraphs>1</Paragraphs>
  <TotalTime>1</TotalTime>
  <ScaleCrop>false</ScaleCrop>
  <LinksUpToDate>false</LinksUpToDate>
  <CharactersWithSpaces>140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2018-05-30T15:26:00Z</dcterms:created>
  <dc:creator>罗曦</dc:creator>
  <cp:lastModifiedBy>桂燕妮</cp:lastModifiedBy>
  <dcterms:modified xsi:type="dcterms:W3CDTF">2024-05-24T06:38:29Z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BD9619BF8E3E4FBFB505A51950A19274</vt:lpwstr>
  </property>
</Properties>
</file>