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仿宋" w:hAnsi="仿宋" w:eastAsia="仿宋" w:cs="仿宋"/>
          <w:sz w:val="44"/>
          <w:szCs w:val="44"/>
        </w:rPr>
      </w:pPr>
      <w:r>
        <w:rPr>
          <w:rFonts w:hint="eastAsia" w:ascii="仿宋" w:hAnsi="仿宋" w:eastAsia="仿宋" w:cs="仿宋"/>
          <w:sz w:val="44"/>
          <w:szCs w:val="44"/>
        </w:rPr>
        <w:t>技术规范书</w:t>
      </w:r>
    </w:p>
    <w:p>
      <w:pPr>
        <w:numPr>
          <w:ilvl w:val="0"/>
          <w:numId w:val="1"/>
        </w:numPr>
        <w:spacing w:line="360" w:lineRule="auto"/>
        <w:rPr>
          <w:rFonts w:ascii="黑体" w:hAnsi="黑体" w:eastAsia="黑体" w:cs="黑体"/>
          <w:b/>
          <w:bCs/>
          <w:sz w:val="32"/>
          <w:szCs w:val="32"/>
        </w:rPr>
      </w:pPr>
      <w:r>
        <w:rPr>
          <w:rFonts w:hint="eastAsia" w:ascii="黑体" w:hAnsi="黑体" w:eastAsia="黑体" w:cs="黑体"/>
          <w:b/>
          <w:bCs/>
          <w:sz w:val="32"/>
          <w:szCs w:val="32"/>
        </w:rPr>
        <w:t>项目概要</w:t>
      </w:r>
    </w:p>
    <w:p>
      <w:pPr>
        <w:spacing w:line="360" w:lineRule="auto"/>
        <w:ind w:firstLine="640" w:firstLineChars="200"/>
        <w:rPr>
          <w:rFonts w:ascii="仿宋" w:hAnsi="仿宋" w:eastAsia="仿宋" w:cs="仿宋"/>
          <w:color w:val="FF0000"/>
          <w:kern w:val="0"/>
          <w:sz w:val="32"/>
          <w:szCs w:val="32"/>
          <w:lang w:bidi="ar"/>
        </w:rPr>
      </w:pPr>
      <w:r>
        <w:rPr>
          <w:rFonts w:hint="eastAsia" w:ascii="仿宋" w:hAnsi="仿宋" w:eastAsia="仿宋" w:cs="仿宋"/>
          <w:kern w:val="0"/>
          <w:sz w:val="32"/>
          <w:szCs w:val="32"/>
          <w:lang w:bidi="ar"/>
        </w:rPr>
        <w:t>随着无人机在电力行业的广泛应用，无人机电池存放、补能等管理问题比较突出。</w:t>
      </w:r>
      <w:r>
        <w:rPr>
          <w:rFonts w:hint="eastAsia" w:ascii="仿宋" w:hAnsi="仿宋" w:eastAsia="仿宋" w:cs="仿宋"/>
          <w:color w:val="000000" w:themeColor="text1"/>
          <w:sz w:val="32"/>
          <w:szCs w:val="32"/>
          <w14:textFill>
            <w14:solidFill>
              <w14:schemeClr w14:val="tx1"/>
            </w14:solidFill>
          </w14:textFill>
        </w:rPr>
        <w:t>电能补给模块柜</w:t>
      </w:r>
      <w:r>
        <w:rPr>
          <w:rFonts w:hint="eastAsia" w:ascii="仿宋" w:hAnsi="仿宋" w:eastAsia="仿宋" w:cs="仿宋"/>
          <w:kern w:val="0"/>
          <w:sz w:val="32"/>
          <w:szCs w:val="32"/>
          <w:lang w:bidi="ar"/>
        </w:rPr>
        <w:t>的试制能有效提升无人机电池的安全存放、高效补能和规范管理。</w:t>
      </w:r>
    </w:p>
    <w:p>
      <w:pPr>
        <w:numPr>
          <w:ilvl w:val="0"/>
          <w:numId w:val="1"/>
        </w:numPr>
        <w:spacing w:line="360" w:lineRule="auto"/>
        <w:rPr>
          <w:rFonts w:ascii="黑体" w:hAnsi="黑体" w:eastAsia="黑体" w:cs="黑体"/>
          <w:b/>
          <w:bCs/>
          <w:color w:val="000000" w:themeColor="text1"/>
          <w:sz w:val="32"/>
          <w:szCs w:val="32"/>
          <w14:textFill>
            <w14:solidFill>
              <w14:schemeClr w14:val="tx1"/>
            </w14:solidFill>
          </w14:textFill>
        </w:rPr>
      </w:pPr>
      <w:r>
        <w:rPr>
          <w:rFonts w:hint="eastAsia" w:ascii="黑体" w:hAnsi="黑体" w:eastAsia="黑体" w:cs="黑体"/>
          <w:b/>
          <w:bCs/>
          <w:color w:val="000000" w:themeColor="text1"/>
          <w:sz w:val="32"/>
          <w:szCs w:val="32"/>
          <w14:textFill>
            <w14:solidFill>
              <w14:schemeClr w14:val="tx1"/>
            </w14:solidFill>
          </w14:textFill>
        </w:rPr>
        <w:t>项目内容</w:t>
      </w:r>
    </w:p>
    <w:tbl>
      <w:tblPr>
        <w:tblStyle w:val="11"/>
        <w:tblpPr w:leftFromText="180" w:rightFromText="180" w:vertAnchor="text" w:horzAnchor="page" w:tblpX="2090" w:tblpY="203"/>
        <w:tblOverlap w:val="never"/>
        <w:tblW w:w="4768" w:type="pct"/>
        <w:tblInd w:w="0" w:type="dxa"/>
        <w:tblLayout w:type="fixed"/>
        <w:tblCellMar>
          <w:top w:w="0" w:type="dxa"/>
          <w:left w:w="108" w:type="dxa"/>
          <w:bottom w:w="0" w:type="dxa"/>
          <w:right w:w="108" w:type="dxa"/>
        </w:tblCellMar>
      </w:tblPr>
      <w:tblGrid>
        <w:gridCol w:w="904"/>
        <w:gridCol w:w="2674"/>
        <w:gridCol w:w="2058"/>
        <w:gridCol w:w="1608"/>
        <w:gridCol w:w="883"/>
      </w:tblGrid>
      <w:tr>
        <w:tblPrEx>
          <w:tblCellMar>
            <w:top w:w="0" w:type="dxa"/>
            <w:left w:w="108" w:type="dxa"/>
            <w:bottom w:w="0" w:type="dxa"/>
            <w:right w:w="108" w:type="dxa"/>
          </w:tblCellMar>
        </w:tblPrEx>
        <w:trPr>
          <w:trHeight w:val="270" w:hRule="atLeast"/>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kern w:val="0"/>
                <w:sz w:val="32"/>
                <w:szCs w:val="32"/>
                <w:lang w:bidi="ar"/>
                <w14:textFill>
                  <w14:solidFill>
                    <w14:schemeClr w14:val="tx1"/>
                  </w14:solidFill>
                </w14:textFill>
              </w:rPr>
              <w:t>序号</w:t>
            </w:r>
          </w:p>
        </w:tc>
        <w:tc>
          <w:tcPr>
            <w:tcW w:w="16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kern w:val="0"/>
                <w:sz w:val="32"/>
                <w:szCs w:val="32"/>
                <w:lang w:bidi="ar"/>
                <w14:textFill>
                  <w14:solidFill>
                    <w14:schemeClr w14:val="tx1"/>
                  </w14:solidFill>
                </w14:textFill>
              </w:rPr>
              <w:t>名称</w:t>
            </w:r>
          </w:p>
        </w:tc>
        <w:tc>
          <w:tcPr>
            <w:tcW w:w="126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kern w:val="0"/>
                <w:sz w:val="32"/>
                <w:szCs w:val="32"/>
                <w:lang w:bidi="ar"/>
                <w14:textFill>
                  <w14:solidFill>
                    <w14:schemeClr w14:val="tx1"/>
                  </w14:solidFill>
                </w14:textFill>
              </w:rPr>
              <w:t>品牌</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themeColor="text1"/>
                <w:kern w:val="0"/>
                <w:sz w:val="32"/>
                <w:szCs w:val="32"/>
                <w:lang w:bidi="ar"/>
                <w14:textFill>
                  <w14:solidFill>
                    <w14:schemeClr w14:val="tx1"/>
                  </w14:solidFill>
                </w14:textFill>
              </w:rPr>
            </w:pPr>
            <w:r>
              <w:rPr>
                <w:rFonts w:hint="eastAsia" w:ascii="仿宋" w:hAnsi="仿宋" w:eastAsia="仿宋" w:cs="仿宋"/>
                <w:b/>
                <w:bCs/>
                <w:color w:val="000000" w:themeColor="text1"/>
                <w:kern w:val="0"/>
                <w:sz w:val="32"/>
                <w:szCs w:val="32"/>
                <w:lang w:bidi="ar"/>
                <w14:textFill>
                  <w14:solidFill>
                    <w14:schemeClr w14:val="tx1"/>
                  </w14:solidFill>
                </w14:textFill>
              </w:rPr>
              <w:t>数量</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themeColor="text1"/>
                <w:kern w:val="0"/>
                <w:sz w:val="32"/>
                <w:szCs w:val="32"/>
                <w:lang w:bidi="ar"/>
                <w14:textFill>
                  <w14:solidFill>
                    <w14:schemeClr w14:val="tx1"/>
                  </w14:solidFill>
                </w14:textFill>
              </w:rPr>
            </w:pPr>
            <w:r>
              <w:rPr>
                <w:rFonts w:hint="eastAsia" w:ascii="仿宋" w:hAnsi="仿宋" w:eastAsia="仿宋" w:cs="仿宋"/>
                <w:b/>
                <w:bCs/>
                <w:color w:val="000000" w:themeColor="text1"/>
                <w:kern w:val="0"/>
                <w:sz w:val="32"/>
                <w:szCs w:val="32"/>
                <w:lang w:bidi="ar"/>
                <w14:textFill>
                  <w14:solidFill>
                    <w14:schemeClr w14:val="tx1"/>
                  </w14:solidFill>
                </w14:textFill>
              </w:rPr>
              <w:t>单位</w:t>
            </w:r>
          </w:p>
        </w:tc>
      </w:tr>
      <w:tr>
        <w:tblPrEx>
          <w:tblCellMar>
            <w:top w:w="0" w:type="dxa"/>
            <w:left w:w="108" w:type="dxa"/>
            <w:bottom w:w="0" w:type="dxa"/>
            <w:right w:w="108" w:type="dxa"/>
          </w:tblCellMar>
        </w:tblPrEx>
        <w:trPr>
          <w:trHeight w:val="90" w:hRule="atLeast"/>
        </w:trPr>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kern w:val="0"/>
                <w:sz w:val="32"/>
                <w:szCs w:val="32"/>
                <w:lang w:bidi="ar"/>
                <w14:textFill>
                  <w14:solidFill>
                    <w14:schemeClr w14:val="tx1"/>
                  </w14:solidFill>
                </w14:textFill>
              </w:rPr>
              <w:t>1</w:t>
            </w:r>
          </w:p>
        </w:tc>
        <w:tc>
          <w:tcPr>
            <w:tcW w:w="16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电能补给模块柜</w:t>
            </w:r>
          </w:p>
        </w:tc>
        <w:tc>
          <w:tcPr>
            <w:tcW w:w="126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1</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套</w:t>
            </w:r>
          </w:p>
        </w:tc>
      </w:tr>
    </w:tbl>
    <w:p>
      <w:pPr>
        <w:spacing w:line="360" w:lineRule="auto"/>
        <w:rPr>
          <w:rFonts w:ascii="黑体" w:hAnsi="黑体" w:eastAsia="黑体" w:cs="黑体"/>
          <w:b/>
          <w:bCs/>
          <w:color w:val="000000" w:themeColor="text1"/>
          <w:sz w:val="32"/>
          <w:szCs w:val="32"/>
          <w14:textFill>
            <w14:solidFill>
              <w14:schemeClr w14:val="tx1"/>
            </w14:solidFill>
          </w14:textFill>
        </w:rPr>
      </w:pPr>
      <w:r>
        <w:rPr>
          <w:rFonts w:hint="eastAsia" w:ascii="黑体" w:hAnsi="黑体" w:eastAsia="黑体" w:cs="黑体"/>
          <w:b/>
          <w:bCs/>
          <w:color w:val="000000" w:themeColor="text1"/>
          <w:sz w:val="32"/>
          <w:szCs w:val="32"/>
          <w14:textFill>
            <w14:solidFill>
              <w14:schemeClr w14:val="tx1"/>
            </w14:solidFill>
          </w14:textFill>
        </w:rPr>
        <w:t>三、设备使用条件</w:t>
      </w:r>
    </w:p>
    <w:p>
      <w:pPr>
        <w:spacing w:line="360" w:lineRule="auto"/>
        <w:ind w:firstLine="640" w:firstLineChars="200"/>
        <w:rPr>
          <w:rFonts w:ascii="仿宋" w:hAnsi="仿宋" w:eastAsia="仿宋" w:cs="仿宋"/>
          <w:color w:val="000000"/>
          <w:kern w:val="0"/>
          <w:sz w:val="32"/>
          <w:szCs w:val="32"/>
          <w:lang w:bidi="ar"/>
        </w:rPr>
      </w:pPr>
      <w:r>
        <w:rPr>
          <w:rFonts w:hint="eastAsia" w:ascii="仿宋" w:hAnsi="仿宋" w:eastAsia="仿宋" w:cs="仿宋"/>
          <w:sz w:val="32"/>
          <w:szCs w:val="32"/>
        </w:rPr>
        <w:t>1．</w:t>
      </w:r>
      <w:r>
        <w:rPr>
          <w:rFonts w:hint="eastAsia" w:ascii="仿宋" w:hAnsi="仿宋" w:eastAsia="仿宋" w:cs="仿宋"/>
          <w:color w:val="000000"/>
          <w:kern w:val="0"/>
          <w:sz w:val="32"/>
          <w:szCs w:val="32"/>
          <w:lang w:bidi="ar"/>
        </w:rPr>
        <w:t>贮存、运输环境条件</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应保持设备的贮存条件干燥、密封，根据采购方要求将设备运输到指定位置。并按设备特点，按需要分别加上防潮、防霉、防锈、防腐蚀、防冻的保护措施，以便货物在没有任何损坏和腐蚀的情况下安全地运抵设备安装现场，产品包装前，负责按部套进行检查清理，不留明物，并保证零部件齐全。</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由于包装或保管不善致使货物遭到损坏或等待时，一经证实，谈判对象均按合同的规定负责及时修理、更换或赔偿。</w:t>
      </w:r>
    </w:p>
    <w:p>
      <w:pPr>
        <w:pStyle w:val="2"/>
        <w:pageBreakBefore w:val="0"/>
        <w:spacing w:line="360" w:lineRule="auto"/>
        <w:jc w:val="both"/>
        <w:rPr>
          <w:rFonts w:ascii="黑体" w:hAnsi="黑体" w:eastAsia="黑体" w:cs="黑体"/>
          <w:bCs/>
          <w:kern w:val="2"/>
          <w:sz w:val="32"/>
          <w:szCs w:val="32"/>
        </w:rPr>
      </w:pPr>
      <w:r>
        <w:rPr>
          <w:rFonts w:hint="eastAsia" w:ascii="黑体" w:hAnsi="黑体" w:eastAsia="黑体" w:cs="黑体"/>
          <w:bCs/>
          <w:kern w:val="2"/>
          <w:sz w:val="32"/>
          <w:szCs w:val="32"/>
        </w:rPr>
        <w:t>四、设备（软件）功能及技术参数要求★</w:t>
      </w:r>
    </w:p>
    <w:p>
      <w:pPr>
        <w:pStyle w:val="3"/>
        <w:spacing w:line="600" w:lineRule="exact"/>
        <w:ind w:firstLine="643" w:firstLineChars="200"/>
        <w:rPr>
          <w:rFonts w:ascii="楷体" w:hAnsi="楷体" w:eastAsia="楷体" w:cs="楷体"/>
          <w:bCs/>
        </w:rPr>
      </w:pPr>
      <w:r>
        <w:rPr>
          <w:rFonts w:hint="eastAsia" w:ascii="楷体" w:hAnsi="楷体" w:eastAsia="楷体" w:cs="楷体"/>
          <w:bCs/>
        </w:rPr>
        <w:t>（一）设备（功能要求</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1.兼容无人机电池二合一充电模块、M30充电模块两种充电模块，模块由采购人提供。</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2.单个柜体支持配置3个充电模块，单模块最大重量约为20kg。</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.支持通过usb线与充电模块连接传输数据。</w:t>
      </w:r>
    </w:p>
    <w:p>
      <w:pPr>
        <w:pStyle w:val="3"/>
        <w:spacing w:line="600" w:lineRule="exact"/>
        <w:ind w:firstLine="643" w:firstLineChars="200"/>
        <w:rPr>
          <w:rFonts w:ascii="楷体" w:hAnsi="楷体" w:eastAsia="楷体" w:cs="楷体"/>
          <w:bCs/>
        </w:rPr>
      </w:pPr>
      <w:r>
        <w:rPr>
          <w:rFonts w:hint="eastAsia" w:ascii="楷体" w:hAnsi="楷体" w:eastAsia="楷体" w:cs="楷体"/>
          <w:bCs/>
        </w:rPr>
        <w:t>（二）详细技术参数要求</w:t>
      </w:r>
    </w:p>
    <w:p>
      <w:pPr>
        <w:numPr>
          <w:ilvl w:val="0"/>
          <w:numId w:val="2"/>
        </w:numPr>
        <w:spacing w:after="156" w:afterLines="50" w:line="360" w:lineRule="auto"/>
        <w:ind w:firstLine="643" w:firstLineChars="200"/>
        <w:rPr>
          <w:rFonts w:ascii="仿宋" w:hAnsi="仿宋" w:eastAsia="仿宋" w:cs="仿宋"/>
          <w:b/>
          <w:sz w:val="32"/>
          <w:szCs w:val="32"/>
        </w:rPr>
      </w:pPr>
      <w:r>
        <w:rPr>
          <w:rFonts w:hint="eastAsia" w:ascii="仿宋" w:hAnsi="仿宋" w:eastAsia="仿宋" w:cs="仿宋"/>
          <w:b/>
          <w:sz w:val="32"/>
          <w:szCs w:val="32"/>
        </w:rPr>
        <w:t>柜体参数：</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1</w:t>
      </w:r>
      <w:r>
        <w:rPr>
          <w:rFonts w:hint="eastAsia" w:ascii="仿宋" w:hAnsi="仿宋" w:eastAsia="仿宋" w:cs="仿宋"/>
          <w:sz w:val="32"/>
          <w:szCs w:val="32"/>
        </w:rPr>
        <w:t>.</w:t>
      </w:r>
      <w:r>
        <w:rPr>
          <w:rFonts w:ascii="仿宋" w:hAnsi="仿宋" w:eastAsia="仿宋" w:cs="仿宋"/>
          <w:sz w:val="32"/>
          <w:szCs w:val="32"/>
        </w:rPr>
        <w:t>门数：独立主柜，3层抽屉可拖出</w:t>
      </w:r>
      <w:r>
        <w:rPr>
          <w:rFonts w:hint="eastAsia" w:ascii="仿宋" w:hAnsi="仿宋" w:eastAsia="仿宋" w:cs="仿宋"/>
          <w:sz w:val="32"/>
          <w:szCs w:val="32"/>
        </w:rPr>
        <w:t>；</w:t>
      </w:r>
      <w:r>
        <w:rPr>
          <w:rFonts w:ascii="仿宋" w:hAnsi="仿宋" w:eastAsia="仿宋" w:cs="仿宋"/>
          <w:sz w:val="32"/>
          <w:szCs w:val="32"/>
        </w:rPr>
        <w:t xml:space="preserve"> </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2</w:t>
      </w:r>
      <w:r>
        <w:rPr>
          <w:rFonts w:hint="eastAsia" w:ascii="仿宋" w:hAnsi="仿宋" w:eastAsia="仿宋" w:cs="仿宋"/>
          <w:sz w:val="32"/>
          <w:szCs w:val="32"/>
        </w:rPr>
        <w:t>.</w:t>
      </w:r>
      <w:r>
        <w:rPr>
          <w:rFonts w:ascii="仿宋" w:hAnsi="仿宋" w:eastAsia="仿宋" w:cs="仿宋"/>
          <w:sz w:val="32"/>
          <w:szCs w:val="32"/>
        </w:rPr>
        <w:t>柜体采用不小于1.0mm厚环保镀锌钢板，经冷加工成形后，用二氧化碳气体保护焊焊接装配而成，柜体结构坚固结实</w:t>
      </w:r>
      <w:r>
        <w:rPr>
          <w:rFonts w:hint="eastAsia" w:ascii="仿宋" w:hAnsi="仿宋" w:eastAsia="仿宋" w:cs="仿宋"/>
          <w:sz w:val="32"/>
          <w:szCs w:val="32"/>
        </w:rPr>
        <w:t>；</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w:t>
      </w:r>
      <w:r>
        <w:rPr>
          <w:rFonts w:ascii="仿宋" w:hAnsi="仿宋" w:eastAsia="仿宋" w:cs="仿宋"/>
          <w:sz w:val="32"/>
          <w:szCs w:val="32"/>
        </w:rPr>
        <w:t>柜体表面经除锈、除油、打磨处理后喷塑。箱门两侧呈一定角度的弧线外形，有效防止使用者因疏忽碰伤、磕伤</w:t>
      </w:r>
      <w:r>
        <w:rPr>
          <w:rFonts w:hint="eastAsia" w:ascii="仿宋" w:hAnsi="仿宋" w:eastAsia="仿宋" w:cs="仿宋"/>
          <w:sz w:val="32"/>
          <w:szCs w:val="32"/>
        </w:rPr>
        <w:t>；</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4</w:t>
      </w:r>
      <w:r>
        <w:rPr>
          <w:rFonts w:hint="eastAsia" w:ascii="仿宋" w:hAnsi="仿宋" w:eastAsia="仿宋" w:cs="仿宋"/>
          <w:sz w:val="32"/>
          <w:szCs w:val="32"/>
        </w:rPr>
        <w:t>.</w:t>
      </w:r>
      <w:r>
        <w:rPr>
          <w:rFonts w:ascii="仿宋" w:hAnsi="仿宋" w:eastAsia="仿宋" w:cs="仿宋"/>
          <w:sz w:val="32"/>
          <w:szCs w:val="32"/>
        </w:rPr>
        <w:t>带有福马轮，可平滑移动，可定位固定，保证设备放置平稳</w:t>
      </w:r>
      <w:r>
        <w:rPr>
          <w:rFonts w:hint="eastAsia" w:ascii="仿宋" w:hAnsi="仿宋" w:eastAsia="仿宋" w:cs="仿宋"/>
          <w:sz w:val="32"/>
          <w:szCs w:val="32"/>
        </w:rPr>
        <w:t>；</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5</w:t>
      </w:r>
      <w:r>
        <w:rPr>
          <w:rFonts w:hint="eastAsia" w:ascii="仿宋" w:hAnsi="仿宋" w:eastAsia="仿宋" w:cs="仿宋"/>
          <w:sz w:val="32"/>
          <w:szCs w:val="32"/>
        </w:rPr>
        <w:t>.</w:t>
      </w:r>
      <w:r>
        <w:rPr>
          <w:rFonts w:ascii="仿宋" w:hAnsi="仿宋" w:eastAsia="仿宋" w:cs="仿宋"/>
          <w:sz w:val="32"/>
          <w:szCs w:val="32"/>
        </w:rPr>
        <w:t>带有防撬应急盖板装置及专用锁具，保证无障碍取物和存包柜安全</w:t>
      </w:r>
      <w:r>
        <w:rPr>
          <w:rFonts w:hint="eastAsia" w:ascii="仿宋" w:hAnsi="仿宋" w:eastAsia="仿宋" w:cs="仿宋"/>
          <w:sz w:val="32"/>
          <w:szCs w:val="32"/>
        </w:rPr>
        <w:t>；</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6</w:t>
      </w:r>
      <w:r>
        <w:rPr>
          <w:rFonts w:hint="eastAsia" w:ascii="仿宋" w:hAnsi="仿宋" w:eastAsia="仿宋" w:cs="仿宋"/>
          <w:sz w:val="32"/>
          <w:szCs w:val="32"/>
        </w:rPr>
        <w:t>.</w:t>
      </w:r>
      <w:r>
        <w:rPr>
          <w:rFonts w:ascii="仿宋" w:hAnsi="仿宋" w:eastAsia="仿宋" w:cs="仿宋"/>
          <w:sz w:val="32"/>
          <w:szCs w:val="32"/>
        </w:rPr>
        <w:t>柜门和柜体连接装置，以保证柜门自由灵活安全开关</w:t>
      </w:r>
      <w:r>
        <w:rPr>
          <w:rFonts w:hint="eastAsia" w:ascii="仿宋" w:hAnsi="仿宋" w:eastAsia="仿宋" w:cs="仿宋"/>
          <w:sz w:val="32"/>
          <w:szCs w:val="32"/>
        </w:rPr>
        <w:t>；</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7</w:t>
      </w:r>
      <w:r>
        <w:rPr>
          <w:rFonts w:hint="eastAsia" w:ascii="仿宋" w:hAnsi="仿宋" w:eastAsia="仿宋" w:cs="仿宋"/>
          <w:sz w:val="32"/>
          <w:szCs w:val="32"/>
        </w:rPr>
        <w:t>.</w:t>
      </w:r>
      <w:r>
        <w:rPr>
          <w:rFonts w:ascii="仿宋" w:hAnsi="仿宋" w:eastAsia="仿宋" w:cs="仿宋"/>
          <w:sz w:val="32"/>
          <w:szCs w:val="32"/>
        </w:rPr>
        <w:t>柜机采用喷塑，耐候性更好，不易褪色。</w:t>
      </w:r>
    </w:p>
    <w:p>
      <w:pPr>
        <w:spacing w:after="156" w:afterLines="50" w:line="360" w:lineRule="auto"/>
        <w:ind w:firstLine="643" w:firstLineChars="200"/>
        <w:rPr>
          <w:rFonts w:ascii="仿宋" w:hAnsi="仿宋" w:eastAsia="仿宋" w:cs="仿宋"/>
          <w:b/>
          <w:sz w:val="32"/>
          <w:szCs w:val="32"/>
        </w:rPr>
      </w:pPr>
      <w:r>
        <w:rPr>
          <w:rFonts w:hint="eastAsia" w:ascii="仿宋" w:hAnsi="仿宋" w:eastAsia="仿宋" w:cs="仿宋"/>
          <w:b/>
          <w:sz w:val="32"/>
          <w:szCs w:val="32"/>
        </w:rPr>
        <w:t>B、工控一体机：</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1</w:t>
      </w:r>
      <w:r>
        <w:rPr>
          <w:rFonts w:hint="eastAsia" w:ascii="仿宋" w:hAnsi="仿宋" w:eastAsia="仿宋" w:cs="仿宋"/>
          <w:sz w:val="32"/>
          <w:szCs w:val="32"/>
        </w:rPr>
        <w:t>.</w:t>
      </w:r>
      <w:r>
        <w:rPr>
          <w:rFonts w:ascii="仿宋" w:hAnsi="仿宋" w:eastAsia="仿宋" w:cs="仿宋"/>
          <w:sz w:val="32"/>
          <w:szCs w:val="32"/>
        </w:rPr>
        <w:t>CPU处理器：I5-1135G7,8G内存，240G硬盘</w:t>
      </w:r>
      <w:r>
        <w:rPr>
          <w:rFonts w:hint="eastAsia" w:ascii="仿宋" w:hAnsi="仿宋" w:eastAsia="仿宋" w:cs="仿宋"/>
          <w:sz w:val="32"/>
          <w:szCs w:val="32"/>
        </w:rPr>
        <w:t>；</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2</w:t>
      </w:r>
      <w:r>
        <w:rPr>
          <w:rFonts w:hint="eastAsia" w:ascii="仿宋" w:hAnsi="仿宋" w:eastAsia="仿宋" w:cs="仿宋"/>
          <w:sz w:val="32"/>
          <w:szCs w:val="32"/>
        </w:rPr>
        <w:t>.</w:t>
      </w:r>
      <w:r>
        <w:rPr>
          <w:rFonts w:ascii="仿宋" w:hAnsi="仿宋" w:eastAsia="仿宋" w:cs="仿宋"/>
          <w:sz w:val="32"/>
          <w:szCs w:val="32"/>
        </w:rPr>
        <w:t>主控板接口：USB2.0×4，USB3.2×4，COM×4，HDMI×1，RJ-45有线网络接口×2</w:t>
      </w:r>
      <w:r>
        <w:rPr>
          <w:rFonts w:hint="eastAsia" w:ascii="仿宋" w:hAnsi="仿宋" w:eastAsia="仿宋" w:cs="仿宋"/>
          <w:sz w:val="32"/>
          <w:szCs w:val="32"/>
        </w:rPr>
        <w:t>；</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w:t>
      </w:r>
      <w:r>
        <w:rPr>
          <w:rFonts w:ascii="仿宋" w:hAnsi="仿宋" w:eastAsia="仿宋" w:cs="仿宋"/>
          <w:sz w:val="32"/>
          <w:szCs w:val="32"/>
        </w:rPr>
        <w:t>显示屏：12.1寸显示屏，分辨率：1024*768；显示区域：245.76(W)×184.32(H) mm；对比度：1000 : 1 (Typ.)；亮度：500nits。多点触摸电容屏</w:t>
      </w:r>
      <w:r>
        <w:rPr>
          <w:rFonts w:hint="eastAsia" w:ascii="仿宋" w:hAnsi="仿宋" w:eastAsia="仿宋" w:cs="仿宋"/>
          <w:sz w:val="32"/>
          <w:szCs w:val="32"/>
        </w:rPr>
        <w:t>；</w:t>
      </w:r>
    </w:p>
    <w:p>
      <w:pPr>
        <w:spacing w:line="360" w:lineRule="auto"/>
        <w:ind w:firstLine="640" w:firstLineChars="200"/>
        <w:rPr>
          <w:rFonts w:ascii="仿宋" w:hAnsi="仿宋" w:eastAsia="仿宋" w:cs="仿宋"/>
          <w:b/>
          <w:sz w:val="32"/>
          <w:szCs w:val="32"/>
        </w:rPr>
      </w:pPr>
      <w:r>
        <w:rPr>
          <w:rFonts w:ascii="仿宋" w:hAnsi="仿宋" w:eastAsia="仿宋" w:cs="仿宋"/>
          <w:sz w:val="32"/>
          <w:szCs w:val="32"/>
        </w:rPr>
        <w:t>4</w:t>
      </w:r>
      <w:r>
        <w:rPr>
          <w:rFonts w:hint="eastAsia" w:ascii="仿宋" w:hAnsi="仿宋" w:eastAsia="仿宋" w:cs="仿宋"/>
          <w:sz w:val="32"/>
          <w:szCs w:val="32"/>
        </w:rPr>
        <w:t>.</w:t>
      </w:r>
      <w:r>
        <w:rPr>
          <w:rFonts w:ascii="仿宋" w:hAnsi="仿宋" w:eastAsia="仿宋" w:cs="仿宋"/>
          <w:sz w:val="32"/>
          <w:szCs w:val="32"/>
        </w:rPr>
        <w:t>输入电压DC12-24V</w:t>
      </w:r>
      <w:r>
        <w:rPr>
          <w:rFonts w:hint="eastAsia" w:ascii="仿宋" w:hAnsi="仿宋" w:eastAsia="仿宋" w:cs="仿宋"/>
          <w:sz w:val="32"/>
          <w:szCs w:val="32"/>
        </w:rPr>
        <w:t>。</w:t>
      </w:r>
    </w:p>
    <w:p>
      <w:pPr>
        <w:spacing w:after="156" w:afterLines="50" w:line="360" w:lineRule="auto"/>
        <w:ind w:firstLine="643" w:firstLineChars="200"/>
        <w:rPr>
          <w:rFonts w:ascii="仿宋" w:hAnsi="仿宋" w:eastAsia="仿宋" w:cs="仿宋"/>
          <w:b/>
          <w:sz w:val="32"/>
          <w:szCs w:val="32"/>
        </w:rPr>
      </w:pPr>
      <w:r>
        <w:rPr>
          <w:rFonts w:hint="eastAsia" w:ascii="仿宋" w:hAnsi="仿宋" w:eastAsia="仿宋" w:cs="仿宋"/>
          <w:b/>
          <w:sz w:val="32"/>
          <w:szCs w:val="32"/>
        </w:rPr>
        <w:t>C、开关电源：</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1.输出电压170</w:t>
      </w:r>
      <w:r>
        <w:rPr>
          <w:rFonts w:ascii="仿宋" w:hAnsi="仿宋" w:eastAsia="仿宋" w:cs="仿宋"/>
          <w:sz w:val="32"/>
          <w:szCs w:val="32"/>
        </w:rPr>
        <w:t>-</w:t>
      </w:r>
      <w:r>
        <w:rPr>
          <w:rFonts w:hint="eastAsia" w:ascii="仿宋" w:hAnsi="仿宋" w:eastAsia="仿宋" w:cs="仿宋"/>
          <w:sz w:val="32"/>
          <w:szCs w:val="32"/>
        </w:rPr>
        <w:t>264 ACV,频率47</w:t>
      </w:r>
      <w:r>
        <w:rPr>
          <w:rFonts w:ascii="仿宋" w:hAnsi="仿宋" w:eastAsia="仿宋" w:cs="仿宋"/>
          <w:sz w:val="32"/>
          <w:szCs w:val="32"/>
        </w:rPr>
        <w:t>-</w:t>
      </w:r>
      <w:r>
        <w:rPr>
          <w:rFonts w:hint="eastAsia" w:ascii="仿宋" w:hAnsi="仿宋" w:eastAsia="仿宋" w:cs="仿宋"/>
          <w:sz w:val="32"/>
          <w:szCs w:val="32"/>
        </w:rPr>
        <w:t>63Hz，输出电压DC12，输出电流0</w:t>
      </w:r>
      <w:r>
        <w:rPr>
          <w:rFonts w:ascii="仿宋" w:hAnsi="仿宋" w:eastAsia="仿宋" w:cs="仿宋"/>
          <w:sz w:val="32"/>
          <w:szCs w:val="32"/>
        </w:rPr>
        <w:t>-</w:t>
      </w:r>
      <w:r>
        <w:rPr>
          <w:rFonts w:hint="eastAsia" w:ascii="仿宋" w:hAnsi="仿宋" w:eastAsia="仿宋" w:cs="仿宋"/>
          <w:sz w:val="32"/>
          <w:szCs w:val="32"/>
        </w:rPr>
        <w:t>12.5A，工作温度-30℃</w:t>
      </w:r>
      <w:r>
        <w:rPr>
          <w:rFonts w:ascii="仿宋" w:hAnsi="仿宋" w:eastAsia="仿宋" w:cs="仿宋"/>
          <w:sz w:val="32"/>
          <w:szCs w:val="32"/>
        </w:rPr>
        <w:t>-</w:t>
      </w:r>
      <w:r>
        <w:rPr>
          <w:rFonts w:hint="eastAsia" w:ascii="仿宋" w:hAnsi="仿宋" w:eastAsia="仿宋" w:cs="仿宋"/>
          <w:sz w:val="32"/>
          <w:szCs w:val="32"/>
        </w:rPr>
        <w:t>70℃；</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2.支持过负载保护（打嗝模式，异常条件移除后可自动恢复），过电压保护（:关断输出电压,重启恢复），过温度保护（关断输出电压,重启恢复）。</w:t>
      </w:r>
    </w:p>
    <w:p>
      <w:pPr>
        <w:spacing w:line="360" w:lineRule="auto"/>
        <w:ind w:firstLine="643" w:firstLineChars="200"/>
        <w:rPr>
          <w:rFonts w:ascii="仿宋" w:hAnsi="仿宋" w:eastAsia="仿宋" w:cs="仿宋"/>
          <w:b/>
          <w:sz w:val="32"/>
          <w:szCs w:val="32"/>
        </w:rPr>
      </w:pPr>
      <w:r>
        <w:rPr>
          <w:rFonts w:hint="eastAsia" w:ascii="仿宋" w:hAnsi="仿宋" w:eastAsia="仿宋" w:cs="仿宋"/>
          <w:b/>
          <w:sz w:val="32"/>
          <w:szCs w:val="32"/>
        </w:rPr>
        <w:t>D、电子寄存柜专用锁：</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1.采用电磁设计原理，电控锁采用360度防撬、带防软片插入装置，使用寿命不低于10万/次，具备箱门检测、异常报警功能；</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2.采用关门（断电）上锁、通电(DC12—15V)瞬间触发开锁的工作模式；</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3.自动开箱：通电瞬间开锁，箱门自动弹开。开门后立刻断开电源，节省能源；</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4.经久耐用：间隔10秒连续测试≥30万次确保线圈绝不烧毁；</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5.状态输出：具有锁状态检测信号，用于检测箱门的（开、关）状态；</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6.节能环保：开锁瞬间通电，通电时间200ms-999ms，时间小于1秒，平时关门上锁不耗电；电压12V，电流小于3A，经久耐用，不易产生电子垃圾；</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7.锁控板可独立控制电控锁开关，反馈箱门开启状态、物品检测状态。</w:t>
      </w:r>
    </w:p>
    <w:p>
      <w:pPr>
        <w:spacing w:line="360" w:lineRule="auto"/>
        <w:ind w:firstLine="643" w:firstLineChars="200"/>
        <w:rPr>
          <w:rFonts w:ascii="仿宋" w:hAnsi="仿宋" w:eastAsia="仿宋" w:cs="仿宋"/>
          <w:b/>
          <w:sz w:val="32"/>
          <w:szCs w:val="32"/>
        </w:rPr>
      </w:pPr>
      <w:r>
        <w:rPr>
          <w:rFonts w:hint="eastAsia" w:ascii="仿宋" w:hAnsi="仿宋" w:eastAsia="仿宋" w:cs="仿宋"/>
          <w:b/>
          <w:sz w:val="32"/>
          <w:szCs w:val="32"/>
        </w:rPr>
        <w:t>E、常规技术参数：</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1.功率：≤3.5KW ；</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2.电源电压：AC200V—AC240V 50HZ；</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.使用温度：-10℃-50℃；</w:t>
      </w:r>
    </w:p>
    <w:p>
      <w:pPr>
        <w:spacing w:line="360" w:lineRule="auto"/>
        <w:ind w:firstLine="640" w:firstLineChars="200"/>
        <w:rPr>
          <w:rFonts w:ascii="仿宋" w:hAnsi="仿宋" w:eastAsia="仿宋" w:cs="仿宋"/>
          <w:b/>
          <w:sz w:val="32"/>
          <w:szCs w:val="32"/>
        </w:rPr>
      </w:pPr>
      <w:r>
        <w:rPr>
          <w:rFonts w:ascii="仿宋" w:hAnsi="仿宋" w:eastAsia="仿宋" w:cs="仿宋"/>
          <w:sz w:val="32"/>
          <w:szCs w:val="32"/>
        </w:rPr>
        <w:t>4</w:t>
      </w:r>
      <w:r>
        <w:rPr>
          <w:rFonts w:hint="eastAsia" w:ascii="仿宋" w:hAnsi="仿宋" w:eastAsia="仿宋" w:cs="仿宋"/>
          <w:sz w:val="32"/>
          <w:szCs w:val="32"/>
        </w:rPr>
        <w:t>.环境湿度：30-90％RH无结露现象。</w:t>
      </w:r>
    </w:p>
    <w:p>
      <w:pPr>
        <w:spacing w:line="360" w:lineRule="auto"/>
        <w:ind w:firstLine="643" w:firstLineChars="200"/>
        <w:rPr>
          <w:rFonts w:ascii="仿宋" w:hAnsi="仿宋" w:eastAsia="仿宋" w:cs="仿宋"/>
          <w:b/>
          <w:sz w:val="32"/>
          <w:szCs w:val="32"/>
        </w:rPr>
      </w:pPr>
      <w:r>
        <w:rPr>
          <w:rFonts w:hint="eastAsia" w:ascii="仿宋" w:hAnsi="仿宋" w:eastAsia="仿宋" w:cs="仿宋"/>
          <w:b/>
          <w:sz w:val="32"/>
          <w:szCs w:val="32"/>
        </w:rPr>
        <w:t>F、灭火球参数：</w:t>
      </w:r>
    </w:p>
    <w:p>
      <w:pPr>
        <w:spacing w:line="360" w:lineRule="auto"/>
        <w:ind w:firstLine="640" w:firstLineChars="200"/>
        <w:rPr>
          <w:rFonts w:ascii="仿宋" w:hAnsi="仿宋" w:eastAsia="仿宋" w:cs="仿宋"/>
          <w:sz w:val="32"/>
          <w:szCs w:val="32"/>
        </w:rPr>
      </w:pPr>
      <w:r>
        <w:rPr>
          <w:rFonts w:ascii="仿宋" w:hAnsi="仿宋" w:eastAsia="仿宋" w:cs="仿宋"/>
          <w:sz w:val="32"/>
          <w:szCs w:val="32"/>
        </w:rPr>
        <w:t>1</w:t>
      </w:r>
      <w:r>
        <w:rPr>
          <w:rFonts w:hint="eastAsia" w:ascii="仿宋" w:hAnsi="仿宋" w:eastAsia="仿宋" w:cs="仿宋"/>
          <w:sz w:val="32"/>
          <w:szCs w:val="32"/>
        </w:rPr>
        <w:t>.喷射时间≤12S</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2.保护空间大小≤0.6m³。</w:t>
      </w:r>
    </w:p>
    <w:p>
      <w:pPr>
        <w:spacing w:line="360" w:lineRule="auto"/>
        <w:ind w:firstLine="643" w:firstLineChars="200"/>
        <w:rPr>
          <w:rFonts w:ascii="仿宋" w:hAnsi="仿宋" w:eastAsia="仿宋" w:cs="仿宋"/>
          <w:b/>
          <w:sz w:val="32"/>
          <w:szCs w:val="32"/>
        </w:rPr>
      </w:pPr>
      <w:r>
        <w:rPr>
          <w:rFonts w:hint="eastAsia" w:ascii="仿宋" w:hAnsi="仿宋" w:eastAsia="仿宋" w:cs="仿宋"/>
          <w:b/>
          <w:sz w:val="32"/>
          <w:szCs w:val="32"/>
        </w:rPr>
        <w:t>G、开门控制板参数：</w:t>
      </w:r>
    </w:p>
    <w:p>
      <w:pPr>
        <w:spacing w:line="360" w:lineRule="auto"/>
        <w:ind w:firstLine="640" w:firstLineChars="200"/>
        <w:rPr>
          <w:rFonts w:ascii="黑体" w:hAnsi="黑体" w:cs="黑体"/>
          <w:b/>
          <w:bCs/>
          <w:sz w:val="32"/>
          <w:szCs w:val="32"/>
        </w:rPr>
      </w:pPr>
      <w:r>
        <w:rPr>
          <w:rFonts w:hint="eastAsia" w:ascii="仿宋" w:hAnsi="仿宋" w:eastAsia="仿宋" w:cs="仿宋"/>
          <w:sz w:val="32"/>
          <w:szCs w:val="32"/>
        </w:rPr>
        <w:t>可适配各种通讯接口，可控制24门电控锁开启可见。</w:t>
      </w:r>
    </w:p>
    <w:p>
      <w:pPr>
        <w:pStyle w:val="2"/>
        <w:pageBreakBefore w:val="0"/>
        <w:spacing w:line="360" w:lineRule="auto"/>
        <w:jc w:val="both"/>
        <w:rPr>
          <w:rFonts w:ascii="黑体" w:hAnsi="黑体" w:eastAsia="黑体" w:cs="黑体"/>
          <w:bCs/>
          <w:kern w:val="2"/>
          <w:sz w:val="32"/>
          <w:szCs w:val="32"/>
        </w:rPr>
      </w:pPr>
      <w:r>
        <w:rPr>
          <w:rFonts w:hint="eastAsia" w:ascii="黑体" w:hAnsi="黑体" w:eastAsia="黑体" w:cs="黑体"/>
          <w:bCs/>
          <w:kern w:val="2"/>
          <w:sz w:val="32"/>
          <w:szCs w:val="32"/>
        </w:rPr>
        <w:t>五、试验（测试）要求</w:t>
      </w:r>
    </w:p>
    <w:p>
      <w:pPr>
        <w:numPr>
          <w:ilvl w:val="0"/>
          <w:numId w:val="3"/>
        </w:numPr>
        <w:topLinePunct/>
        <w:spacing w:line="360" w:lineRule="auto"/>
        <w:ind w:firstLine="640" w:firstLineChars="200"/>
        <w:rPr>
          <w:rFonts w:ascii="仿宋" w:hAnsi="仿宋" w:eastAsia="仿宋" w:cs="仿宋"/>
          <w:sz w:val="32"/>
          <w:szCs w:val="32"/>
        </w:rPr>
      </w:pPr>
      <w:r>
        <w:rPr>
          <w:rFonts w:hint="eastAsia" w:ascii="仿宋" w:hAnsi="仿宋" w:eastAsia="仿宋" w:cs="仿宋"/>
          <w:sz w:val="32"/>
          <w:szCs w:val="32"/>
          <w:lang w:eastAsia="zh-Hans"/>
        </w:rPr>
        <w:t>成交人</w:t>
      </w:r>
      <w:r>
        <w:rPr>
          <w:rFonts w:hint="eastAsia" w:ascii="仿宋" w:hAnsi="仿宋" w:eastAsia="仿宋" w:cs="仿宋"/>
          <w:sz w:val="32"/>
          <w:szCs w:val="32"/>
        </w:rPr>
        <w:t>负责将设备运送到采购人指定的安装、调试地点，由此产生的费用由</w:t>
      </w:r>
      <w:r>
        <w:rPr>
          <w:rFonts w:hint="eastAsia" w:ascii="仿宋" w:hAnsi="仿宋" w:eastAsia="仿宋" w:cs="仿宋"/>
          <w:sz w:val="32"/>
          <w:szCs w:val="32"/>
          <w:lang w:eastAsia="zh-Hans"/>
        </w:rPr>
        <w:t>成交人</w:t>
      </w:r>
      <w:r>
        <w:rPr>
          <w:rFonts w:hint="eastAsia" w:ascii="仿宋" w:hAnsi="仿宋" w:eastAsia="仿宋" w:cs="仿宋"/>
          <w:sz w:val="32"/>
          <w:szCs w:val="32"/>
        </w:rPr>
        <w:t>承担。</w:t>
      </w:r>
    </w:p>
    <w:p>
      <w:pPr>
        <w:numPr>
          <w:ilvl w:val="0"/>
          <w:numId w:val="3"/>
        </w:numPr>
        <w:topLinePunct/>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采购人依谈判对象在采购文件中的承诺对全部产品的型号、规格、数量、包装及资料、文件等验收。</w:t>
      </w:r>
    </w:p>
    <w:p>
      <w:pPr>
        <w:numPr>
          <w:ilvl w:val="0"/>
          <w:numId w:val="3"/>
        </w:numPr>
        <w:topLinePunct/>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买卖双方对设备到货后共同配合进行检查，出现损坏、数量不全或产品不对等问题时，由谈判对象负责解决。买卖双方可签署合同设备的到货验收证明书，该证明书共两份，双方各执一份。</w:t>
      </w:r>
    </w:p>
    <w:p>
      <w:pPr>
        <w:numPr>
          <w:ilvl w:val="0"/>
          <w:numId w:val="3"/>
        </w:num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 xml:space="preserve">在采购人指定的地点和环境下, </w:t>
      </w:r>
      <w:r>
        <w:rPr>
          <w:rFonts w:hint="eastAsia" w:ascii="仿宋" w:hAnsi="仿宋" w:eastAsia="仿宋" w:cs="仿宋"/>
          <w:sz w:val="32"/>
          <w:szCs w:val="32"/>
          <w:lang w:eastAsia="zh-Hans"/>
        </w:rPr>
        <w:t>成交人</w:t>
      </w:r>
      <w:r>
        <w:rPr>
          <w:rFonts w:hint="eastAsia" w:ascii="仿宋" w:hAnsi="仿宋" w:eastAsia="仿宋" w:cs="仿宋"/>
          <w:sz w:val="32"/>
          <w:szCs w:val="32"/>
        </w:rPr>
        <w:t>负责对合同设备的进行安装、调试（所有部件模块的功能能够正常运行和使用）。</w:t>
      </w:r>
    </w:p>
    <w:p>
      <w:pPr>
        <w:numPr>
          <w:ilvl w:val="0"/>
          <w:numId w:val="3"/>
        </w:numPr>
        <w:spacing w:line="360" w:lineRule="auto"/>
        <w:ind w:firstLine="624" w:firstLineChars="200"/>
        <w:rPr>
          <w:rFonts w:ascii="仿宋" w:hAnsi="仿宋" w:eastAsia="仿宋" w:cs="仿宋"/>
          <w:spacing w:val="-4"/>
          <w:sz w:val="32"/>
          <w:szCs w:val="32"/>
        </w:rPr>
      </w:pPr>
      <w:r>
        <w:rPr>
          <w:rFonts w:hint="eastAsia" w:ascii="仿宋" w:hAnsi="仿宋" w:eastAsia="仿宋" w:cs="仿宋"/>
          <w:spacing w:val="-4"/>
          <w:sz w:val="32"/>
          <w:szCs w:val="32"/>
        </w:rPr>
        <w:t>按规范书技术部分要求对其产品的性能和配置进行测试检查。</w:t>
      </w:r>
    </w:p>
    <w:p>
      <w:pPr>
        <w:numPr>
          <w:ilvl w:val="0"/>
          <w:numId w:val="3"/>
        </w:num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安装、部署配套设备的连接测试，构成相应的硬件平台、软件平台和网络平台。</w:t>
      </w:r>
    </w:p>
    <w:p>
      <w:pPr>
        <w:numPr>
          <w:ilvl w:val="0"/>
          <w:numId w:val="3"/>
        </w:num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采购人与</w:t>
      </w:r>
      <w:r>
        <w:rPr>
          <w:rFonts w:hint="eastAsia" w:ascii="仿宋" w:hAnsi="仿宋" w:eastAsia="仿宋" w:cs="仿宋"/>
          <w:sz w:val="32"/>
          <w:szCs w:val="32"/>
          <w:lang w:eastAsia="zh-Hans"/>
        </w:rPr>
        <w:t>成交人</w:t>
      </w:r>
      <w:r>
        <w:rPr>
          <w:rFonts w:hint="eastAsia" w:ascii="仿宋" w:hAnsi="仿宋" w:eastAsia="仿宋" w:cs="仿宋"/>
          <w:sz w:val="32"/>
          <w:szCs w:val="32"/>
        </w:rPr>
        <w:t>对产品到货后共同配合商检部门进行检查，出现损坏、数量不全或产品不对等问题时，由谈判对象负责解决。</w:t>
      </w:r>
    </w:p>
    <w:p>
      <w:pPr>
        <w:numPr>
          <w:ilvl w:val="0"/>
          <w:numId w:val="3"/>
        </w:numPr>
        <w:spacing w:line="360" w:lineRule="auto"/>
        <w:ind w:firstLine="624" w:firstLineChars="200"/>
        <w:rPr>
          <w:rFonts w:ascii="仿宋" w:hAnsi="仿宋" w:eastAsia="仿宋" w:cs="仿宋"/>
          <w:spacing w:val="-4"/>
          <w:sz w:val="32"/>
          <w:szCs w:val="32"/>
        </w:rPr>
      </w:pPr>
      <w:r>
        <w:rPr>
          <w:rFonts w:hint="eastAsia" w:ascii="仿宋" w:hAnsi="仿宋" w:eastAsia="仿宋" w:cs="仿宋"/>
          <w:spacing w:val="-4"/>
          <w:sz w:val="32"/>
          <w:szCs w:val="32"/>
        </w:rPr>
        <w:t>产品测试中出现性能指标或功能上不符合规范书和协议供货合同时，采购人有拒收的权利。</w:t>
      </w:r>
    </w:p>
    <w:p>
      <w:pPr>
        <w:numPr>
          <w:ilvl w:val="0"/>
          <w:numId w:val="3"/>
        </w:numPr>
        <w:spacing w:line="360" w:lineRule="auto"/>
        <w:ind w:firstLine="624" w:firstLineChars="200"/>
        <w:rPr>
          <w:rFonts w:ascii="仿宋" w:hAnsi="仿宋" w:eastAsia="仿宋" w:cs="仿宋"/>
          <w:spacing w:val="-4"/>
          <w:sz w:val="32"/>
          <w:szCs w:val="32"/>
        </w:rPr>
      </w:pPr>
      <w:r>
        <w:rPr>
          <w:rFonts w:hint="eastAsia" w:ascii="仿宋" w:hAnsi="仿宋" w:eastAsia="仿宋" w:cs="仿宋"/>
          <w:spacing w:val="-4"/>
          <w:sz w:val="32"/>
          <w:szCs w:val="32"/>
        </w:rPr>
        <w:t>如商检和测试中出现不符合规范书和合同要求的严重质量问题时，采购人保留索赔权利。</w:t>
      </w:r>
    </w:p>
    <w:p>
      <w:pPr>
        <w:pStyle w:val="2"/>
        <w:pageBreakBefore w:val="0"/>
        <w:spacing w:line="360" w:lineRule="auto"/>
        <w:jc w:val="both"/>
        <w:rPr>
          <w:rFonts w:ascii="黑体" w:hAnsi="黑体" w:eastAsia="黑体" w:cs="黑体"/>
          <w:bCs/>
          <w:kern w:val="2"/>
          <w:sz w:val="32"/>
          <w:szCs w:val="32"/>
        </w:rPr>
      </w:pPr>
      <w:r>
        <w:rPr>
          <w:rFonts w:hint="eastAsia" w:ascii="黑体" w:hAnsi="黑体" w:eastAsia="黑体" w:cs="黑体"/>
          <w:bCs/>
          <w:kern w:val="2"/>
          <w:sz w:val="32"/>
          <w:szCs w:val="32"/>
        </w:rPr>
        <w:t>六、供货期及保证措施</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1．供货时间：</w:t>
      </w:r>
    </w:p>
    <w:p>
      <w:pPr>
        <w:spacing w:line="360" w:lineRule="auto"/>
        <w:ind w:firstLine="640" w:firstLineChars="200"/>
        <w:rPr>
          <w:rFonts w:ascii="仿宋" w:hAnsi="仿宋" w:eastAsia="仿宋" w:cs="仿宋"/>
          <w:sz w:val="32"/>
          <w:szCs w:val="32"/>
        </w:rPr>
      </w:pPr>
      <w:r>
        <w:rPr>
          <w:rFonts w:hint="eastAsia" w:ascii="仿宋" w:hAnsi="仿宋" w:eastAsia="仿宋" w:cs="仿宋"/>
          <w:color w:val="000000" w:themeColor="text1"/>
          <w:sz w:val="32"/>
          <w:szCs w:val="32"/>
          <w:u w:val="single"/>
          <w14:textFill>
            <w14:solidFill>
              <w14:schemeClr w14:val="tx1"/>
            </w14:solidFill>
          </w14:textFill>
        </w:rPr>
        <w:t>20</w:t>
      </w:r>
      <w:r>
        <w:rPr>
          <w:rFonts w:ascii="仿宋" w:hAnsi="仿宋" w:eastAsia="仿宋" w:cs="仿宋"/>
          <w:color w:val="000000" w:themeColor="text1"/>
          <w:sz w:val="32"/>
          <w:szCs w:val="32"/>
          <w:u w:val="single"/>
          <w14:textFill>
            <w14:solidFill>
              <w14:schemeClr w14:val="tx1"/>
            </w14:solidFill>
          </w14:textFill>
        </w:rPr>
        <w:t>24</w:t>
      </w:r>
      <w:r>
        <w:rPr>
          <w:rFonts w:hint="eastAsia" w:ascii="仿宋" w:hAnsi="仿宋" w:eastAsia="仿宋" w:cs="仿宋"/>
          <w:color w:val="000000" w:themeColor="text1"/>
          <w:sz w:val="32"/>
          <w:szCs w:val="32"/>
          <w:u w:val="single"/>
          <w14:textFill>
            <w14:solidFill>
              <w14:schemeClr w14:val="tx1"/>
            </w14:solidFill>
          </w14:textFill>
        </w:rPr>
        <w:t xml:space="preserve"> 年</w:t>
      </w:r>
      <w:r>
        <w:rPr>
          <w:rFonts w:hint="eastAsia" w:ascii="仿宋" w:hAnsi="仿宋" w:eastAsia="仿宋" w:cs="仿宋"/>
          <w:color w:val="000000" w:themeColor="text1"/>
          <w:sz w:val="32"/>
          <w:szCs w:val="32"/>
          <w:u w:val="single"/>
          <w:lang w:val="en-US" w:eastAsia="zh-CN"/>
          <w14:textFill>
            <w14:solidFill>
              <w14:schemeClr w14:val="tx1"/>
            </w14:solidFill>
          </w14:textFill>
        </w:rPr>
        <w:t>7</w:t>
      </w:r>
      <w:r>
        <w:rPr>
          <w:rFonts w:hint="eastAsia" w:ascii="仿宋" w:hAnsi="仿宋" w:eastAsia="仿宋" w:cs="仿宋"/>
          <w:color w:val="000000" w:themeColor="text1"/>
          <w:sz w:val="32"/>
          <w:szCs w:val="32"/>
          <w:u w:val="single"/>
          <w14:textFill>
            <w14:solidFill>
              <w14:schemeClr w14:val="tx1"/>
            </w14:solidFill>
          </w14:textFill>
        </w:rPr>
        <w:t>月</w:t>
      </w:r>
      <w:r>
        <w:rPr>
          <w:rFonts w:hint="eastAsia" w:ascii="仿宋" w:hAnsi="仿宋" w:eastAsia="仿宋" w:cs="仿宋"/>
          <w:color w:val="000000" w:themeColor="text1"/>
          <w:sz w:val="32"/>
          <w:szCs w:val="32"/>
          <w:u w:val="single"/>
          <w:lang w:val="en-US" w:eastAsia="zh-CN"/>
          <w14:textFill>
            <w14:solidFill>
              <w14:schemeClr w14:val="tx1"/>
            </w14:solidFill>
          </w14:textFill>
        </w:rPr>
        <w:t>31</w:t>
      </w:r>
      <w:r>
        <w:rPr>
          <w:rFonts w:hint="eastAsia" w:ascii="仿宋" w:hAnsi="仿宋" w:eastAsia="仿宋" w:cs="仿宋"/>
          <w:sz w:val="32"/>
          <w:szCs w:val="32"/>
          <w:u w:val="single"/>
        </w:rPr>
        <w:t>日</w:t>
      </w:r>
      <w:r>
        <w:rPr>
          <w:rFonts w:hint="eastAsia" w:ascii="仿宋" w:hAnsi="仿宋" w:eastAsia="仿宋" w:cs="仿宋"/>
          <w:sz w:val="32"/>
          <w:szCs w:val="32"/>
        </w:rPr>
        <w:t>前</w:t>
      </w:r>
      <w:r>
        <w:rPr>
          <w:rFonts w:hint="eastAsia" w:ascii="仿宋" w:hAnsi="仿宋" w:eastAsia="仿宋" w:cs="仿宋"/>
          <w:color w:val="000000" w:themeColor="text1"/>
          <w:sz w:val="32"/>
          <w:szCs w:val="32"/>
          <w14:textFill>
            <w14:solidFill>
              <w14:schemeClr w14:val="tx1"/>
            </w14:solidFill>
          </w14:textFill>
        </w:rPr>
        <w:t>，交付</w:t>
      </w:r>
      <w:r>
        <w:rPr>
          <w:rFonts w:hint="eastAsia" w:ascii="仿宋" w:hAnsi="仿宋" w:eastAsia="仿宋" w:cs="仿宋"/>
          <w:sz w:val="32"/>
          <w:szCs w:val="32"/>
          <w:u w:val="single"/>
        </w:rPr>
        <w:t xml:space="preserve"> </w:t>
      </w:r>
      <w:r>
        <w:rPr>
          <w:rFonts w:hint="eastAsia" w:ascii="仿宋" w:hAnsi="仿宋" w:eastAsia="仿宋" w:cs="仿宋"/>
          <w:color w:val="000000" w:themeColor="text1"/>
          <w:sz w:val="32"/>
          <w:szCs w:val="32"/>
          <w:u w:val="single"/>
          <w14:textFill>
            <w14:solidFill>
              <w14:schemeClr w14:val="tx1"/>
            </w14:solidFill>
          </w14:textFill>
        </w:rPr>
        <w:t>电能补给模块柜</w:t>
      </w:r>
      <w:r>
        <w:rPr>
          <w:rFonts w:hint="eastAsia" w:ascii="仿宋" w:hAnsi="仿宋" w:eastAsia="仿宋" w:cs="仿宋"/>
          <w:sz w:val="32"/>
          <w:szCs w:val="32"/>
          <w:u w:val="single"/>
        </w:rPr>
        <w:t>1套</w:t>
      </w:r>
      <w:r>
        <w:rPr>
          <w:rFonts w:hint="eastAsia" w:ascii="仿宋" w:hAnsi="仿宋" w:eastAsia="仿宋" w:cs="仿宋"/>
          <w:sz w:val="32"/>
          <w:szCs w:val="32"/>
        </w:rPr>
        <w:t>。</w:t>
      </w:r>
    </w:p>
    <w:p>
      <w:pPr>
        <w:spacing w:line="600" w:lineRule="exact"/>
        <w:ind w:firstLine="641"/>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1.2 交货地点：云南昆</w:t>
      </w:r>
      <w:bookmarkStart w:id="5" w:name="_GoBack"/>
      <w:bookmarkEnd w:id="5"/>
      <w:r>
        <w:rPr>
          <w:rFonts w:hint="eastAsia" w:ascii="仿宋" w:hAnsi="仿宋" w:eastAsia="仿宋" w:cs="仿宋"/>
          <w:color w:val="000000" w:themeColor="text1"/>
          <w:sz w:val="32"/>
          <w:szCs w:val="32"/>
          <w14:textFill>
            <w14:solidFill>
              <w14:schemeClr w14:val="tx1"/>
            </w14:solidFill>
          </w14:textFill>
        </w:rPr>
        <w:t>明。</w:t>
      </w:r>
    </w:p>
    <w:p>
      <w:pPr>
        <w:pStyle w:val="2"/>
        <w:pageBreakBefore w:val="0"/>
        <w:spacing w:line="360" w:lineRule="auto"/>
        <w:jc w:val="both"/>
        <w:rPr>
          <w:rFonts w:ascii="黑体" w:hAnsi="黑体" w:eastAsia="黑体" w:cs="黑体"/>
          <w:bCs/>
          <w:kern w:val="2"/>
          <w:sz w:val="32"/>
          <w:szCs w:val="32"/>
        </w:rPr>
      </w:pPr>
      <w:r>
        <w:rPr>
          <w:rFonts w:hint="eastAsia" w:ascii="黑体" w:hAnsi="黑体" w:eastAsia="黑体" w:cs="黑体"/>
          <w:bCs/>
          <w:kern w:val="2"/>
          <w:sz w:val="32"/>
          <w:szCs w:val="32"/>
        </w:rPr>
        <w:t>七、项目管控要求</w:t>
      </w:r>
    </w:p>
    <w:p>
      <w:pPr>
        <w:spacing w:line="360" w:lineRule="auto"/>
        <w:ind w:firstLine="640" w:firstLineChars="200"/>
        <w:rPr>
          <w:rFonts w:ascii="仿宋" w:hAnsi="仿宋" w:eastAsia="仿宋" w:cs="仿宋"/>
          <w:caps/>
          <w:sz w:val="32"/>
          <w:szCs w:val="32"/>
        </w:rPr>
      </w:pPr>
      <w:r>
        <w:rPr>
          <w:rFonts w:hint="eastAsia" w:ascii="仿宋" w:hAnsi="仿宋" w:eastAsia="仿宋" w:cs="仿宋"/>
          <w:sz w:val="32"/>
          <w:szCs w:val="32"/>
        </w:rPr>
        <w:t>1．</w:t>
      </w:r>
      <w:r>
        <w:rPr>
          <w:rFonts w:hint="eastAsia" w:ascii="仿宋" w:hAnsi="仿宋" w:eastAsia="仿宋" w:cs="仿宋"/>
          <w:color w:val="000000" w:themeColor="text1"/>
          <w:sz w:val="32"/>
          <w:szCs w:val="32"/>
          <w14:textFill>
            <w14:solidFill>
              <w14:schemeClr w14:val="tx1"/>
            </w14:solidFill>
          </w14:textFill>
        </w:rPr>
        <w:t>项目管理</w:t>
      </w:r>
    </w:p>
    <w:p>
      <w:pPr>
        <w:spacing w:line="360" w:lineRule="auto"/>
        <w:ind w:firstLine="640" w:firstLineChars="20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合同签定后，谈判对象应指定负责本工程的项目经理，负责协调谈判对象全过程的各项工作，如制造确认、包装运输、现场安装、调试验收等，相关费用由谈判对象自行负责。项目经理原则上不得在项目建设期间同时担任其他项目团队工作。谈判对象应保证项目服务人员稳定，在未经采购人同意的情况下，服务人员在服务期间不得随意调换，且不得从事本单位其他项目。</w:t>
      </w:r>
    </w:p>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2．资料管理</w:t>
      </w:r>
    </w:p>
    <w:p>
      <w:pPr>
        <w:spacing w:line="360" w:lineRule="auto"/>
        <w:ind w:firstLine="640" w:firstLineChars="20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谈判对象应提供设备（软件）相关技术文件、产品说明书、安装手册、调试手册、运行手册等资料,并对所提供的全部技术资料的准确性负责，相关资料以电子版或书面材料提供。</w:t>
      </w:r>
    </w:p>
    <w:p>
      <w:pPr>
        <w:pStyle w:val="2"/>
        <w:pageBreakBefore w:val="0"/>
        <w:spacing w:line="360" w:lineRule="auto"/>
        <w:jc w:val="both"/>
        <w:rPr>
          <w:rFonts w:ascii="黑体" w:hAnsi="黑体" w:eastAsia="黑体" w:cs="黑体"/>
          <w:bCs/>
          <w:kern w:val="2"/>
          <w:sz w:val="32"/>
          <w:szCs w:val="32"/>
        </w:rPr>
      </w:pPr>
      <w:r>
        <w:rPr>
          <w:rFonts w:hint="eastAsia" w:ascii="黑体" w:hAnsi="黑体" w:eastAsia="黑体" w:cs="黑体"/>
          <w:bCs/>
          <w:kern w:val="2"/>
          <w:sz w:val="32"/>
          <w:szCs w:val="32"/>
        </w:rPr>
        <w:t>八、售后服务</w:t>
      </w:r>
    </w:p>
    <w:p>
      <w:pPr>
        <w:spacing w:line="360" w:lineRule="auto"/>
        <w:ind w:firstLine="640" w:firstLineChars="200"/>
        <w:rPr>
          <w:rFonts w:ascii="仿宋" w:hAnsi="仿宋" w:eastAsia="仿宋" w:cs="仿宋"/>
          <w:color w:val="FF0000"/>
          <w:sz w:val="32"/>
          <w:szCs w:val="32"/>
        </w:rPr>
      </w:pPr>
      <w:r>
        <w:rPr>
          <w:rFonts w:hint="eastAsia" w:ascii="仿宋" w:hAnsi="仿宋" w:eastAsia="仿宋" w:cs="仿宋"/>
          <w:sz w:val="32"/>
          <w:szCs w:val="32"/>
        </w:rPr>
        <w:t>1．设备（软件）安装服务要求</w:t>
      </w:r>
    </w:p>
    <w:p>
      <w:pPr>
        <w:spacing w:line="360" w:lineRule="auto"/>
        <w:ind w:firstLine="640" w:firstLineChars="20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谈判对象应派代表到现场完成设备（软件）的安装、调试和运行，并负责解决合同设备（软件）制造及性能等方面的有关问题，详细解答合同范围内采购人提出的问题。</w:t>
      </w:r>
    </w:p>
    <w:p>
      <w:pPr>
        <w:tabs>
          <w:tab w:val="left" w:pos="851"/>
        </w:tabs>
        <w:spacing w:line="360" w:lineRule="auto"/>
        <w:ind w:firstLine="640" w:firstLineChars="200"/>
        <w:textAlignment w:val="baseline"/>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sz w:val="32"/>
          <w:szCs w:val="32"/>
        </w:rPr>
        <w:t>2．</w:t>
      </w:r>
      <w:r>
        <w:rPr>
          <w:rFonts w:hint="eastAsia" w:ascii="仿宋" w:hAnsi="仿宋" w:eastAsia="仿宋" w:cs="仿宋"/>
          <w:color w:val="000000" w:themeColor="text1"/>
          <w:sz w:val="32"/>
          <w:szCs w:val="32"/>
          <w14:textFill>
            <w14:solidFill>
              <w14:schemeClr w14:val="tx1"/>
            </w14:solidFill>
          </w14:textFill>
        </w:rPr>
        <w:t>产品质保期</w:t>
      </w:r>
      <w:r>
        <w:rPr>
          <w:rFonts w:hint="eastAsia" w:ascii="仿宋" w:hAnsi="仿宋" w:eastAsia="仿宋" w:cs="仿宋"/>
          <w:color w:val="000000" w:themeColor="text1"/>
          <w:sz w:val="32"/>
          <w:szCs w:val="32"/>
          <w:u w:val="single"/>
          <w14:textFill>
            <w14:solidFill>
              <w14:schemeClr w14:val="tx1"/>
            </w14:solidFill>
          </w14:textFill>
        </w:rPr>
        <w:t>一</w:t>
      </w:r>
      <w:r>
        <w:rPr>
          <w:rFonts w:hint="eastAsia" w:ascii="仿宋" w:hAnsi="仿宋" w:eastAsia="仿宋" w:cs="仿宋"/>
          <w:color w:val="000000" w:themeColor="text1"/>
          <w:sz w:val="32"/>
          <w:szCs w:val="32"/>
          <w14:textFill>
            <w14:solidFill>
              <w14:schemeClr w14:val="tx1"/>
            </w14:solidFill>
          </w14:textFill>
        </w:rPr>
        <w:t>年，在产品质保期内有质量问题的设备，由谈判对象负责修理或更换。对非谈判对象责任造成的设备（软件）损坏，谈判对象有优先提供配件和修理的义务。</w:t>
      </w:r>
    </w:p>
    <w:p>
      <w:pPr>
        <w:tabs>
          <w:tab w:val="left" w:pos="851"/>
        </w:tabs>
        <w:spacing w:line="360" w:lineRule="auto"/>
        <w:ind w:firstLine="640" w:firstLineChars="200"/>
        <w:textAlignment w:val="baseline"/>
        <w:rPr>
          <w:rFonts w:ascii="仿宋" w:hAnsi="仿宋" w:eastAsia="仿宋" w:cs="仿宋"/>
          <w:caps/>
          <w:sz w:val="32"/>
          <w:szCs w:val="32"/>
        </w:rPr>
      </w:pPr>
      <w:r>
        <w:rPr>
          <w:rFonts w:hint="eastAsia" w:ascii="仿宋" w:hAnsi="仿宋" w:eastAsia="仿宋" w:cs="仿宋"/>
          <w:sz w:val="32"/>
          <w:szCs w:val="32"/>
        </w:rPr>
        <w:t>3．</w:t>
      </w:r>
      <w:r>
        <w:rPr>
          <w:rFonts w:hint="eastAsia" w:ascii="仿宋" w:hAnsi="仿宋" w:eastAsia="仿宋" w:cs="仿宋"/>
          <w:color w:val="000000" w:themeColor="text1"/>
          <w:sz w:val="32"/>
          <w:szCs w:val="32"/>
          <w14:textFill>
            <w14:solidFill>
              <w14:schemeClr w14:val="tx1"/>
            </w14:solidFill>
          </w14:textFill>
        </w:rPr>
        <w:t>对采购人选购的与合同设备（软件）有关的配套设备，谈判对象有提供技术配合的义务，并不由此而增加任何费用。</w:t>
      </w:r>
    </w:p>
    <w:p>
      <w:pPr>
        <w:tabs>
          <w:tab w:val="left" w:pos="851"/>
        </w:tabs>
        <w:spacing w:line="360" w:lineRule="auto"/>
        <w:ind w:firstLine="640" w:firstLineChars="200"/>
        <w:textAlignment w:val="baseline"/>
        <w:rPr>
          <w:rFonts w:ascii="仿宋" w:hAnsi="仿宋" w:eastAsia="仿宋" w:cs="仿宋"/>
          <w:sz w:val="32"/>
          <w:szCs w:val="32"/>
        </w:rPr>
      </w:pPr>
      <w:r>
        <w:rPr>
          <w:rFonts w:hint="eastAsia" w:ascii="仿宋" w:hAnsi="仿宋" w:eastAsia="仿宋" w:cs="仿宋"/>
          <w:sz w:val="32"/>
          <w:szCs w:val="32"/>
        </w:rPr>
        <w:t>4．培训</w:t>
      </w:r>
    </w:p>
    <w:p>
      <w:pPr>
        <w:spacing w:line="360" w:lineRule="auto"/>
        <w:ind w:firstLine="640" w:firstLineChars="20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谈判对象应根据设备（软件）特点，合理安排技术培训，提供分层次的、周密、完善现实可行的培训方案和培训计划。</w:t>
      </w:r>
    </w:p>
    <w:p>
      <w:pPr>
        <w:spacing w:line="360" w:lineRule="auto"/>
        <w:ind w:firstLine="640" w:firstLineChars="20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谈判对象应派出有关专家到现场，承担现场培训任务。谈判对象应提供必要的培训资料，在培训结束时，谈判对象应对学员作出评价，并通知采购人。</w:t>
      </w:r>
    </w:p>
    <w:p>
      <w:pPr>
        <w:spacing w:line="360" w:lineRule="auto"/>
        <w:ind w:firstLine="640" w:firstLineChars="20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当进行现场安装和测试时，谈判对象应对采购人的运维人员进行在线设备操作培训。</w:t>
      </w:r>
    </w:p>
    <w:p>
      <w:pPr>
        <w:numPr>
          <w:ilvl w:val="0"/>
          <w:numId w:val="4"/>
        </w:numPr>
        <w:tabs>
          <w:tab w:val="left" w:pos="851"/>
        </w:tabs>
        <w:spacing w:line="360" w:lineRule="auto"/>
        <w:ind w:firstLine="640" w:firstLineChars="200"/>
        <w:textAlignment w:val="baseline"/>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其他售后服务要求</w:t>
      </w:r>
    </w:p>
    <w:p>
      <w:pPr>
        <w:pStyle w:val="5"/>
        <w:spacing w:beforeLines="0" w:afterLines="0" w:line="360" w:lineRule="auto"/>
        <w:ind w:firstLine="640" w:firstLineChars="200"/>
        <w:rPr>
          <w:rFonts w:ascii="仿宋" w:hAnsi="仿宋" w:eastAsia="仿宋" w:cs="仿宋"/>
          <w:color w:val="000000" w:themeColor="text1"/>
          <w:kern w:val="2"/>
          <w:sz w:val="32"/>
          <w:szCs w:val="32"/>
          <w14:textFill>
            <w14:solidFill>
              <w14:schemeClr w14:val="tx1"/>
            </w14:solidFill>
          </w14:textFill>
        </w:rPr>
      </w:pPr>
      <w:r>
        <w:rPr>
          <w:rFonts w:hint="eastAsia" w:ascii="仿宋" w:hAnsi="仿宋" w:eastAsia="仿宋" w:cs="仿宋"/>
          <w:color w:val="000000" w:themeColor="text1"/>
          <w:kern w:val="2"/>
          <w:sz w:val="32"/>
          <w:szCs w:val="32"/>
          <w14:textFill>
            <w14:solidFill>
              <w14:schemeClr w14:val="tx1"/>
            </w14:solidFill>
          </w14:textFill>
        </w:rPr>
        <w:t>无。</w:t>
      </w:r>
    </w:p>
    <w:p>
      <w:pPr>
        <w:pStyle w:val="2"/>
        <w:pageBreakBefore w:val="0"/>
        <w:spacing w:line="360" w:lineRule="auto"/>
        <w:jc w:val="both"/>
        <w:rPr>
          <w:rFonts w:ascii="黑体" w:hAnsi="黑体" w:eastAsia="黑体" w:cs="黑体"/>
          <w:bCs/>
          <w:kern w:val="2"/>
          <w:sz w:val="32"/>
          <w:szCs w:val="32"/>
        </w:rPr>
      </w:pPr>
      <w:r>
        <w:rPr>
          <w:rFonts w:hint="eastAsia" w:ascii="黑体" w:hAnsi="黑体" w:eastAsia="黑体" w:cs="黑体"/>
          <w:bCs/>
          <w:kern w:val="2"/>
          <w:sz w:val="32"/>
          <w:szCs w:val="32"/>
        </w:rPr>
        <w:t>九、项目质量保证</w:t>
      </w:r>
    </w:p>
    <w:p>
      <w:pPr>
        <w:numPr>
          <w:ilvl w:val="0"/>
          <w:numId w:val="5"/>
        </w:numPr>
        <w:topLinePunct/>
        <w:spacing w:line="360" w:lineRule="auto"/>
        <w:ind w:firstLine="640" w:firstLineChars="200"/>
        <w:rPr>
          <w:rFonts w:ascii="仿宋" w:hAnsi="仿宋" w:eastAsia="仿宋" w:cs="仿宋"/>
          <w:bCs/>
          <w:color w:val="000000"/>
          <w:sz w:val="32"/>
          <w:szCs w:val="32"/>
        </w:rPr>
      </w:pPr>
      <w:bookmarkStart w:id="0" w:name="_Toc510080701"/>
      <w:bookmarkStart w:id="1" w:name="_Toc505160258"/>
      <w:r>
        <w:rPr>
          <w:rFonts w:hint="eastAsia" w:ascii="仿宋" w:hAnsi="仿宋" w:eastAsia="仿宋" w:cs="仿宋"/>
          <w:bCs/>
          <w:color w:val="000000"/>
          <w:sz w:val="32"/>
          <w:szCs w:val="32"/>
        </w:rPr>
        <w:t>质保</w:t>
      </w:r>
      <w:bookmarkEnd w:id="0"/>
      <w:bookmarkEnd w:id="1"/>
      <w:r>
        <w:rPr>
          <w:rFonts w:hint="eastAsia" w:ascii="仿宋" w:hAnsi="仿宋" w:eastAsia="仿宋" w:cs="仿宋"/>
          <w:bCs/>
          <w:color w:val="000000"/>
          <w:sz w:val="32"/>
          <w:szCs w:val="32"/>
        </w:rPr>
        <w:t>服务</w:t>
      </w:r>
    </w:p>
    <w:p>
      <w:pPr>
        <w:topLinePunct/>
        <w:spacing w:line="360" w:lineRule="auto"/>
        <w:ind w:firstLine="640" w:firstLineChars="200"/>
        <w:rPr>
          <w:rFonts w:ascii="仿宋" w:hAnsi="仿宋" w:eastAsia="仿宋" w:cs="仿宋"/>
          <w:bCs/>
          <w:color w:val="000000"/>
          <w:sz w:val="32"/>
          <w:szCs w:val="32"/>
        </w:rPr>
      </w:pPr>
      <w:r>
        <w:rPr>
          <w:rFonts w:hint="eastAsia" w:ascii="仿宋" w:hAnsi="仿宋" w:eastAsia="仿宋" w:cs="仿宋"/>
          <w:bCs/>
          <w:color w:val="000000"/>
          <w:sz w:val="32"/>
          <w:szCs w:val="32"/>
        </w:rPr>
        <w:t>（1）在质保期内，应提供生产原厂商保修服务。在质保期内，应提供免费的生产原厂商（设备）软件升级包和免费的设备生产原厂商保修备件。</w:t>
      </w:r>
    </w:p>
    <w:p>
      <w:pPr>
        <w:topLinePunct/>
        <w:spacing w:line="360" w:lineRule="auto"/>
        <w:ind w:firstLine="640" w:firstLineChars="200"/>
        <w:rPr>
          <w:rFonts w:ascii="仿宋" w:hAnsi="仿宋" w:eastAsia="仿宋" w:cs="仿宋"/>
          <w:bCs/>
          <w:color w:val="000000"/>
          <w:sz w:val="32"/>
          <w:szCs w:val="32"/>
        </w:rPr>
      </w:pPr>
      <w:r>
        <w:rPr>
          <w:rFonts w:hint="eastAsia" w:ascii="仿宋" w:hAnsi="仿宋" w:eastAsia="仿宋" w:cs="仿宋"/>
          <w:bCs/>
          <w:color w:val="000000"/>
          <w:sz w:val="32"/>
          <w:szCs w:val="32"/>
        </w:rPr>
        <w:t>（2）质保服务响应时间：设备出现故障时必须在48小时内对采购人所提出的维修要求做出响应，在5天内将故障部件送达采购人故障设备现场，对关键部件须在3天内将故障部件送达采购人故障设备现场。对于5天内解决不了的问题，应提供备用设备。</w:t>
      </w:r>
    </w:p>
    <w:p>
      <w:pPr>
        <w:topLinePunct/>
        <w:spacing w:line="360" w:lineRule="auto"/>
        <w:ind w:firstLine="640" w:firstLineChars="200"/>
        <w:rPr>
          <w:rFonts w:ascii="仿宋" w:hAnsi="仿宋" w:eastAsia="仿宋" w:cs="仿宋"/>
          <w:bCs/>
          <w:color w:val="000000"/>
          <w:sz w:val="32"/>
          <w:szCs w:val="32"/>
        </w:rPr>
      </w:pPr>
      <w:r>
        <w:rPr>
          <w:rFonts w:hint="eastAsia" w:ascii="仿宋" w:hAnsi="仿宋" w:eastAsia="仿宋" w:cs="仿宋"/>
          <w:bCs/>
          <w:color w:val="000000"/>
          <w:sz w:val="32"/>
          <w:szCs w:val="32"/>
        </w:rPr>
        <w:t>（3）如同一批次设备中，设备部件或模块存在明显共性缺陷或故障时，谈判对象需在7个工作日内免费更换全部相关部件或模块。</w:t>
      </w:r>
    </w:p>
    <w:p>
      <w:pPr>
        <w:topLinePunct/>
        <w:spacing w:line="360" w:lineRule="auto"/>
        <w:ind w:firstLine="640" w:firstLineChars="200"/>
        <w:rPr>
          <w:rFonts w:ascii="仿宋" w:hAnsi="仿宋" w:eastAsia="仿宋" w:cs="仿宋"/>
          <w:bCs/>
          <w:color w:val="000000"/>
          <w:sz w:val="32"/>
          <w:szCs w:val="32"/>
        </w:rPr>
      </w:pPr>
      <w:r>
        <w:rPr>
          <w:rFonts w:hint="eastAsia" w:ascii="仿宋" w:hAnsi="仿宋" w:eastAsia="仿宋" w:cs="仿宋"/>
          <w:bCs/>
          <w:color w:val="000000"/>
          <w:sz w:val="32"/>
          <w:szCs w:val="32"/>
        </w:rPr>
        <w:t>（4）在质保期内，更换后的故障存储介质由采购人拥有，不得带离采购人现场。</w:t>
      </w:r>
    </w:p>
    <w:p>
      <w:pPr>
        <w:numPr>
          <w:ilvl w:val="0"/>
          <w:numId w:val="5"/>
        </w:numPr>
        <w:topLinePunct/>
        <w:spacing w:line="360" w:lineRule="auto"/>
        <w:ind w:firstLine="640" w:firstLineChars="200"/>
        <w:rPr>
          <w:rFonts w:ascii="仿宋" w:hAnsi="仿宋" w:eastAsia="仿宋" w:cs="仿宋"/>
          <w:bCs/>
          <w:color w:val="000000"/>
          <w:sz w:val="32"/>
          <w:szCs w:val="32"/>
        </w:rPr>
      </w:pPr>
      <w:bookmarkStart w:id="2" w:name="_Toc253133762"/>
      <w:bookmarkStart w:id="3" w:name="_Toc505160259"/>
      <w:bookmarkStart w:id="4" w:name="_Toc510080702"/>
      <w:r>
        <w:rPr>
          <w:rFonts w:hint="eastAsia" w:ascii="仿宋" w:hAnsi="仿宋" w:eastAsia="仿宋" w:cs="仿宋"/>
          <w:bCs/>
          <w:color w:val="000000"/>
          <w:sz w:val="32"/>
          <w:szCs w:val="32"/>
        </w:rPr>
        <w:t>技术服务</w:t>
      </w:r>
      <w:bookmarkEnd w:id="2"/>
      <w:bookmarkEnd w:id="3"/>
      <w:bookmarkEnd w:id="4"/>
    </w:p>
    <w:p>
      <w:pPr>
        <w:topLinePunct/>
        <w:spacing w:line="360" w:lineRule="auto"/>
        <w:ind w:firstLine="640" w:firstLineChars="200"/>
        <w:rPr>
          <w:rFonts w:ascii="仿宋" w:hAnsi="仿宋" w:eastAsia="仿宋" w:cs="仿宋"/>
          <w:bCs/>
          <w:color w:val="000000"/>
          <w:sz w:val="32"/>
          <w:szCs w:val="32"/>
        </w:rPr>
      </w:pPr>
      <w:r>
        <w:rPr>
          <w:rFonts w:hint="eastAsia" w:ascii="仿宋" w:hAnsi="仿宋" w:eastAsia="仿宋" w:cs="仿宋"/>
          <w:bCs/>
          <w:color w:val="000000"/>
          <w:sz w:val="32"/>
          <w:szCs w:val="32"/>
        </w:rPr>
        <w:t>（1）服务期内，谈判对象应根据实际需求，提供设备优化、功能更新服务。</w:t>
      </w:r>
    </w:p>
    <w:p>
      <w:pPr>
        <w:topLinePunct/>
        <w:spacing w:line="360" w:lineRule="auto"/>
        <w:ind w:firstLine="640" w:firstLineChars="200"/>
        <w:rPr>
          <w:rFonts w:ascii="仿宋" w:hAnsi="仿宋" w:eastAsia="仿宋" w:cs="仿宋"/>
          <w:bCs/>
          <w:color w:val="000000"/>
          <w:sz w:val="32"/>
          <w:szCs w:val="32"/>
        </w:rPr>
      </w:pPr>
      <w:r>
        <w:rPr>
          <w:rFonts w:hint="eastAsia" w:ascii="仿宋" w:hAnsi="仿宋" w:eastAsia="仿宋" w:cs="仿宋"/>
          <w:bCs/>
          <w:color w:val="000000"/>
          <w:sz w:val="32"/>
          <w:szCs w:val="32"/>
        </w:rPr>
        <w:t>（2）服务期内，谈判对象应根据实际需求，提供支持在运同类设备无缝兼容、冗余负载的技术和软硬件维保能力。</w:t>
      </w:r>
    </w:p>
    <w:p>
      <w:pPr>
        <w:topLinePunct/>
        <w:spacing w:line="360" w:lineRule="auto"/>
        <w:ind w:firstLine="640" w:firstLineChars="200"/>
        <w:rPr>
          <w:rFonts w:ascii="仿宋" w:hAnsi="仿宋" w:eastAsia="仿宋" w:cs="仿宋"/>
          <w:bCs/>
          <w:color w:val="000000"/>
          <w:sz w:val="32"/>
          <w:szCs w:val="32"/>
        </w:rPr>
      </w:pPr>
      <w:r>
        <w:rPr>
          <w:rFonts w:hint="eastAsia" w:ascii="仿宋" w:hAnsi="仿宋" w:eastAsia="仿宋" w:cs="仿宋"/>
          <w:bCs/>
          <w:color w:val="000000"/>
          <w:sz w:val="32"/>
          <w:szCs w:val="32"/>
        </w:rPr>
        <w:t>（3）谈判对象必须向采购人承诺技术后援支持，为今后采购人主要软、硬件设备的功能扩充、服务提供至少三年的技术支持。</w:t>
      </w:r>
    </w:p>
    <w:p>
      <w:pPr>
        <w:pStyle w:val="2"/>
        <w:pageBreakBefore w:val="0"/>
        <w:spacing w:line="360" w:lineRule="auto"/>
        <w:jc w:val="both"/>
        <w:rPr>
          <w:rFonts w:ascii="黑体" w:hAnsi="黑体" w:eastAsia="黑体" w:cs="黑体"/>
          <w:bCs/>
          <w:kern w:val="2"/>
          <w:sz w:val="32"/>
          <w:szCs w:val="32"/>
        </w:rPr>
      </w:pPr>
      <w:r>
        <w:rPr>
          <w:rFonts w:hint="eastAsia" w:ascii="黑体" w:hAnsi="黑体" w:eastAsia="黑体" w:cs="黑体"/>
          <w:bCs/>
          <w:kern w:val="2"/>
          <w:sz w:val="32"/>
          <w:szCs w:val="32"/>
        </w:rPr>
        <w:t>十、网络安全及数据安全要求</w:t>
      </w:r>
    </w:p>
    <w:p>
      <w:pPr>
        <w:spacing w:after="156" w:afterLines="50" w:line="360" w:lineRule="auto"/>
        <w:ind w:firstLine="640" w:firstLineChars="200"/>
        <w:rPr>
          <w:rFonts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sz w:val="32"/>
          <w:szCs w:val="32"/>
        </w:rPr>
        <w:t>．</w:t>
      </w:r>
      <w:r>
        <w:rPr>
          <w:rFonts w:hint="eastAsia" w:ascii="仿宋" w:hAnsi="仿宋" w:eastAsia="仿宋" w:cs="仿宋"/>
          <w:kern w:val="0"/>
          <w:sz w:val="32"/>
          <w:szCs w:val="32"/>
        </w:rPr>
        <w:t>谈判对象应对其人员进行网络安全培训，提高风险管理意识，确保网络安全管控措施在服务过程中有效落实。谈判对象人员应遵守采购人场地管理、设备使用等方面的制度和规定。谈判对象承诺保障采购人信息的安全性。因谈判对象原因造成采购人信息不安全时，采购人有权随时终止本谈判并要求谈判对象赔偿因此给采购人造成的全部损失。</w:t>
      </w:r>
    </w:p>
    <w:p>
      <w:pPr>
        <w:spacing w:after="156" w:afterLines="50" w:line="600" w:lineRule="exact"/>
        <w:ind w:firstLine="640" w:firstLineChars="200"/>
        <w:rPr>
          <w:rFonts w:ascii="仿宋" w:hAnsi="仿宋" w:eastAsia="仿宋" w:cs="仿宋"/>
          <w:kern w:val="0"/>
          <w:sz w:val="32"/>
          <w:szCs w:val="32"/>
        </w:rPr>
      </w:pPr>
      <w:r>
        <w:rPr>
          <w:rFonts w:hint="eastAsia" w:ascii="仿宋" w:hAnsi="仿宋" w:eastAsia="仿宋" w:cs="仿宋"/>
          <w:kern w:val="0"/>
          <w:sz w:val="32"/>
          <w:szCs w:val="32"/>
        </w:rPr>
        <w:t>2</w:t>
      </w:r>
      <w:r>
        <w:rPr>
          <w:rFonts w:hint="eastAsia" w:ascii="仿宋" w:hAnsi="仿宋" w:eastAsia="仿宋" w:cs="仿宋"/>
          <w:sz w:val="32"/>
          <w:szCs w:val="32"/>
        </w:rPr>
        <w:t>．</w:t>
      </w:r>
      <w:r>
        <w:rPr>
          <w:rFonts w:hint="eastAsia" w:ascii="仿宋" w:hAnsi="仿宋" w:eastAsia="仿宋" w:cs="仿宋"/>
          <w:kern w:val="0"/>
          <w:sz w:val="32"/>
          <w:szCs w:val="32"/>
        </w:rPr>
        <w:t>采购人有权对谈判对象与本项目工作有关的工作履行情况及网络安全和控制情况进行监控、检查和评价。谈判对象应按照采购人安排定期或不定期对谈判对象在服务过程中的不合规行为（如：终端私藏敏感信息或者非授权连接采购人网络）进行自查并向采购人报告情况。</w:t>
      </w:r>
    </w:p>
    <w:p>
      <w:pPr>
        <w:spacing w:after="156" w:afterLines="50" w:line="600" w:lineRule="exact"/>
        <w:ind w:firstLine="640" w:firstLineChars="200"/>
        <w:rPr>
          <w:rFonts w:ascii="仿宋" w:hAnsi="仿宋" w:eastAsia="仿宋" w:cs="仿宋"/>
          <w:kern w:val="0"/>
          <w:sz w:val="32"/>
          <w:szCs w:val="32"/>
        </w:rPr>
      </w:pPr>
      <w:r>
        <w:rPr>
          <w:rFonts w:hint="eastAsia" w:ascii="仿宋" w:hAnsi="仿宋" w:eastAsia="仿宋" w:cs="仿宋"/>
          <w:kern w:val="0"/>
          <w:sz w:val="32"/>
          <w:szCs w:val="32"/>
        </w:rPr>
        <w:t>3</w:t>
      </w:r>
      <w:r>
        <w:rPr>
          <w:rFonts w:hint="eastAsia" w:ascii="仿宋" w:hAnsi="仿宋" w:eastAsia="仿宋" w:cs="仿宋"/>
          <w:sz w:val="32"/>
          <w:szCs w:val="32"/>
        </w:rPr>
        <w:t>．</w:t>
      </w:r>
      <w:r>
        <w:rPr>
          <w:rFonts w:hint="eastAsia" w:ascii="仿宋" w:hAnsi="仿宋" w:eastAsia="仿宋" w:cs="仿宋"/>
          <w:kern w:val="0"/>
          <w:sz w:val="32"/>
          <w:szCs w:val="32"/>
        </w:rPr>
        <w:t>谈判对象应有相应的网络安全保障能力及管控措施，并有应对突发网络安全事件的能力。</w:t>
      </w:r>
    </w:p>
    <w:p>
      <w:pPr>
        <w:spacing w:after="156" w:afterLines="50" w:line="600" w:lineRule="exact"/>
        <w:ind w:firstLine="640" w:firstLineChars="200"/>
        <w:rPr>
          <w:rFonts w:ascii="仿宋" w:hAnsi="仿宋" w:eastAsia="仿宋" w:cs="仿宋"/>
          <w:kern w:val="0"/>
          <w:sz w:val="32"/>
          <w:szCs w:val="32"/>
        </w:rPr>
      </w:pPr>
      <w:r>
        <w:rPr>
          <w:rFonts w:hint="eastAsia" w:ascii="仿宋" w:hAnsi="仿宋" w:eastAsia="仿宋" w:cs="仿宋"/>
          <w:kern w:val="0"/>
          <w:sz w:val="32"/>
          <w:szCs w:val="32"/>
        </w:rPr>
        <w:t>4</w:t>
      </w:r>
      <w:r>
        <w:rPr>
          <w:rFonts w:hint="eastAsia" w:ascii="仿宋" w:hAnsi="仿宋" w:eastAsia="仿宋" w:cs="仿宋"/>
          <w:sz w:val="32"/>
          <w:szCs w:val="32"/>
        </w:rPr>
        <w:t>．</w:t>
      </w:r>
      <w:r>
        <w:rPr>
          <w:rFonts w:hint="eastAsia" w:ascii="仿宋" w:hAnsi="仿宋" w:eastAsia="仿宋" w:cs="仿宋"/>
          <w:kern w:val="0"/>
          <w:sz w:val="32"/>
          <w:szCs w:val="32"/>
        </w:rPr>
        <w:t>谈判对象不得在项目期间利用采购人网络资源或相关业务平台从事危害国家安全等违法犯罪活动，不得利用采购人网络资源或相关业务平台制作、查阅、复制和传播违反宪法和法律、妨碍社会治安、破坏国家统一、破坏民族团结、色情、暴力等信息。</w:t>
      </w:r>
    </w:p>
    <w:p>
      <w:pPr>
        <w:spacing w:after="156" w:afterLines="50" w:line="600" w:lineRule="exact"/>
        <w:ind w:firstLine="640" w:firstLineChars="200"/>
        <w:rPr>
          <w:rFonts w:ascii="仿宋" w:hAnsi="仿宋" w:eastAsia="仿宋" w:cs="仿宋"/>
          <w:kern w:val="0"/>
          <w:sz w:val="32"/>
          <w:szCs w:val="32"/>
        </w:rPr>
      </w:pPr>
      <w:r>
        <w:rPr>
          <w:rFonts w:hint="eastAsia" w:ascii="仿宋" w:hAnsi="仿宋" w:eastAsia="仿宋" w:cs="仿宋"/>
          <w:kern w:val="0"/>
          <w:sz w:val="32"/>
          <w:szCs w:val="32"/>
        </w:rPr>
        <w:t>5</w:t>
      </w:r>
      <w:r>
        <w:rPr>
          <w:rFonts w:hint="eastAsia" w:ascii="仿宋" w:hAnsi="仿宋" w:eastAsia="仿宋" w:cs="仿宋"/>
          <w:sz w:val="32"/>
          <w:szCs w:val="32"/>
        </w:rPr>
        <w:t>．</w:t>
      </w:r>
      <w:r>
        <w:rPr>
          <w:rFonts w:hint="eastAsia" w:ascii="仿宋" w:hAnsi="仿宋" w:eastAsia="仿宋" w:cs="仿宋"/>
          <w:kern w:val="0"/>
          <w:sz w:val="32"/>
          <w:szCs w:val="32"/>
        </w:rPr>
        <w:t>采购人与谈判对象签订保密承诺书，要求其自查敏感信息，不得向第三方提供与系统有关的源代码、系统架构、配置、科技项目研发过程中的相关数据等信息，不得在互联网各类共享平台（GitHub等）上发布与系统有关的源代码、系统架构、配置、科技项目研发过程中的相关数据等相关信息，做好个人终端上的敏感信息清查。未经采购人书面同意，不得将科技项目研发过程中的相关数据用于任何学术交流、教育培训、技术交流等活动。</w:t>
      </w:r>
    </w:p>
    <w:p>
      <w:pPr>
        <w:spacing w:after="156" w:afterLines="50" w:line="600" w:lineRule="exact"/>
        <w:ind w:firstLine="640" w:firstLineChars="200"/>
        <w:rPr>
          <w:rFonts w:ascii="仿宋" w:hAnsi="仿宋" w:eastAsia="仿宋" w:cs="仿宋"/>
          <w:kern w:val="0"/>
          <w:sz w:val="32"/>
          <w:szCs w:val="32"/>
        </w:rPr>
      </w:pPr>
      <w:r>
        <w:rPr>
          <w:rFonts w:hint="eastAsia" w:ascii="仿宋" w:hAnsi="仿宋" w:eastAsia="仿宋" w:cs="仿宋"/>
          <w:kern w:val="0"/>
          <w:sz w:val="32"/>
          <w:szCs w:val="32"/>
        </w:rPr>
        <w:t>6</w:t>
      </w:r>
      <w:r>
        <w:rPr>
          <w:rFonts w:hint="eastAsia" w:ascii="仿宋" w:hAnsi="仿宋" w:eastAsia="仿宋" w:cs="仿宋"/>
          <w:sz w:val="32"/>
          <w:szCs w:val="32"/>
        </w:rPr>
        <w:t>．</w:t>
      </w:r>
      <w:r>
        <w:rPr>
          <w:rFonts w:hint="eastAsia" w:ascii="仿宋" w:hAnsi="仿宋" w:eastAsia="仿宋" w:cs="仿宋"/>
          <w:kern w:val="0"/>
          <w:sz w:val="32"/>
          <w:szCs w:val="32"/>
        </w:rPr>
        <w:t>谈判对象不得在互联网上私搭乱建未经授权的包含采购人信息数据（包括但不限于南方电网及云南电网名称和logo等）的测试环境，不得擅自将未经测试通过的系统放在互联网测试环境中。</w:t>
      </w:r>
    </w:p>
    <w:p>
      <w:pPr>
        <w:spacing w:after="156" w:afterLines="50" w:line="600" w:lineRule="exact"/>
        <w:ind w:firstLine="640" w:firstLineChars="200"/>
        <w:rPr>
          <w:rFonts w:ascii="仿宋" w:hAnsi="仿宋" w:eastAsia="仿宋" w:cs="仿宋"/>
          <w:kern w:val="0"/>
          <w:sz w:val="32"/>
          <w:szCs w:val="32"/>
        </w:rPr>
      </w:pPr>
      <w:r>
        <w:rPr>
          <w:rFonts w:hint="eastAsia" w:ascii="仿宋" w:hAnsi="仿宋" w:eastAsia="仿宋" w:cs="仿宋"/>
          <w:kern w:val="0"/>
          <w:sz w:val="32"/>
          <w:szCs w:val="32"/>
        </w:rPr>
        <w:t>7</w:t>
      </w:r>
      <w:r>
        <w:rPr>
          <w:rFonts w:hint="eastAsia" w:ascii="仿宋" w:hAnsi="仿宋" w:eastAsia="仿宋" w:cs="仿宋"/>
          <w:sz w:val="32"/>
          <w:szCs w:val="32"/>
        </w:rPr>
        <w:t>．</w:t>
      </w:r>
      <w:r>
        <w:rPr>
          <w:rFonts w:hint="eastAsia" w:ascii="仿宋" w:hAnsi="仿宋" w:eastAsia="仿宋" w:cs="仿宋"/>
          <w:kern w:val="0"/>
          <w:sz w:val="32"/>
          <w:szCs w:val="32"/>
        </w:rPr>
        <w:t>谈判对象应对其人员进行网络安全意识培训，签订网络安全责任书，敦促其清理在个人终端或发布在互联网上的同类系统源代码、网络拓扑、系统账号等敏感信息。</w:t>
      </w:r>
    </w:p>
    <w:p>
      <w:pPr>
        <w:spacing w:after="156" w:afterLines="50" w:line="600" w:lineRule="exact"/>
        <w:ind w:firstLine="640" w:firstLineChars="200"/>
        <w:rPr>
          <w:rFonts w:ascii="仿宋" w:hAnsi="仿宋" w:eastAsia="仿宋" w:cs="仿宋"/>
          <w:sz w:val="32"/>
          <w:szCs w:val="32"/>
        </w:rPr>
      </w:pPr>
      <w:r>
        <w:rPr>
          <w:rFonts w:hint="eastAsia" w:ascii="仿宋" w:hAnsi="仿宋" w:eastAsia="仿宋" w:cs="仿宋"/>
          <w:kern w:val="0"/>
          <w:sz w:val="32"/>
          <w:szCs w:val="32"/>
        </w:rPr>
        <w:t>8</w:t>
      </w:r>
      <w:r>
        <w:rPr>
          <w:rFonts w:hint="eastAsia" w:ascii="仿宋" w:hAnsi="仿宋" w:eastAsia="仿宋" w:cs="仿宋"/>
          <w:sz w:val="32"/>
          <w:szCs w:val="32"/>
        </w:rPr>
        <w:t>．</w:t>
      </w:r>
      <w:r>
        <w:rPr>
          <w:rFonts w:hint="eastAsia" w:ascii="仿宋" w:hAnsi="仿宋" w:eastAsia="仿宋" w:cs="仿宋"/>
          <w:kern w:val="0"/>
          <w:sz w:val="32"/>
          <w:szCs w:val="32"/>
        </w:rPr>
        <w:t>谈判对象应遵循“谁经手，谁使用，谁管理，谁负责”的原则，确保在项目期间获取的数据不被非法访问、复制、使用、泄露或破坏。</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34863F"/>
    <w:multiLevelType w:val="singleLevel"/>
    <w:tmpl w:val="D234863F"/>
    <w:lvl w:ilvl="0" w:tentative="0">
      <w:start w:val="1"/>
      <w:numFmt w:val="chineseCounting"/>
      <w:suff w:val="nothing"/>
      <w:lvlText w:val="%1、"/>
      <w:lvlJc w:val="left"/>
      <w:rPr>
        <w:rFonts w:hint="eastAsia"/>
      </w:rPr>
    </w:lvl>
  </w:abstractNum>
  <w:abstractNum w:abstractNumId="1">
    <w:nsid w:val="D25C82DB"/>
    <w:multiLevelType w:val="singleLevel"/>
    <w:tmpl w:val="D25C82DB"/>
    <w:lvl w:ilvl="0" w:tentative="0">
      <w:start w:val="1"/>
      <w:numFmt w:val="decimal"/>
      <w:suff w:val="nothing"/>
      <w:lvlText w:val="%1．"/>
      <w:lvlJc w:val="left"/>
      <w:pPr>
        <w:ind w:left="0" w:firstLine="400"/>
      </w:pPr>
      <w:rPr>
        <w:rFonts w:hint="default"/>
      </w:rPr>
    </w:lvl>
  </w:abstractNum>
  <w:abstractNum w:abstractNumId="2">
    <w:nsid w:val="F5F85312"/>
    <w:multiLevelType w:val="singleLevel"/>
    <w:tmpl w:val="F5F85312"/>
    <w:lvl w:ilvl="0" w:tentative="0">
      <w:start w:val="1"/>
      <w:numFmt w:val="upperLetter"/>
      <w:suff w:val="nothing"/>
      <w:lvlText w:val="%1、"/>
      <w:lvlJc w:val="left"/>
    </w:lvl>
  </w:abstractNum>
  <w:abstractNum w:abstractNumId="3">
    <w:nsid w:val="166A32DA"/>
    <w:multiLevelType w:val="singleLevel"/>
    <w:tmpl w:val="166A32DA"/>
    <w:lvl w:ilvl="0" w:tentative="0">
      <w:start w:val="5"/>
      <w:numFmt w:val="decimal"/>
      <w:suff w:val="nothing"/>
      <w:lvlText w:val="%1．"/>
      <w:lvlJc w:val="left"/>
    </w:lvl>
  </w:abstractNum>
  <w:abstractNum w:abstractNumId="4">
    <w:nsid w:val="593E9F4D"/>
    <w:multiLevelType w:val="singleLevel"/>
    <w:tmpl w:val="593E9F4D"/>
    <w:lvl w:ilvl="0" w:tentative="0">
      <w:start w:val="1"/>
      <w:numFmt w:val="decimal"/>
      <w:suff w:val="nothing"/>
      <w:lvlText w:val="%1．"/>
      <w:lvlJc w:val="left"/>
      <w:pPr>
        <w:ind w:left="0" w:firstLine="400"/>
      </w:pPr>
      <w:rPr>
        <w:rFont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iZDIzMjBhYjY3YjcwYmIxYWI1NjM4YzVmYjEyMDMifQ=="/>
  </w:docVars>
  <w:rsids>
    <w:rsidRoot w:val="6177349E"/>
    <w:rsid w:val="00186090"/>
    <w:rsid w:val="002003AB"/>
    <w:rsid w:val="004C57D1"/>
    <w:rsid w:val="005B7408"/>
    <w:rsid w:val="006F598C"/>
    <w:rsid w:val="00702D20"/>
    <w:rsid w:val="00727069"/>
    <w:rsid w:val="00A46F6B"/>
    <w:rsid w:val="00CD7E4F"/>
    <w:rsid w:val="00D215ED"/>
    <w:rsid w:val="00E638E2"/>
    <w:rsid w:val="11EE008D"/>
    <w:rsid w:val="23F519E3"/>
    <w:rsid w:val="27451150"/>
    <w:rsid w:val="3A152ED8"/>
    <w:rsid w:val="4175061E"/>
    <w:rsid w:val="6177349E"/>
    <w:rsid w:val="69A822FA"/>
    <w:rsid w:val="6E460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pageBreakBefore/>
      <w:spacing w:before="340" w:after="330" w:line="576" w:lineRule="auto"/>
      <w:jc w:val="center"/>
      <w:outlineLvl w:val="0"/>
    </w:pPr>
    <w:rPr>
      <w:rFonts w:ascii="Times New Roman" w:hAnsi="Times New Roman"/>
      <w:b/>
      <w:kern w:val="44"/>
      <w:sz w:val="28"/>
    </w:rPr>
  </w:style>
  <w:style w:type="paragraph" w:styleId="3">
    <w:name w:val="heading 2"/>
    <w:basedOn w:val="1"/>
    <w:next w:val="1"/>
    <w:autoRedefine/>
    <w:unhideWhenUsed/>
    <w:qFormat/>
    <w:uiPriority w:val="0"/>
    <w:pPr>
      <w:keepNext/>
      <w:keepLines/>
      <w:spacing w:before="260" w:after="260" w:line="413" w:lineRule="auto"/>
      <w:outlineLvl w:val="1"/>
    </w:pPr>
    <w:rPr>
      <w:rFonts w:ascii="Arial" w:hAnsi="Arial" w:eastAsia="黑体"/>
      <w:b/>
      <w:sz w:val="32"/>
    </w:rPr>
  </w:style>
  <w:style w:type="character" w:default="1" w:styleId="12">
    <w:name w:val="Default Paragraph Font"/>
    <w:autoRedefine/>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6"/>
    <w:autoRedefine/>
    <w:qFormat/>
    <w:uiPriority w:val="0"/>
    <w:pPr>
      <w:jc w:val="left"/>
    </w:pPr>
  </w:style>
  <w:style w:type="paragraph" w:styleId="5">
    <w:name w:val="Body Text"/>
    <w:basedOn w:val="1"/>
    <w:next w:val="6"/>
    <w:autoRedefine/>
    <w:qFormat/>
    <w:uiPriority w:val="0"/>
    <w:pPr>
      <w:spacing w:beforeLines="50" w:afterLines="50"/>
    </w:pPr>
    <w:rPr>
      <w:rFonts w:ascii="宋体" w:hAnsi="宋体"/>
      <w:color w:val="000000"/>
      <w:kern w:val="0"/>
      <w:sz w:val="24"/>
    </w:rPr>
  </w:style>
  <w:style w:type="paragraph" w:styleId="6">
    <w:name w:val="Title"/>
    <w:basedOn w:val="1"/>
    <w:next w:val="1"/>
    <w:autoRedefine/>
    <w:qFormat/>
    <w:uiPriority w:val="0"/>
    <w:pPr>
      <w:spacing w:before="240" w:after="60"/>
      <w:jc w:val="center"/>
      <w:outlineLvl w:val="0"/>
    </w:pPr>
    <w:rPr>
      <w:rFonts w:ascii="Arial" w:hAnsi="Arial"/>
      <w:b/>
      <w:sz w:val="32"/>
    </w:rPr>
  </w:style>
  <w:style w:type="paragraph" w:styleId="7">
    <w:name w:val="Balloon Text"/>
    <w:basedOn w:val="1"/>
    <w:link w:val="18"/>
    <w:autoRedefine/>
    <w:qFormat/>
    <w:uiPriority w:val="0"/>
    <w:rPr>
      <w:sz w:val="18"/>
      <w:szCs w:val="18"/>
    </w:rPr>
  </w:style>
  <w:style w:type="paragraph" w:styleId="8">
    <w:name w:val="footer"/>
    <w:basedOn w:val="1"/>
    <w:link w:val="15"/>
    <w:autoRedefine/>
    <w:qFormat/>
    <w:uiPriority w:val="0"/>
    <w:pPr>
      <w:tabs>
        <w:tab w:val="center" w:pos="4153"/>
        <w:tab w:val="right" w:pos="8306"/>
      </w:tabs>
      <w:snapToGrid w:val="0"/>
      <w:jc w:val="left"/>
    </w:pPr>
    <w:rPr>
      <w:sz w:val="18"/>
      <w:szCs w:val="18"/>
    </w:rPr>
  </w:style>
  <w:style w:type="paragraph" w:styleId="9">
    <w:name w:val="header"/>
    <w:basedOn w:val="1"/>
    <w:link w:val="14"/>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annotation subject"/>
    <w:basedOn w:val="4"/>
    <w:next w:val="4"/>
    <w:link w:val="17"/>
    <w:autoRedefine/>
    <w:qFormat/>
    <w:uiPriority w:val="0"/>
    <w:rPr>
      <w:b/>
      <w:bCs/>
    </w:rPr>
  </w:style>
  <w:style w:type="character" w:styleId="13">
    <w:name w:val="annotation reference"/>
    <w:autoRedefine/>
    <w:unhideWhenUsed/>
    <w:qFormat/>
    <w:uiPriority w:val="0"/>
    <w:rPr>
      <w:sz w:val="21"/>
      <w:szCs w:val="21"/>
    </w:rPr>
  </w:style>
  <w:style w:type="character" w:customStyle="1" w:styleId="14">
    <w:name w:val="页眉 字符"/>
    <w:basedOn w:val="12"/>
    <w:link w:val="9"/>
    <w:autoRedefine/>
    <w:qFormat/>
    <w:uiPriority w:val="0"/>
    <w:rPr>
      <w:rFonts w:asciiTheme="minorHAnsi" w:hAnsiTheme="minorHAnsi" w:eastAsiaTheme="minorEastAsia" w:cstheme="minorBidi"/>
      <w:kern w:val="2"/>
      <w:sz w:val="18"/>
      <w:szCs w:val="18"/>
    </w:rPr>
  </w:style>
  <w:style w:type="character" w:customStyle="1" w:styleId="15">
    <w:name w:val="页脚 字符"/>
    <w:basedOn w:val="12"/>
    <w:link w:val="8"/>
    <w:autoRedefine/>
    <w:qFormat/>
    <w:uiPriority w:val="0"/>
    <w:rPr>
      <w:rFonts w:asciiTheme="minorHAnsi" w:hAnsiTheme="minorHAnsi" w:eastAsiaTheme="minorEastAsia" w:cstheme="minorBidi"/>
      <w:kern w:val="2"/>
      <w:sz w:val="18"/>
      <w:szCs w:val="18"/>
    </w:rPr>
  </w:style>
  <w:style w:type="character" w:customStyle="1" w:styleId="16">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7">
    <w:name w:val="批注主题 字符"/>
    <w:basedOn w:val="16"/>
    <w:link w:val="10"/>
    <w:autoRedefine/>
    <w:qFormat/>
    <w:uiPriority w:val="0"/>
    <w:rPr>
      <w:rFonts w:asciiTheme="minorHAnsi" w:hAnsiTheme="minorHAnsi" w:eastAsiaTheme="minorEastAsia" w:cstheme="minorBidi"/>
      <w:b/>
      <w:bCs/>
      <w:kern w:val="2"/>
      <w:sz w:val="21"/>
      <w:szCs w:val="24"/>
    </w:rPr>
  </w:style>
  <w:style w:type="character" w:customStyle="1" w:styleId="18">
    <w:name w:val="批注框文本 字符"/>
    <w:basedOn w:val="12"/>
    <w:link w:val="7"/>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599</Words>
  <Characters>3418</Characters>
  <Lines>28</Lines>
  <Paragraphs>8</Paragraphs>
  <TotalTime>27</TotalTime>
  <ScaleCrop>false</ScaleCrop>
  <LinksUpToDate>false</LinksUpToDate>
  <CharactersWithSpaces>4009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2023-09-08T02:56:00Z</dcterms:created>
  <dc:creator>stevenhong</dc:creator>
  <cp:lastModifiedBy>岚。</cp:lastModifiedBy>
  <dcterms:modified xsi:type="dcterms:W3CDTF">2024-05-27T02:45:23Z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BC843DE2A2E34F87B687D8165C424D85_13</vt:lpwstr>
  </property>
</Properties>
</file>