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tabs>
          <w:tab w:val="left" w:pos="0"/>
        </w:tabs>
        <w:spacing w:line="360" w:lineRule="auto"/>
        <w:ind w:firstLine="560"/>
        <w:jc w:val="center"/>
        <w:outlineLvl w:val="0"/>
        <w:rPr>
          <w:rFonts w:hint="eastAsia" w:eastAsia="宋体" w:cs="宋体" w:asciiTheme="minorEastAsia" w:hAnsiTheme="minorEastAsia"/>
          <w:b/>
          <w:bCs w:val="0"/>
          <w:kern w:val="0"/>
          <w:sz w:val="32"/>
          <w:szCs w:val="32"/>
          <w:lang w:val="en-US" w:eastAsia="zh-CN" w:bidi="ar-SA"/>
        </w:rPr>
      </w:pPr>
      <w:bookmarkStart w:id="0" w:name="_GoBack"/>
      <w:r>
        <w:rPr>
          <w:rFonts w:hint="eastAsia" w:eastAsia="宋体" w:cs="宋体" w:asciiTheme="minorEastAsia" w:hAnsiTheme="minorEastAsia"/>
          <w:b/>
          <w:bCs w:val="0"/>
          <w:kern w:val="0"/>
          <w:sz w:val="32"/>
          <w:szCs w:val="32"/>
          <w:lang w:val="en-US" w:eastAsia="zh-CN" w:bidi="ar-SA"/>
        </w:rPr>
        <w:t>广东电力通信科技有限公司</w:t>
      </w:r>
      <w:r>
        <w:rPr>
          <w:rFonts w:hint="eastAsia" w:cs="宋体" w:asciiTheme="minorEastAsia" w:hAnsiTheme="minorEastAsia"/>
          <w:b/>
          <w:bCs w:val="0"/>
          <w:kern w:val="0"/>
          <w:sz w:val="32"/>
          <w:szCs w:val="32"/>
          <w:lang w:val="en-US" w:eastAsia="zh-CN" w:bidi="ar-SA"/>
        </w:rPr>
        <w:t>2024年</w:t>
      </w:r>
      <w:r>
        <w:rPr>
          <w:rFonts w:hint="eastAsia" w:eastAsia="宋体" w:cs="宋体" w:asciiTheme="minorEastAsia" w:hAnsiTheme="minorEastAsia"/>
          <w:b/>
          <w:bCs w:val="0"/>
          <w:kern w:val="0"/>
          <w:sz w:val="32"/>
          <w:szCs w:val="32"/>
          <w:lang w:val="en-US" w:eastAsia="zh-CN" w:bidi="ar-SA"/>
        </w:rPr>
        <w:t>安全通信板件委托制造服务采购项目技术参数</w:t>
      </w:r>
    </w:p>
    <w:bookmarkEnd w:id="0"/>
    <w:p>
      <w:pPr>
        <w:pStyle w:val="3"/>
        <w:spacing w:before="240" w:line="240" w:lineRule="auto"/>
        <w:rPr>
          <w:rFonts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</w:rPr>
        <w:t>技术参数要求如下：</w:t>
      </w:r>
    </w:p>
    <w:p>
      <w:pPr>
        <w:pStyle w:val="4"/>
      </w:pPr>
      <w:r>
        <w:rPr>
          <w:rFonts w:hint="eastAsia"/>
        </w:rPr>
        <w:t>主控板</w:t>
      </w:r>
    </w:p>
    <w:p>
      <w:pPr>
        <w:pStyle w:val="8"/>
        <w:numPr>
          <w:ilvl w:val="0"/>
          <w:numId w:val="1"/>
        </w:numPr>
        <w:spacing w:line="360" w:lineRule="auto"/>
        <w:ind w:firstLineChars="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自主可控的主控板</w:t>
      </w:r>
    </w:p>
    <w:p>
      <w:pPr>
        <w:pStyle w:val="8"/>
        <w:numPr>
          <w:ilvl w:val="0"/>
          <w:numId w:val="1"/>
        </w:numPr>
        <w:spacing w:line="360" w:lineRule="auto"/>
        <w:ind w:firstLineChars="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CPU主频:</w:t>
      </w:r>
      <w:r>
        <w:rPr>
          <w:rFonts w:ascii="宋体" w:hAnsi="宋体"/>
          <w:sz w:val="24"/>
          <w:szCs w:val="24"/>
        </w:rPr>
        <w:t xml:space="preserve"> 800MHz</w:t>
      </w:r>
      <w:r>
        <w:rPr>
          <w:rFonts w:hint="eastAsia" w:ascii="宋体" w:hAnsi="宋体"/>
          <w:sz w:val="24"/>
          <w:szCs w:val="24"/>
        </w:rPr>
        <w:t>，存储：≥</w:t>
      </w:r>
      <w:r>
        <w:rPr>
          <w:rFonts w:ascii="宋体" w:hAnsi="宋体"/>
          <w:sz w:val="24"/>
          <w:szCs w:val="24"/>
        </w:rPr>
        <w:t>4</w:t>
      </w:r>
      <w:r>
        <w:rPr>
          <w:rFonts w:hint="eastAsia" w:ascii="宋体" w:hAnsi="宋体"/>
          <w:sz w:val="24"/>
          <w:szCs w:val="24"/>
        </w:rPr>
        <w:t>G</w:t>
      </w:r>
    </w:p>
    <w:p>
      <w:pPr>
        <w:pStyle w:val="8"/>
        <w:numPr>
          <w:ilvl w:val="0"/>
          <w:numId w:val="1"/>
        </w:numPr>
        <w:spacing w:line="360" w:lineRule="auto"/>
        <w:ind w:firstLineChars="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外部接口：2个10M/100M自适应以太网电口；1个RS232通信接口；1个RS232管理配置口。</w:t>
      </w:r>
    </w:p>
    <w:p>
      <w:pPr>
        <w:pStyle w:val="8"/>
        <w:numPr>
          <w:ilvl w:val="0"/>
          <w:numId w:val="1"/>
        </w:numPr>
        <w:spacing w:line="360" w:lineRule="auto"/>
        <w:ind w:firstLineChars="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电源：DC</w:t>
      </w:r>
      <w:r>
        <w:rPr>
          <w:rFonts w:ascii="宋体" w:hAnsi="宋体"/>
          <w:sz w:val="24"/>
          <w:szCs w:val="24"/>
        </w:rPr>
        <w:t xml:space="preserve"> 9V-56V</w:t>
      </w:r>
    </w:p>
    <w:p>
      <w:pPr>
        <w:pStyle w:val="8"/>
        <w:numPr>
          <w:ilvl w:val="0"/>
          <w:numId w:val="1"/>
        </w:numPr>
        <w:spacing w:line="360" w:lineRule="auto"/>
        <w:ind w:firstLineChars="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功耗：＜</w:t>
      </w:r>
      <w:r>
        <w:rPr>
          <w:rFonts w:ascii="宋体" w:hAnsi="宋体"/>
          <w:sz w:val="24"/>
          <w:szCs w:val="24"/>
        </w:rPr>
        <w:t>3</w:t>
      </w:r>
      <w:r>
        <w:rPr>
          <w:rFonts w:hint="eastAsia" w:ascii="宋体" w:hAnsi="宋体"/>
          <w:sz w:val="24"/>
          <w:szCs w:val="24"/>
        </w:rPr>
        <w:t>W</w:t>
      </w:r>
    </w:p>
    <w:p>
      <w:pPr>
        <w:pStyle w:val="8"/>
        <w:numPr>
          <w:ilvl w:val="0"/>
          <w:numId w:val="1"/>
        </w:numPr>
        <w:spacing w:line="360" w:lineRule="auto"/>
        <w:ind w:firstLineChars="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工作温度： -</w:t>
      </w:r>
      <w:r>
        <w:rPr>
          <w:rFonts w:ascii="宋体" w:hAnsi="宋体"/>
          <w:sz w:val="24"/>
          <w:szCs w:val="24"/>
        </w:rPr>
        <w:t>40</w:t>
      </w:r>
      <w:r>
        <w:rPr>
          <w:rFonts w:hint="eastAsia" w:ascii="宋体" w:hAnsi="宋体"/>
          <w:sz w:val="24"/>
          <w:szCs w:val="24"/>
        </w:rPr>
        <w:t>℃～+</w:t>
      </w:r>
      <w:r>
        <w:rPr>
          <w:rFonts w:ascii="宋体" w:hAnsi="宋体"/>
          <w:sz w:val="24"/>
          <w:szCs w:val="24"/>
        </w:rPr>
        <w:t>70</w:t>
      </w:r>
      <w:r>
        <w:rPr>
          <w:rFonts w:hint="eastAsia" w:ascii="宋体" w:hAnsi="宋体"/>
          <w:sz w:val="24"/>
          <w:szCs w:val="24"/>
        </w:rPr>
        <w:t>℃</w:t>
      </w:r>
    </w:p>
    <w:p>
      <w:pPr>
        <w:pStyle w:val="8"/>
        <w:numPr>
          <w:ilvl w:val="0"/>
          <w:numId w:val="1"/>
        </w:numPr>
        <w:spacing w:line="360" w:lineRule="auto"/>
        <w:ind w:firstLineChars="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应支持内部组件接口，可适应多插件组合。</w:t>
      </w:r>
    </w:p>
    <w:p>
      <w:pPr>
        <w:pStyle w:val="4"/>
        <w:spacing w:line="360" w:lineRule="auto"/>
      </w:pPr>
      <w:r>
        <w:rPr>
          <w:rFonts w:hint="eastAsia"/>
        </w:rPr>
        <w:t>信息安全单元</w:t>
      </w:r>
    </w:p>
    <w:p>
      <w:pPr>
        <w:pStyle w:val="8"/>
        <w:numPr>
          <w:ilvl w:val="0"/>
          <w:numId w:val="2"/>
        </w:numPr>
        <w:spacing w:line="360" w:lineRule="auto"/>
        <w:ind w:firstLineChars="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采用网络防篡改VPN安全网关的技术，提供通过公安部虚拟专用网（基本级）的检测证明。</w:t>
      </w:r>
    </w:p>
    <w:p>
      <w:pPr>
        <w:pStyle w:val="8"/>
        <w:numPr>
          <w:ilvl w:val="0"/>
          <w:numId w:val="2"/>
        </w:numPr>
        <w:spacing w:line="360" w:lineRule="auto"/>
        <w:ind w:firstLineChars="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必须使用通过国家密码局认证的密码芯片。</w:t>
      </w:r>
    </w:p>
    <w:p>
      <w:pPr>
        <w:pStyle w:val="8"/>
        <w:numPr>
          <w:ilvl w:val="0"/>
          <w:numId w:val="2"/>
        </w:numPr>
        <w:spacing w:line="360" w:lineRule="auto"/>
        <w:ind w:firstLineChars="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加密: SM1  4.8Mbps,SM2 签名150次/秒、验签100次/秒、加密100次/秒、解密200次/秒；</w:t>
      </w:r>
    </w:p>
    <w:p>
      <w:pPr>
        <w:pStyle w:val="8"/>
        <w:numPr>
          <w:ilvl w:val="0"/>
          <w:numId w:val="2"/>
        </w:numPr>
        <w:spacing w:line="360" w:lineRule="auto"/>
        <w:ind w:firstLineChars="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支持内部组件接口，可与主控板自适应。</w:t>
      </w:r>
    </w:p>
    <w:p>
      <w:pPr>
        <w:pStyle w:val="4"/>
        <w:spacing w:line="360" w:lineRule="auto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外壳</w:t>
      </w:r>
    </w:p>
    <w:p>
      <w:pPr>
        <w:pStyle w:val="8"/>
        <w:numPr>
          <w:ilvl w:val="0"/>
          <w:numId w:val="3"/>
        </w:numPr>
        <w:spacing w:line="360" w:lineRule="auto"/>
        <w:ind w:firstLineChars="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采购金属外壳，表面作喷涂或氧化处理。</w:t>
      </w:r>
    </w:p>
    <w:p>
      <w:pPr>
        <w:pStyle w:val="8"/>
        <w:numPr>
          <w:ilvl w:val="0"/>
          <w:numId w:val="3"/>
        </w:numPr>
        <w:spacing w:line="360" w:lineRule="auto"/>
        <w:ind w:firstLineChars="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面板应具有明显的电源、通讯、故障等指示灯。</w:t>
      </w:r>
    </w:p>
    <w:p>
      <w:pPr>
        <w:pStyle w:val="8"/>
        <w:numPr>
          <w:ilvl w:val="0"/>
          <w:numId w:val="3"/>
        </w:numPr>
        <w:spacing w:line="360" w:lineRule="auto"/>
        <w:ind w:firstLineChars="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铭牌内容完整，字迹清晰。</w:t>
      </w:r>
    </w:p>
    <w:p>
      <w:pPr>
        <w:pStyle w:val="7"/>
        <w:tabs>
          <w:tab w:val="left" w:pos="0"/>
        </w:tabs>
        <w:spacing w:line="360" w:lineRule="auto"/>
        <w:ind w:left="0" w:leftChars="0" w:firstLine="0" w:firstLineChars="0"/>
        <w:jc w:val="both"/>
        <w:outlineLvl w:val="0"/>
        <w:rPr>
          <w:rFonts w:hint="eastAsia" w:ascii="Calibri" w:hAnsi="Calibri"/>
          <w:kern w:val="2"/>
          <w:sz w:val="28"/>
          <w:szCs w:val="28"/>
        </w:rPr>
      </w:pPr>
      <w:r>
        <w:rPr>
          <w:rFonts w:hint="eastAsia" w:asciiTheme="minorEastAsia" w:hAnsiTheme="minorEastAsia" w:eastAsiaTheme="minorEastAsia"/>
          <w:sz w:val="24"/>
        </w:rPr>
        <w:t>外观尺寸：1</w:t>
      </w:r>
      <w:r>
        <w:rPr>
          <w:rFonts w:asciiTheme="minorEastAsia" w:hAnsiTheme="minorEastAsia" w:eastAsiaTheme="minorEastAsia"/>
          <w:sz w:val="24"/>
        </w:rPr>
        <w:t>08</w:t>
      </w:r>
      <w:r>
        <w:rPr>
          <w:rFonts w:hint="eastAsia" w:asciiTheme="minorEastAsia" w:hAnsiTheme="minorEastAsia" w:eastAsiaTheme="minorEastAsia"/>
          <w:sz w:val="24"/>
        </w:rPr>
        <w:t>*</w:t>
      </w:r>
      <w:r>
        <w:rPr>
          <w:rFonts w:asciiTheme="minorEastAsia" w:hAnsiTheme="minorEastAsia" w:eastAsiaTheme="minorEastAsia"/>
          <w:sz w:val="24"/>
        </w:rPr>
        <w:t>126</w:t>
      </w:r>
      <w:r>
        <w:rPr>
          <w:rFonts w:hint="eastAsia" w:asciiTheme="minorEastAsia" w:hAnsiTheme="minorEastAsia" w:eastAsiaTheme="minorEastAsia"/>
          <w:sz w:val="24"/>
        </w:rPr>
        <w:t>*</w:t>
      </w:r>
      <w:r>
        <w:rPr>
          <w:rFonts w:asciiTheme="minorEastAsia" w:hAnsiTheme="minorEastAsia" w:eastAsiaTheme="minorEastAsia"/>
          <w:sz w:val="24"/>
        </w:rPr>
        <w:t>38mm</w:t>
      </w:r>
    </w:p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665E2A"/>
    <w:multiLevelType w:val="multilevel"/>
    <w:tmpl w:val="0F665E2A"/>
    <w:lvl w:ilvl="0" w:tentative="0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41B4BC0"/>
    <w:multiLevelType w:val="multilevel"/>
    <w:tmpl w:val="541B4BC0"/>
    <w:lvl w:ilvl="0" w:tentative="0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02E1E5C"/>
    <w:multiLevelType w:val="multilevel"/>
    <w:tmpl w:val="602E1E5C"/>
    <w:lvl w:ilvl="0" w:tentative="0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552C9F"/>
    <w:rsid w:val="005666DD"/>
    <w:rsid w:val="026C2939"/>
    <w:rsid w:val="02A8240B"/>
    <w:rsid w:val="03B643C3"/>
    <w:rsid w:val="06552C9F"/>
    <w:rsid w:val="06D53B42"/>
    <w:rsid w:val="09E1081E"/>
    <w:rsid w:val="0A88424E"/>
    <w:rsid w:val="0C713FD3"/>
    <w:rsid w:val="0C841767"/>
    <w:rsid w:val="0DA1070B"/>
    <w:rsid w:val="0E6B430C"/>
    <w:rsid w:val="0F545194"/>
    <w:rsid w:val="0F8D7E19"/>
    <w:rsid w:val="13E105E3"/>
    <w:rsid w:val="149E3A3C"/>
    <w:rsid w:val="1670107B"/>
    <w:rsid w:val="16EC5D05"/>
    <w:rsid w:val="181C7F20"/>
    <w:rsid w:val="19566AB7"/>
    <w:rsid w:val="1B262C54"/>
    <w:rsid w:val="1E5A6116"/>
    <w:rsid w:val="1ED20FA8"/>
    <w:rsid w:val="1F0331F7"/>
    <w:rsid w:val="1F61347E"/>
    <w:rsid w:val="21F70FCA"/>
    <w:rsid w:val="22D074CF"/>
    <w:rsid w:val="23BB5B4F"/>
    <w:rsid w:val="24C96E8C"/>
    <w:rsid w:val="255466C5"/>
    <w:rsid w:val="256F5511"/>
    <w:rsid w:val="2616494D"/>
    <w:rsid w:val="269E188F"/>
    <w:rsid w:val="276513C7"/>
    <w:rsid w:val="27F64E56"/>
    <w:rsid w:val="29806479"/>
    <w:rsid w:val="2B5D1CA3"/>
    <w:rsid w:val="2FBB7B1A"/>
    <w:rsid w:val="33945DA6"/>
    <w:rsid w:val="36BF798F"/>
    <w:rsid w:val="374571AF"/>
    <w:rsid w:val="378817F8"/>
    <w:rsid w:val="37A805C8"/>
    <w:rsid w:val="381D413B"/>
    <w:rsid w:val="384D259E"/>
    <w:rsid w:val="389F6BD6"/>
    <w:rsid w:val="39210257"/>
    <w:rsid w:val="39971F42"/>
    <w:rsid w:val="39D63D66"/>
    <w:rsid w:val="3A707230"/>
    <w:rsid w:val="3A932DF4"/>
    <w:rsid w:val="3C1B740F"/>
    <w:rsid w:val="3CA25997"/>
    <w:rsid w:val="3D020833"/>
    <w:rsid w:val="3E604F6A"/>
    <w:rsid w:val="3F5D22EA"/>
    <w:rsid w:val="423E58AA"/>
    <w:rsid w:val="431B1AAA"/>
    <w:rsid w:val="4343479D"/>
    <w:rsid w:val="449E7638"/>
    <w:rsid w:val="48460175"/>
    <w:rsid w:val="50530D54"/>
    <w:rsid w:val="51B229A7"/>
    <w:rsid w:val="52484FE9"/>
    <w:rsid w:val="585C0757"/>
    <w:rsid w:val="58D15FA0"/>
    <w:rsid w:val="594B6A74"/>
    <w:rsid w:val="59E94E0A"/>
    <w:rsid w:val="5DC929A7"/>
    <w:rsid w:val="5F0E64F1"/>
    <w:rsid w:val="5F2705F0"/>
    <w:rsid w:val="5FC444B7"/>
    <w:rsid w:val="61661738"/>
    <w:rsid w:val="620A121F"/>
    <w:rsid w:val="646569A5"/>
    <w:rsid w:val="646C7C97"/>
    <w:rsid w:val="6687653D"/>
    <w:rsid w:val="687D7776"/>
    <w:rsid w:val="69AF17BE"/>
    <w:rsid w:val="69FD4986"/>
    <w:rsid w:val="6B4445DA"/>
    <w:rsid w:val="6B7A27C0"/>
    <w:rsid w:val="6C2614C0"/>
    <w:rsid w:val="6F7B04F1"/>
    <w:rsid w:val="70E3049E"/>
    <w:rsid w:val="72323F4C"/>
    <w:rsid w:val="72DF2601"/>
    <w:rsid w:val="734612EA"/>
    <w:rsid w:val="74B81DD6"/>
    <w:rsid w:val="74F2059E"/>
    <w:rsid w:val="75393C37"/>
    <w:rsid w:val="75F96F10"/>
    <w:rsid w:val="78E31ACF"/>
    <w:rsid w:val="79C73689"/>
    <w:rsid w:val="7A953304"/>
    <w:rsid w:val="7B967FA3"/>
    <w:rsid w:val="7BB53B8F"/>
    <w:rsid w:val="7BC8680F"/>
    <w:rsid w:val="7CB634EB"/>
    <w:rsid w:val="7D724E47"/>
    <w:rsid w:val="7D8E3711"/>
    <w:rsid w:val="7DD57921"/>
    <w:rsid w:val="7E7A5113"/>
    <w:rsid w:val="7F05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3"/>
    <w:qFormat/>
    <w:uiPriority w:val="99"/>
    <w:pPr>
      <w:spacing w:after="120" w:afterLines="0"/>
      <w:ind w:left="420"/>
    </w:pPr>
  </w:style>
  <w:style w:type="paragraph" w:styleId="3">
    <w:name w:val="envelope return"/>
    <w:basedOn w:val="1"/>
    <w:qFormat/>
    <w:uiPriority w:val="0"/>
    <w:pPr>
      <w:snapToGrid w:val="0"/>
    </w:pPr>
    <w:rPr>
      <w:rFonts w:ascii="Arial" w:hAnsi="Arial" w:cs="Arial"/>
    </w:rPr>
  </w:style>
  <w:style w:type="paragraph" w:customStyle="1" w:styleId="7">
    <w:name w:val="列出段落1"/>
    <w:basedOn w:val="1"/>
    <w:qFormat/>
    <w:uiPriority w:val="0"/>
    <w:pPr>
      <w:widowControl/>
      <w:ind w:firstLine="420" w:firstLineChars="200"/>
      <w:jc w:val="left"/>
    </w:pPr>
    <w:rPr>
      <w:rFonts w:ascii="Times New Roman" w:hAnsi="Times New Roman"/>
      <w:kern w:val="0"/>
      <w:sz w:val="20"/>
      <w:szCs w:val="20"/>
    </w:rPr>
  </w:style>
  <w:style w:type="paragraph" w:styleId="8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Office_11.8.2.12265_F1E327BC-269C-435d-A152-05C5408002CA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2024-05-29T01:08:00Z</dcterms:created>
  <dc:creator>3277AAC8D9C54424A1B28FEDB87AA8E5</dc:creator>
  <cp:lastModifiedBy>3277AAC8D9C54424A1B28FEDB87AA8E5</cp:lastModifiedBy>
  <dcterms:modified xsi:type="dcterms:W3CDTF">2024-05-29T01:18:53Z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2052-11.8.2.12265</vt:lpwstr>
  </property>
  <property fmtid="{D5CDD505-2E9C-101B-9397-08002B2CF9AE}" pid="3" name="ICV">
    <vt:lpwstr>696F890B847C4A5281B790D65C552560</vt:lpwstr>
  </property>
</Properties>
</file>