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274902993"/>
      <w:bookmarkStart w:id="1" w:name="_Toc339216642"/>
      <w:bookmarkStart w:id="2" w:name="_Toc274903054"/>
      <w:bookmarkStart w:id="3" w:name="_Toc371453820"/>
      <w:bookmarkStart w:id="4" w:name="_Toc323572795"/>
      <w:bookmarkStart w:id="5" w:name="_Toc244916004"/>
      <w:bookmarkStart w:id="6" w:name="_Toc371343937"/>
      <w:bookmarkStart w:id="7" w:name="_Toc339216643"/>
      <w:bookmarkStart w:id="8" w:name="_Toc371343936"/>
      <w:bookmarkStart w:id="9" w:name="_Toc371453819"/>
      <w:r>
        <w:rPr>
          <w:color w:val="auto"/>
        </w:rPr>
        <w:drawing>
          <wp:anchor distT="0" distB="0" distL="114300" distR="114300" simplePos="0" relativeHeight="251659264" behindDoc="1" locked="0" layoutInCell="1" allowOverlap="1">
            <wp:simplePos x="0" y="0"/>
            <wp:positionH relativeFrom="column">
              <wp:posOffset>-889635</wp:posOffset>
            </wp:positionH>
            <wp:positionV relativeFrom="paragraph">
              <wp:posOffset>-953135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0"/>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outlineLvl w:val="0"/>
        <w:rPr>
          <w:rFonts w:ascii="黑体" w:hAnsi="黑体" w:eastAsia="黑体"/>
          <w:b/>
          <w:color w:val="auto"/>
          <w:sz w:val="32"/>
          <w:szCs w:val="32"/>
          <w:highlight w:val="none"/>
        </w:rPr>
      </w:pPr>
      <w:r>
        <w:rPr>
          <w:rFonts w:hint="eastAsia" w:ascii="宋体" w:hAnsi="宋体" w:eastAsia="宋体" w:cs="宋体"/>
          <w:b/>
          <w:color w:val="auto"/>
          <w:sz w:val="44"/>
          <w:szCs w:val="44"/>
          <w:highlight w:val="none"/>
          <w:lang w:val="en-US" w:eastAsia="zh-CN"/>
        </w:rPr>
        <w:t>柳州局</w:t>
      </w:r>
      <w:r>
        <w:rPr>
          <w:rFonts w:hint="eastAsia" w:ascii="宋体" w:hAnsi="宋体" w:cs="宋体"/>
          <w:b/>
          <w:color w:val="auto"/>
          <w:sz w:val="44"/>
          <w:szCs w:val="44"/>
          <w:highlight w:val="none"/>
          <w:lang w:val="en-US" w:eastAsia="zh-CN"/>
        </w:rPr>
        <w:t>2024年</w:t>
      </w:r>
      <w:r>
        <w:rPr>
          <w:rFonts w:hint="eastAsia" w:ascii="宋体" w:hAnsi="宋体" w:eastAsia="宋体" w:cs="宋体"/>
          <w:b/>
          <w:color w:val="auto"/>
          <w:sz w:val="44"/>
          <w:szCs w:val="44"/>
          <w:highlight w:val="none"/>
          <w:lang w:val="en-US" w:eastAsia="zh-CN"/>
        </w:rPr>
        <w:t>新闻宣传重点项目在中央媒体集中宣传报道咨询策划项目询价材料</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outlineLvl w:val="0"/>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p>
    <w:p>
      <w:pPr>
        <w:spacing w:before="480" w:beforeLines="200" w:line="320" w:lineRule="exact"/>
        <w:jc w:val="center"/>
        <w:outlineLvl w:val="0"/>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hint="eastAsia" w:ascii="宋体" w:hAnsi="宋体"/>
          <w:color w:val="auto"/>
          <w:sz w:val="24"/>
          <w:highlight w:val="none"/>
          <w:lang w:val="en-US" w:eastAsia="zh-CN"/>
        </w:rPr>
      </w:pPr>
      <w:bookmarkStart w:id="10" w:name="_Toc399839020"/>
      <w:bookmarkStart w:id="11" w:name="_Toc369269815"/>
      <w:bookmarkStart w:id="12" w:name="_Toc371344042"/>
      <w:bookmarkStart w:id="13" w:name="_Toc372699294"/>
      <w:bookmarkStart w:id="14" w:name="_Toc371153697"/>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ascii="宋体" w:hAnsi="宋体"/>
          <w:b/>
          <w:bCs/>
          <w:color w:val="auto"/>
          <w:sz w:val="24"/>
          <w:highlight w:val="none"/>
        </w:rPr>
      </w:pPr>
      <w:r>
        <w:rPr>
          <w:rFonts w:hint="eastAsia" w:ascii="宋体" w:hAnsi="宋体"/>
          <w:color w:val="auto"/>
          <w:sz w:val="24"/>
          <w:highlight w:val="none"/>
          <w:lang w:val="en-US" w:eastAsia="zh-CN"/>
        </w:rPr>
        <w:t>柳州局2024年新闻宣传重点项目在中央媒体集中宣传报道咨询策划项目</w:t>
      </w:r>
      <w:r>
        <w:rPr>
          <w:rFonts w:hint="eastAsia" w:ascii="宋体" w:hAnsi="宋体"/>
          <w:b/>
          <w:bCs/>
          <w:color w:val="auto"/>
          <w:sz w:val="24"/>
          <w:highlight w:val="none"/>
        </w:rPr>
        <w:t>需求内容</w:t>
      </w:r>
    </w:p>
    <w:p>
      <w:pPr>
        <w:numPr>
          <w:ilvl w:val="0"/>
          <w:numId w:val="0"/>
        </w:num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default" w:ascii="宋体" w:hAnsi="宋体"/>
          <w:color w:val="auto"/>
          <w:sz w:val="24"/>
          <w:highlight w:val="none"/>
          <w:lang w:val="en-US" w:eastAsia="zh-CN"/>
        </w:rPr>
        <w:t>乙方为甲方</w:t>
      </w:r>
      <w:r>
        <w:rPr>
          <w:rFonts w:hint="eastAsia" w:ascii="宋体" w:hAnsi="宋体"/>
          <w:color w:val="auto"/>
          <w:sz w:val="24"/>
          <w:highlight w:val="none"/>
          <w:lang w:val="en-US" w:eastAsia="zh-CN"/>
        </w:rPr>
        <w:t>提供柳州局新闻宣传重点项目在中央媒体集中宣传报道</w:t>
      </w:r>
      <w:r>
        <w:rPr>
          <w:rFonts w:hint="default" w:ascii="宋体" w:hAnsi="宋体"/>
          <w:color w:val="auto"/>
          <w:sz w:val="24"/>
          <w:highlight w:val="none"/>
          <w:lang w:val="en-US" w:eastAsia="zh-CN"/>
        </w:rPr>
        <w:t>咨询策划</w:t>
      </w:r>
      <w:r>
        <w:rPr>
          <w:rFonts w:hint="eastAsia" w:ascii="宋体" w:hAnsi="宋体"/>
          <w:color w:val="auto"/>
          <w:sz w:val="24"/>
          <w:highlight w:val="none"/>
          <w:lang w:val="en-US" w:eastAsia="zh-CN"/>
        </w:rPr>
        <w:t>。</w:t>
      </w:r>
    </w:p>
    <w:p>
      <w:pPr>
        <w:numPr>
          <w:ilvl w:val="0"/>
          <w:numId w:val="3"/>
        </w:numPr>
        <w:adjustRightInd w:val="0"/>
        <w:snapToGrid w:val="0"/>
        <w:spacing w:line="360" w:lineRule="auto"/>
        <w:ind w:firstLine="480" w:firstLineChars="200"/>
        <w:outlineLvl w:val="0"/>
        <w:rPr>
          <w:rFonts w:hint="default" w:ascii="宋体" w:hAnsi="宋体"/>
          <w:color w:val="auto"/>
          <w:sz w:val="24"/>
          <w:highlight w:val="none"/>
          <w:lang w:val="en-US" w:eastAsia="zh-CN"/>
        </w:rPr>
      </w:pPr>
      <w:r>
        <w:rPr>
          <w:rFonts w:hint="default" w:ascii="宋体" w:hAnsi="宋体"/>
          <w:color w:val="auto"/>
          <w:sz w:val="24"/>
          <w:highlight w:val="none"/>
          <w:lang w:val="en-US" w:eastAsia="zh-CN"/>
        </w:rPr>
        <w:t>根据甲方需要</w:t>
      </w:r>
      <w:r>
        <w:rPr>
          <w:rFonts w:hint="eastAsia" w:ascii="宋体" w:hAnsi="宋体"/>
          <w:color w:val="auto"/>
          <w:sz w:val="24"/>
          <w:highlight w:val="none"/>
          <w:lang w:val="en-US" w:eastAsia="zh-CN"/>
        </w:rPr>
        <w:t>对甲方开展的柳州局新闻宣传重点项目在中央媒体集中宣传报道</w:t>
      </w:r>
      <w:r>
        <w:rPr>
          <w:rFonts w:hint="default" w:ascii="宋体" w:hAnsi="宋体"/>
          <w:color w:val="auto"/>
          <w:sz w:val="24"/>
          <w:highlight w:val="none"/>
          <w:lang w:val="en-US" w:eastAsia="zh-CN"/>
        </w:rPr>
        <w:t>咨询策划。</w:t>
      </w:r>
    </w:p>
    <w:p>
      <w:pPr>
        <w:numPr>
          <w:ilvl w:val="0"/>
          <w:numId w:val="3"/>
        </w:numPr>
        <w:adjustRightInd w:val="0"/>
        <w:snapToGrid w:val="0"/>
        <w:spacing w:line="360" w:lineRule="auto"/>
        <w:ind w:firstLine="480" w:firstLineChars="200"/>
        <w:outlineLvl w:val="0"/>
        <w:rPr>
          <w:rFonts w:hint="default" w:ascii="宋体" w:hAnsi="宋体"/>
          <w:color w:val="auto"/>
          <w:sz w:val="24"/>
          <w:highlight w:val="none"/>
          <w:lang w:val="en-US" w:eastAsia="zh-CN"/>
        </w:rPr>
      </w:pPr>
      <w:r>
        <w:rPr>
          <w:rFonts w:hint="default" w:ascii="宋体" w:hAnsi="宋体"/>
          <w:color w:val="auto"/>
          <w:sz w:val="24"/>
          <w:highlight w:val="none"/>
          <w:lang w:val="en-US" w:eastAsia="zh-CN"/>
        </w:rPr>
        <w:t>根据甲方需要</w:t>
      </w:r>
      <w:r>
        <w:rPr>
          <w:rFonts w:hint="eastAsia" w:ascii="宋体" w:hAnsi="宋体"/>
          <w:color w:val="auto"/>
          <w:sz w:val="24"/>
          <w:highlight w:val="none"/>
          <w:lang w:val="en-US" w:eastAsia="zh-CN"/>
        </w:rPr>
        <w:t>联系相关中央媒体，做好策划实施</w:t>
      </w:r>
      <w:r>
        <w:rPr>
          <w:rFonts w:hint="default" w:ascii="宋体" w:hAnsi="宋体"/>
          <w:color w:val="auto"/>
          <w:sz w:val="24"/>
          <w:highlight w:val="none"/>
          <w:lang w:val="en-US" w:eastAsia="zh-CN"/>
        </w:rPr>
        <w:t>。</w:t>
      </w:r>
    </w:p>
    <w:p>
      <w:pPr>
        <w:adjustRightInd w:val="0"/>
        <w:snapToGrid w:val="0"/>
        <w:spacing w:line="360" w:lineRule="auto"/>
        <w:ind w:firstLine="480" w:firstLineChars="200"/>
        <w:outlineLvl w:val="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w:t>
      </w:r>
      <w:r>
        <w:rPr>
          <w:rFonts w:hint="default" w:ascii="宋体" w:hAnsi="宋体"/>
          <w:color w:val="auto"/>
          <w:sz w:val="24"/>
          <w:highlight w:val="none"/>
          <w:lang w:val="en-US" w:eastAsia="zh-CN"/>
        </w:rPr>
        <w:t>根据甲方需要</w:t>
      </w:r>
      <w:r>
        <w:rPr>
          <w:rFonts w:hint="eastAsia" w:ascii="宋体" w:hAnsi="宋体"/>
          <w:color w:val="auto"/>
          <w:sz w:val="24"/>
          <w:highlight w:val="none"/>
          <w:lang w:val="en-US" w:eastAsia="zh-CN"/>
        </w:rPr>
        <w:t>向中央媒体争取刊发渠道，刊发甲方新闻宣传稿件</w:t>
      </w:r>
      <w:r>
        <w:rPr>
          <w:rFonts w:hint="default" w:ascii="宋体" w:hAnsi="宋体"/>
          <w:color w:val="auto"/>
          <w:sz w:val="24"/>
          <w:highlight w:val="none"/>
          <w:lang w:val="en-US" w:eastAsia="zh-CN"/>
        </w:rPr>
        <w:t>。</w:t>
      </w:r>
    </w:p>
    <w:p>
      <w:pPr>
        <w:adjustRightInd w:val="0"/>
        <w:snapToGrid w:val="0"/>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3 技术要求</w:t>
      </w:r>
    </w:p>
    <w:p>
      <w:pPr>
        <w:numPr>
          <w:ilvl w:val="0"/>
          <w:numId w:val="4"/>
        </w:numPr>
        <w:adjustRightInd w:val="0"/>
        <w:snapToGrid w:val="0"/>
        <w:spacing w:line="360" w:lineRule="auto"/>
        <w:ind w:left="150" w:leftChars="0" w:firstLine="480" w:firstLineChars="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双方签订保密协议，对所掌握的对方信息、资料及本合同具体内容负有保密责任，未经对方允许，不得向第三方泄露相关信息及活动流程。</w:t>
      </w:r>
    </w:p>
    <w:p>
      <w:pPr>
        <w:numPr>
          <w:ilvl w:val="0"/>
          <w:numId w:val="4"/>
        </w:numPr>
        <w:adjustRightInd w:val="0"/>
        <w:snapToGrid w:val="0"/>
        <w:spacing w:line="360" w:lineRule="auto"/>
        <w:ind w:left="150" w:leftChars="0" w:firstLine="480" w:firstLineChars="0"/>
        <w:outlineLvl w:val="0"/>
        <w:rPr>
          <w:rFonts w:hint="default" w:ascii="宋体" w:hAnsi="宋体"/>
          <w:color w:val="auto"/>
          <w:sz w:val="24"/>
          <w:highlight w:val="none"/>
          <w:lang w:val="en-US" w:eastAsia="zh-CN"/>
        </w:rPr>
      </w:pPr>
      <w:r>
        <w:rPr>
          <w:rFonts w:hint="eastAsia" w:ascii="宋体" w:hAnsi="宋体"/>
          <w:color w:val="auto"/>
          <w:sz w:val="24"/>
          <w:highlight w:val="none"/>
          <w:lang w:val="en-US" w:eastAsia="zh-CN"/>
        </w:rPr>
        <w:t>甲方将开展的柳州局新闻宣传重点项目成果提供给乙方，乙方根据中央媒体宣传方向，开展咨询策划工作，乙方收到信息需三个工作日予以答复，并于十个工作日内完成服务。确因客观原因无法及时提供服务，由双方另行协商。</w:t>
      </w:r>
    </w:p>
    <w:p>
      <w:pPr>
        <w:numPr>
          <w:ilvl w:val="0"/>
          <w:numId w:val="4"/>
        </w:numPr>
        <w:adjustRightInd w:val="0"/>
        <w:snapToGrid w:val="0"/>
        <w:spacing w:line="360" w:lineRule="auto"/>
        <w:ind w:left="150" w:leftChars="0" w:firstLine="480" w:firstLineChars="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乙方确保甲方成果能按要求内容、字数在指定中央媒体上刊出。</w:t>
      </w:r>
    </w:p>
    <w:p>
      <w:pPr>
        <w:numPr>
          <w:ilvl w:val="0"/>
          <w:numId w:val="4"/>
        </w:numPr>
        <w:adjustRightInd w:val="0"/>
        <w:snapToGrid w:val="0"/>
        <w:spacing w:line="360" w:lineRule="auto"/>
        <w:ind w:left="150" w:leftChars="0" w:firstLine="480" w:firstLineChars="0"/>
        <w:outlineLvl w:val="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签订合同协议后，由乙方</w:t>
      </w:r>
      <w:r>
        <w:rPr>
          <w:rFonts w:hint="eastAsia" w:ascii="宋体" w:hAnsi="宋体" w:cs="宋体"/>
          <w:color w:val="auto"/>
          <w:sz w:val="24"/>
          <w:szCs w:val="24"/>
          <w:highlight w:val="none"/>
          <w:lang w:val="en-US" w:eastAsia="zh-CN"/>
        </w:rPr>
        <w:t>提供增值税专用发票或其他有效票据给甲方</w:t>
      </w:r>
      <w:r>
        <w:rPr>
          <w:rFonts w:hint="eastAsia" w:ascii="宋体" w:hAnsi="宋体"/>
          <w:color w:val="auto"/>
          <w:sz w:val="24"/>
          <w:szCs w:val="24"/>
          <w:highlight w:val="none"/>
          <w:lang w:val="en-US" w:eastAsia="zh-CN"/>
        </w:rPr>
        <w:t>。刊发成果</w:t>
      </w:r>
      <w:r>
        <w:rPr>
          <w:rFonts w:hint="eastAsia" w:cs="Helvetica"/>
          <w:color w:val="auto"/>
          <w:sz w:val="24"/>
          <w:szCs w:val="24"/>
          <w:lang w:eastAsia="zh-CN"/>
        </w:rPr>
        <w:t>按单次价格、据实结算。</w:t>
      </w:r>
    </w:p>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pP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rPr>
        <w:t>资质要求</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具有独立法人资格</w:t>
            </w:r>
            <w:r>
              <w:rPr>
                <w:rFonts w:hint="eastAsia" w:ascii="宋体" w:hAnsi="宋体"/>
                <w:color w:val="auto"/>
                <w:sz w:val="24"/>
                <w:highlight w:val="none"/>
                <w:lang w:eastAsia="zh-CN"/>
              </w:rPr>
              <w:t>且</w:t>
            </w:r>
            <w:r>
              <w:rPr>
                <w:rFonts w:hint="eastAsia" w:ascii="宋体" w:hAnsi="宋体" w:eastAsia="宋体"/>
                <w:color w:val="auto"/>
                <w:sz w:val="24"/>
                <w:highlight w:val="none"/>
              </w:rPr>
              <w:t>为中华人民共和国境内注册的法人，持有合法有效的企业法人</w:t>
            </w:r>
            <w:r>
              <w:rPr>
                <w:rFonts w:hint="eastAsia" w:ascii="宋体" w:hAnsi="宋体"/>
                <w:color w:val="auto"/>
                <w:sz w:val="24"/>
                <w:highlight w:val="none"/>
                <w:lang w:eastAsia="zh-CN"/>
              </w:rPr>
              <w:t>、社会团体法人</w:t>
            </w:r>
            <w:r>
              <w:rPr>
                <w:rFonts w:hint="eastAsia" w:ascii="宋体" w:hAnsi="宋体" w:eastAsia="宋体"/>
                <w:color w:val="auto"/>
                <w:sz w:val="24"/>
                <w:highlight w:val="none"/>
              </w:rPr>
              <w:t>营业执照、组织机构代码证、税务登记证或有工商行政管理部门核发统一社会信用代码的法人营业执照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.2</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在中国南方电网有限责任公司没有处于限制投标资格的处罚。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.3</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单位负责人为同一人或者存在控股、管理关系的不同单位，不得参加</w:t>
            </w:r>
            <w:r>
              <w:rPr>
                <w:rFonts w:hint="eastAsia" w:ascii="宋体" w:hAnsi="宋体" w:eastAsia="宋体"/>
                <w:color w:val="auto"/>
                <w:sz w:val="24"/>
                <w:highlight w:val="none"/>
                <w:lang w:eastAsia="zh-CN"/>
              </w:rPr>
              <w:t>同一项目报价</w:t>
            </w:r>
            <w:r>
              <w:rPr>
                <w:rFonts w:hint="eastAsia" w:ascii="宋体" w:hAnsi="宋体" w:eastAsia="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4.4</w:t>
            </w:r>
          </w:p>
        </w:tc>
        <w:tc>
          <w:tcPr>
            <w:tcW w:w="6960" w:type="dxa"/>
            <w:vAlign w:val="center"/>
          </w:tcPr>
          <w:p>
            <w:pPr>
              <w:ind w:left="113" w:leftChars="0"/>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具备</w:t>
            </w:r>
            <w:r>
              <w:rPr>
                <w:rFonts w:hint="eastAsia" w:ascii="宋体" w:hAnsi="宋体"/>
                <w:color w:val="auto"/>
                <w:sz w:val="24"/>
                <w:highlight w:val="none"/>
                <w:lang w:val="en-US" w:eastAsia="zh-CN"/>
              </w:rPr>
              <w:t>广告服务</w:t>
            </w:r>
            <w:r>
              <w:rPr>
                <w:rFonts w:hint="eastAsia" w:ascii="宋体" w:hAnsi="宋体" w:eastAsia="宋体"/>
                <w:color w:val="auto"/>
                <w:sz w:val="24"/>
                <w:highlight w:val="none"/>
                <w:lang w:val="en-US" w:eastAsia="zh-CN"/>
              </w:rPr>
              <w:t>等相关</w:t>
            </w:r>
            <w:r>
              <w:rPr>
                <w:rFonts w:hint="eastAsia" w:ascii="宋体" w:hAnsi="宋体"/>
                <w:color w:val="auto"/>
                <w:sz w:val="24"/>
                <w:highlight w:val="none"/>
                <w:lang w:val="en-US" w:eastAsia="zh-CN"/>
              </w:rPr>
              <w:t>经营范围</w:t>
            </w:r>
            <w:r>
              <w:rPr>
                <w:rFonts w:hint="eastAsia" w:ascii="宋体" w:hAnsi="宋体" w:eastAsia="宋体"/>
                <w:color w:val="auto"/>
                <w:sz w:val="24"/>
                <w:highlight w:val="none"/>
                <w:lang w:val="en-US" w:eastAsia="zh-CN"/>
              </w:rPr>
              <w:t>。</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7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80"/>
        <w:gridCol w:w="2749"/>
        <w:gridCol w:w="1894"/>
        <w:gridCol w:w="1088"/>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98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49"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189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（万元）</w:t>
            </w:r>
          </w:p>
        </w:tc>
        <w:tc>
          <w:tcPr>
            <w:tcW w:w="933"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2" w:hRule="atLeast"/>
          <w:jc w:val="center"/>
        </w:trPr>
        <w:tc>
          <w:tcPr>
            <w:tcW w:w="980" w:type="dxa"/>
            <w:tcBorders>
              <w:tl2br w:val="nil"/>
              <w:tr2bl w:val="nil"/>
            </w:tcBorders>
            <w:shd w:val="clear" w:color="auto" w:fill="auto"/>
            <w:vAlign w:val="center"/>
          </w:tcPr>
          <w:p>
            <w:pPr>
              <w:ind w:left="113" w:leftChars="0"/>
              <w:jc w:val="center"/>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2749" w:type="dxa"/>
            <w:tcBorders>
              <w:tl2br w:val="nil"/>
              <w:tr2bl w:val="nil"/>
            </w:tcBorders>
            <w:shd w:val="clear" w:color="auto" w:fill="auto"/>
            <w:vAlign w:val="center"/>
          </w:tcPr>
          <w:p>
            <w:pPr>
              <w:ind w:left="113" w:leftChars="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柳州局2024年新闻宣传重点项目在中央媒体集中宣传报道咨询策划项目</w:t>
            </w:r>
          </w:p>
        </w:tc>
        <w:tc>
          <w:tcPr>
            <w:tcW w:w="1894" w:type="dxa"/>
            <w:tcBorders>
              <w:tl2br w:val="nil"/>
              <w:tr2bl w:val="nil"/>
            </w:tcBorders>
            <w:shd w:val="clear" w:color="auto" w:fill="auto"/>
            <w:vAlign w:val="center"/>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广西柳州市城中区海关路22号</w:t>
            </w:r>
          </w:p>
        </w:tc>
        <w:tc>
          <w:tcPr>
            <w:tcW w:w="1088" w:type="dxa"/>
            <w:tcBorders>
              <w:tl2br w:val="nil"/>
              <w:tr2bl w:val="nil"/>
            </w:tcBorders>
            <w:shd w:val="clear" w:color="auto" w:fill="auto"/>
            <w:vAlign w:val="center"/>
          </w:tcPr>
          <w:p>
            <w:pPr>
              <w:jc w:val="center"/>
              <w:rPr>
                <w:rFonts w:hint="default" w:ascii="宋体" w:hAnsi="宋体" w:eastAsia="宋体"/>
                <w:color w:val="auto"/>
                <w:sz w:val="24"/>
                <w:highlight w:val="none"/>
                <w:lang w:val="en-US" w:eastAsia="zh-CN"/>
              </w:rPr>
            </w:pPr>
          </w:p>
        </w:tc>
        <w:tc>
          <w:tcPr>
            <w:tcW w:w="933" w:type="dxa"/>
            <w:tcBorders>
              <w:tl2br w:val="nil"/>
              <w:tr2bl w:val="nil"/>
            </w:tcBorders>
            <w:shd w:val="clear" w:color="auto" w:fill="auto"/>
            <w:vAlign w:val="center"/>
          </w:tcPr>
          <w:p>
            <w:pPr>
              <w:ind w:left="113" w:leftChars="0"/>
              <w:rPr>
                <w:rFonts w:hint="eastAsia" w:ascii="宋体" w:hAnsi="宋体" w:eastAsia="宋体"/>
                <w:color w:val="auto"/>
                <w:sz w:val="24"/>
                <w:highlight w:val="none"/>
                <w:lang w:eastAsia="zh-CN"/>
              </w:rPr>
            </w:pPr>
          </w:p>
        </w:tc>
      </w:tr>
    </w:tbl>
    <w:p>
      <w:pPr>
        <w:spacing w:line="360" w:lineRule="auto"/>
        <w:ind w:firstLine="482" w:firstLineChars="200"/>
        <w:rPr>
          <w:rFonts w:hint="eastAsia" w:ascii="宋体" w:hAnsi="宋体" w:cs="宋体"/>
          <w:b/>
          <w:bCs/>
          <w:color w:val="auto"/>
          <w:sz w:val="24"/>
          <w:highlight w:val="none"/>
          <w:lang w:eastAsia="zh-CN"/>
        </w:rPr>
      </w:pPr>
      <w:r>
        <w:rPr>
          <w:rFonts w:hint="eastAsia" w:ascii="宋体" w:hAnsi="宋体" w:cs="宋体"/>
          <w:b/>
          <w:bCs/>
          <w:color w:val="auto"/>
          <w:sz w:val="24"/>
          <w:highlight w:val="none"/>
        </w:rPr>
        <w:t>6</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r>
        <w:rPr>
          <w:rFonts w:hint="eastAsia" w:ascii="宋体" w:hAnsi="宋体" w:cs="宋体"/>
          <w:b/>
          <w:bCs/>
          <w:color w:val="auto"/>
          <w:sz w:val="24"/>
          <w:highlight w:val="none"/>
          <w:lang w:eastAsia="zh-CN"/>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提供增值税专用发票或其他有效票据给甲方。</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电子</w:t>
      </w:r>
      <w:r>
        <w:rPr>
          <w:rFonts w:hint="eastAsia" w:ascii="宋体" w:hAnsi="宋体" w:cs="宋体"/>
          <w:color w:val="auto"/>
          <w:sz w:val="24"/>
          <w:highlight w:val="none"/>
        </w:rPr>
        <w:t>报价文件，报价文件包括但不限于：报价表、品质、售后服务及相关资质文件（复印件），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bookmarkEnd w:id="10"/>
    <w:bookmarkEnd w:id="11"/>
    <w:bookmarkEnd w:id="12"/>
    <w:bookmarkEnd w:id="13"/>
    <w:bookmarkEnd w:id="14"/>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outlineLvl w:val="2"/>
        <w:rPr>
          <w:rFonts w:hint="eastAsia" w:ascii="宋体" w:hAnsi="宋体" w:cs="宋体"/>
          <w:color w:val="auto"/>
          <w:sz w:val="21"/>
          <w:szCs w:val="21"/>
          <w:lang w:val="en-US" w:eastAsia="zh-CN"/>
        </w:rPr>
      </w:pPr>
      <w:r>
        <w:rPr>
          <w:rFonts w:hint="eastAsia" w:ascii="宋体" w:hAnsi="宋体" w:cs="宋体"/>
          <w:color w:val="auto"/>
          <w:spacing w:val="-1"/>
          <w:szCs w:val="21"/>
        </w:rPr>
        <w:t>法定代表人</w:t>
      </w:r>
      <w:r>
        <w:rPr>
          <w:rFonts w:hint="eastAsia" w:ascii="宋体" w:hAnsi="宋体" w:cs="宋体"/>
          <w:color w:val="auto"/>
          <w:spacing w:val="-1"/>
          <w:szCs w:val="21"/>
          <w:lang w:eastAsia="zh-CN"/>
        </w:rPr>
        <w:t>（</w:t>
      </w:r>
      <w:r>
        <w:rPr>
          <w:rFonts w:hint="eastAsia" w:ascii="宋体" w:hAnsi="宋体" w:cs="宋体"/>
          <w:color w:val="auto"/>
          <w:spacing w:val="-1"/>
          <w:szCs w:val="21"/>
        </w:rPr>
        <w:t>或其授权代理人</w:t>
      </w:r>
      <w:r>
        <w:rPr>
          <w:rFonts w:hint="eastAsia" w:ascii="宋体" w:hAnsi="宋体" w:cs="宋体"/>
          <w:color w:val="auto"/>
          <w:spacing w:val="-1"/>
          <w:szCs w:val="21"/>
          <w:lang w:eastAsia="zh-CN"/>
        </w:rPr>
        <w:t>）</w:t>
      </w:r>
      <w:r>
        <w:rPr>
          <w:rFonts w:hint="eastAsia" w:ascii="宋体" w:hAnsi="宋体" w:cs="宋体"/>
          <w:color w:val="auto"/>
          <w:spacing w:val="-1"/>
          <w:szCs w:val="21"/>
        </w:rPr>
        <w:t>签字</w:t>
      </w:r>
      <w:r>
        <w:rPr>
          <w:rFonts w:hint="eastAsia" w:ascii="宋体" w:hAnsi="宋体" w:cs="宋体"/>
          <w:color w:val="auto"/>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outlineLvl w:val="2"/>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5"/>
        <w:gridCol w:w="1651"/>
        <w:gridCol w:w="46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1695" w:type="dxa"/>
            <w:noWrap w:val="0"/>
            <w:vAlign w:val="center"/>
          </w:tcPr>
          <w:p>
            <w:pPr>
              <w:pStyle w:val="18"/>
              <w:spacing w:before="156" w:beforeLines="50" w:beforeAutospacing="0" w:after="0" w:afterAutospacing="0"/>
              <w:jc w:val="center"/>
              <w:rPr>
                <w:rFonts w:cs="Helvetica"/>
                <w:color w:val="auto"/>
                <w:sz w:val="21"/>
                <w:szCs w:val="21"/>
              </w:rPr>
            </w:pPr>
            <w:r>
              <w:rPr>
                <w:rFonts w:hint="eastAsia" w:cs="Helvetica"/>
                <w:color w:val="auto"/>
                <w:sz w:val="21"/>
                <w:szCs w:val="21"/>
              </w:rPr>
              <w:t>项目名称</w:t>
            </w:r>
          </w:p>
        </w:tc>
        <w:tc>
          <w:tcPr>
            <w:tcW w:w="1651" w:type="dxa"/>
            <w:noWrap w:val="0"/>
            <w:vAlign w:val="center"/>
          </w:tcPr>
          <w:p>
            <w:pPr>
              <w:pStyle w:val="18"/>
              <w:spacing w:before="156" w:beforeLines="50" w:beforeAutospacing="0" w:after="0" w:afterAutospacing="0"/>
              <w:jc w:val="center"/>
              <w:rPr>
                <w:rFonts w:cs="Helvetica"/>
                <w:color w:val="auto"/>
                <w:sz w:val="21"/>
                <w:szCs w:val="21"/>
              </w:rPr>
            </w:pPr>
            <w:r>
              <w:rPr>
                <w:rFonts w:hint="eastAsia" w:cs="Helvetica"/>
                <w:color w:val="auto"/>
                <w:sz w:val="21"/>
                <w:szCs w:val="21"/>
              </w:rPr>
              <w:t>含税单价</w:t>
            </w:r>
            <w:r>
              <w:rPr>
                <w:rFonts w:hint="eastAsia" w:cs="Helvetica"/>
                <w:color w:val="auto"/>
                <w:sz w:val="21"/>
                <w:szCs w:val="21"/>
                <w:lang w:eastAsia="zh-CN"/>
              </w:rPr>
              <w:t>（元）</w:t>
            </w:r>
          </w:p>
        </w:tc>
        <w:tc>
          <w:tcPr>
            <w:tcW w:w="4664" w:type="dxa"/>
            <w:noWrap w:val="0"/>
            <w:vAlign w:val="center"/>
          </w:tcPr>
          <w:p>
            <w:pPr>
              <w:pStyle w:val="18"/>
              <w:spacing w:before="156" w:beforeLines="50" w:beforeAutospacing="0" w:after="0" w:afterAutospacing="0"/>
              <w:jc w:val="center"/>
              <w:rPr>
                <w:rFonts w:cs="Helvetica"/>
                <w:color w:val="auto"/>
                <w:sz w:val="21"/>
                <w:szCs w:val="21"/>
              </w:rPr>
            </w:pPr>
            <w:r>
              <w:rPr>
                <w:rFonts w:hint="eastAsia" w:cs="Helvetica"/>
                <w:color w:val="auto"/>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1695" w:type="dxa"/>
            <w:noWrap w:val="0"/>
            <w:vAlign w:val="center"/>
          </w:tcPr>
          <w:p>
            <w:pPr>
              <w:pStyle w:val="18"/>
              <w:spacing w:before="156" w:beforeLines="50" w:beforeAutospacing="0" w:after="0" w:afterAutospacing="0"/>
              <w:jc w:val="center"/>
              <w:rPr>
                <w:rFonts w:hint="eastAsia" w:eastAsia="宋体" w:cs="Helvetica"/>
                <w:color w:val="auto"/>
                <w:sz w:val="21"/>
                <w:szCs w:val="21"/>
                <w:lang w:eastAsia="zh-CN"/>
              </w:rPr>
            </w:pPr>
            <w:r>
              <w:rPr>
                <w:rFonts w:hint="eastAsia" w:cs="Helvetica"/>
                <w:color w:val="auto"/>
                <w:sz w:val="21"/>
                <w:szCs w:val="21"/>
                <w:lang w:eastAsia="zh-CN"/>
              </w:rPr>
              <w:t>人民日报、新华社、中央电视台</w:t>
            </w:r>
            <w:r>
              <w:rPr>
                <w:rFonts w:hint="eastAsia" w:cs="Helvetica"/>
                <w:color w:val="auto"/>
                <w:sz w:val="21"/>
                <w:szCs w:val="21"/>
              </w:rPr>
              <w:t>等媒体所属平台</w:t>
            </w:r>
            <w:r>
              <w:rPr>
                <w:rFonts w:hint="eastAsia" w:cs="Helvetica"/>
                <w:color w:val="auto"/>
                <w:sz w:val="21"/>
                <w:szCs w:val="21"/>
                <w:lang w:eastAsia="zh-CN"/>
              </w:rPr>
              <w:t>新闻发布</w:t>
            </w:r>
            <w:r>
              <w:rPr>
                <w:rFonts w:hint="eastAsia" w:cs="Helvetica"/>
                <w:color w:val="auto"/>
                <w:sz w:val="21"/>
                <w:szCs w:val="21"/>
              </w:rPr>
              <w:t>咨询策划</w:t>
            </w:r>
          </w:p>
        </w:tc>
        <w:tc>
          <w:tcPr>
            <w:tcW w:w="1651" w:type="dxa"/>
            <w:noWrap w:val="0"/>
            <w:vAlign w:val="center"/>
          </w:tcPr>
          <w:p>
            <w:pPr>
              <w:pStyle w:val="18"/>
              <w:spacing w:before="156" w:beforeLines="50" w:beforeAutospacing="0" w:after="0" w:afterAutospacing="0"/>
              <w:jc w:val="center"/>
              <w:rPr>
                <w:rFonts w:hint="eastAsia" w:eastAsia="宋体" w:cs="Helvetica"/>
                <w:color w:val="auto"/>
                <w:sz w:val="21"/>
                <w:szCs w:val="21"/>
                <w:lang w:eastAsia="zh-CN"/>
              </w:rPr>
            </w:pPr>
            <w:r>
              <w:rPr>
                <w:rFonts w:cs="Helvetica"/>
                <w:color w:val="auto"/>
                <w:sz w:val="21"/>
                <w:szCs w:val="21"/>
              </w:rPr>
              <w:t xml:space="preserve"> </w:t>
            </w:r>
            <w:r>
              <w:rPr>
                <w:rFonts w:hint="eastAsia" w:cs="Helvetica"/>
                <w:color w:val="auto"/>
                <w:sz w:val="21"/>
                <w:szCs w:val="21"/>
                <w:lang w:val="en-US" w:eastAsia="zh-CN"/>
              </w:rPr>
              <w:t>XX元</w:t>
            </w:r>
            <w:r>
              <w:rPr>
                <w:rFonts w:hint="eastAsia" w:cs="Helvetica"/>
                <w:color w:val="auto"/>
                <w:sz w:val="21"/>
                <w:szCs w:val="21"/>
              </w:rPr>
              <w:t>/</w:t>
            </w:r>
            <w:r>
              <w:rPr>
                <w:rFonts w:hint="eastAsia" w:cs="Helvetica"/>
                <w:color w:val="auto"/>
                <w:sz w:val="21"/>
                <w:szCs w:val="21"/>
                <w:lang w:eastAsia="zh-CN"/>
              </w:rPr>
              <w:t>条次</w:t>
            </w:r>
          </w:p>
        </w:tc>
        <w:tc>
          <w:tcPr>
            <w:tcW w:w="4664" w:type="dxa"/>
            <w:noWrap w:val="0"/>
            <w:vAlign w:val="center"/>
          </w:tcPr>
          <w:p>
            <w:pPr>
              <w:pStyle w:val="18"/>
              <w:spacing w:before="0" w:beforeAutospacing="0" w:after="0" w:afterAutospacing="0" w:line="300" w:lineRule="exact"/>
              <w:jc w:val="both"/>
              <w:rPr>
                <w:rFonts w:hint="default" w:eastAsia="宋体" w:cs="Helvetica"/>
                <w:color w:val="auto"/>
                <w:sz w:val="21"/>
                <w:szCs w:val="21"/>
                <w:lang w:val="en-US" w:eastAsia="zh-CN"/>
              </w:rPr>
            </w:pPr>
            <w:r>
              <w:rPr>
                <w:rFonts w:hint="eastAsia" w:cs="Helvetica"/>
                <w:color w:val="auto"/>
                <w:sz w:val="21"/>
                <w:szCs w:val="21"/>
              </w:rPr>
              <w:t>人民日报、新华社、中央电视台等媒体所属平台</w:t>
            </w:r>
            <w:r>
              <w:rPr>
                <w:rFonts w:hint="eastAsia" w:cs="Helvetica"/>
                <w:color w:val="auto"/>
                <w:sz w:val="21"/>
                <w:szCs w:val="21"/>
                <w:lang w:eastAsia="zh-CN"/>
              </w:rPr>
              <w:t>，包括报纸、网站、新媒体客户端等，报纸主版首发或者主网（首页）首发，篇幅不少于</w:t>
            </w:r>
            <w:r>
              <w:rPr>
                <w:rFonts w:hint="eastAsia" w:cs="Helvetica"/>
                <w:color w:val="auto"/>
                <w:sz w:val="21"/>
                <w:szCs w:val="21"/>
                <w:lang w:val="en-US" w:eastAsia="zh-CN"/>
              </w:rPr>
              <w:t>800字。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1695" w:type="dxa"/>
            <w:noWrap w:val="0"/>
            <w:vAlign w:val="center"/>
          </w:tcPr>
          <w:p>
            <w:pPr>
              <w:pStyle w:val="18"/>
              <w:spacing w:before="156" w:beforeLines="50" w:beforeAutospacing="0" w:after="0" w:afterAutospacing="0"/>
              <w:jc w:val="center"/>
              <w:rPr>
                <w:rFonts w:cs="Helvetica"/>
                <w:color w:val="auto"/>
                <w:sz w:val="21"/>
                <w:szCs w:val="21"/>
              </w:rPr>
            </w:pPr>
            <w:r>
              <w:rPr>
                <w:rFonts w:hint="eastAsia" w:cs="Helvetica"/>
                <w:color w:val="auto"/>
                <w:sz w:val="21"/>
                <w:szCs w:val="21"/>
              </w:rPr>
              <w:t>国际在线、光明日报、经济日报、中国新闻社、中国青年报、工人日报等媒体所属平台新闻发布咨询策划</w:t>
            </w:r>
          </w:p>
        </w:tc>
        <w:tc>
          <w:tcPr>
            <w:tcW w:w="1651" w:type="dxa"/>
            <w:noWrap w:val="0"/>
            <w:vAlign w:val="center"/>
          </w:tcPr>
          <w:p>
            <w:pPr>
              <w:pStyle w:val="18"/>
              <w:spacing w:before="156" w:beforeLines="50" w:beforeAutospacing="0" w:after="0" w:afterAutospacing="0"/>
              <w:jc w:val="center"/>
              <w:rPr>
                <w:rFonts w:cs="Helvetica"/>
                <w:color w:val="auto"/>
                <w:sz w:val="21"/>
                <w:szCs w:val="21"/>
              </w:rPr>
            </w:pPr>
            <w:r>
              <w:rPr>
                <w:rFonts w:cs="Helvetica"/>
                <w:color w:val="auto"/>
                <w:sz w:val="21"/>
                <w:szCs w:val="21"/>
              </w:rPr>
              <w:t xml:space="preserve">  </w:t>
            </w:r>
            <w:r>
              <w:rPr>
                <w:rFonts w:hint="eastAsia" w:cs="Helvetica"/>
                <w:color w:val="auto"/>
                <w:sz w:val="21"/>
                <w:szCs w:val="21"/>
                <w:lang w:val="en-US" w:eastAsia="zh-CN"/>
              </w:rPr>
              <w:t>XX元</w:t>
            </w:r>
            <w:r>
              <w:rPr>
                <w:rFonts w:hint="eastAsia" w:cs="Helvetica"/>
                <w:color w:val="auto"/>
                <w:sz w:val="21"/>
                <w:szCs w:val="21"/>
              </w:rPr>
              <w:t>/</w:t>
            </w:r>
            <w:r>
              <w:rPr>
                <w:rFonts w:hint="eastAsia" w:cs="Helvetica"/>
                <w:color w:val="auto"/>
                <w:sz w:val="21"/>
                <w:szCs w:val="21"/>
                <w:lang w:eastAsia="zh-CN"/>
              </w:rPr>
              <w:t>条次</w:t>
            </w:r>
          </w:p>
        </w:tc>
        <w:tc>
          <w:tcPr>
            <w:tcW w:w="4664" w:type="dxa"/>
            <w:noWrap w:val="0"/>
            <w:vAlign w:val="center"/>
          </w:tcPr>
          <w:p>
            <w:pPr>
              <w:pStyle w:val="18"/>
              <w:spacing w:before="0" w:beforeAutospacing="0" w:after="0" w:afterAutospacing="0"/>
              <w:jc w:val="both"/>
              <w:rPr>
                <w:rFonts w:cs="Helvetica"/>
                <w:color w:val="auto"/>
                <w:sz w:val="21"/>
                <w:szCs w:val="21"/>
              </w:rPr>
            </w:pPr>
            <w:r>
              <w:rPr>
                <w:rFonts w:hint="eastAsia" w:cs="Helvetica"/>
                <w:color w:val="auto"/>
                <w:sz w:val="21"/>
                <w:szCs w:val="21"/>
              </w:rPr>
              <w:t>国际在线、光明日报、经济日报、中国新闻社、中国青年报、工人日报等媒体所属平台，包括报纸、网站、新媒体客户端等，</w:t>
            </w:r>
            <w:r>
              <w:rPr>
                <w:rFonts w:hint="eastAsia" w:cs="Helvetica"/>
                <w:color w:val="auto"/>
                <w:sz w:val="21"/>
                <w:szCs w:val="21"/>
                <w:lang w:eastAsia="zh-CN"/>
              </w:rPr>
              <w:t>报纸主版首发或者主网（首页）首发</w:t>
            </w:r>
            <w:r>
              <w:rPr>
                <w:rFonts w:hint="eastAsia" w:cs="Helvetica"/>
                <w:color w:val="auto"/>
                <w:sz w:val="21"/>
                <w:szCs w:val="21"/>
              </w:rPr>
              <w:t>，篇幅不少于800字。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1695" w:type="dxa"/>
            <w:noWrap w:val="0"/>
            <w:vAlign w:val="center"/>
          </w:tcPr>
          <w:p>
            <w:pPr>
              <w:pStyle w:val="18"/>
              <w:spacing w:before="156" w:beforeLines="50" w:beforeAutospacing="0" w:after="0" w:afterAutospacing="0"/>
              <w:jc w:val="center"/>
              <w:rPr>
                <w:rFonts w:hint="eastAsia" w:eastAsia="宋体" w:cs="Helvetica"/>
                <w:color w:val="auto"/>
                <w:sz w:val="21"/>
                <w:szCs w:val="21"/>
                <w:lang w:eastAsia="zh-CN"/>
              </w:rPr>
            </w:pPr>
            <w:r>
              <w:rPr>
                <w:rFonts w:hint="eastAsia" w:cs="Helvetica"/>
                <w:color w:val="auto"/>
                <w:sz w:val="21"/>
                <w:szCs w:val="21"/>
                <w:lang w:eastAsia="zh-CN"/>
              </w:rPr>
              <w:t>合计</w:t>
            </w:r>
          </w:p>
        </w:tc>
        <w:tc>
          <w:tcPr>
            <w:tcW w:w="1651" w:type="dxa"/>
            <w:noWrap w:val="0"/>
            <w:vAlign w:val="center"/>
          </w:tcPr>
          <w:p>
            <w:pPr>
              <w:pStyle w:val="18"/>
              <w:spacing w:before="156" w:beforeLines="50" w:beforeAutospacing="0" w:after="0" w:afterAutospacing="0"/>
              <w:jc w:val="center"/>
              <w:rPr>
                <w:rFonts w:cs="Helvetica"/>
                <w:color w:val="auto"/>
                <w:sz w:val="21"/>
                <w:szCs w:val="21"/>
              </w:rPr>
            </w:pPr>
          </w:p>
        </w:tc>
        <w:tc>
          <w:tcPr>
            <w:tcW w:w="4664" w:type="dxa"/>
            <w:noWrap w:val="0"/>
            <w:vAlign w:val="center"/>
          </w:tcPr>
          <w:p>
            <w:pPr>
              <w:pStyle w:val="18"/>
              <w:spacing w:before="0" w:beforeAutospacing="0" w:after="0" w:afterAutospacing="0"/>
              <w:jc w:val="both"/>
              <w:rPr>
                <w:rFonts w:hint="default" w:eastAsia="宋体" w:cs="Helvetica"/>
                <w:color w:val="auto"/>
                <w:sz w:val="21"/>
                <w:szCs w:val="21"/>
                <w:lang w:val="en-US" w:eastAsia="zh-CN"/>
              </w:rPr>
            </w:pPr>
            <w:r>
              <w:rPr>
                <w:rFonts w:hint="eastAsia" w:cs="Helvetica"/>
                <w:color w:val="auto"/>
                <w:sz w:val="21"/>
                <w:szCs w:val="21"/>
                <w:lang w:eastAsia="zh-CN"/>
              </w:rPr>
              <w:t>（税率</w:t>
            </w:r>
            <w:r>
              <w:rPr>
                <w:rFonts w:hint="eastAsia" w:cs="Helvetica"/>
                <w:color w:val="auto"/>
                <w:sz w:val="21"/>
                <w:szCs w:val="21"/>
                <w:lang w:val="en-US" w:eastAsia="zh-CN"/>
              </w:rPr>
              <w:t xml:space="preserve">    %）</w:t>
            </w:r>
            <w:bookmarkStart w:id="15" w:name="_GoBack"/>
            <w:bookmarkEnd w:id="15"/>
          </w:p>
        </w:tc>
      </w:tr>
    </w:tbl>
    <w:p>
      <w:pPr>
        <w:spacing w:line="360" w:lineRule="auto"/>
        <w:outlineLvl w:val="2"/>
        <w:rPr>
          <w:rFonts w:ascii="宋体" w:hAnsi="宋体" w:cs="宋体"/>
          <w:color w:val="auto"/>
          <w:szCs w:val="21"/>
        </w:rPr>
      </w:pPr>
      <w:r>
        <w:rPr>
          <w:rFonts w:hint="eastAsia" w:cs="Helvetica"/>
          <w:color w:val="auto"/>
          <w:sz w:val="21"/>
          <w:szCs w:val="21"/>
        </w:rPr>
        <w:t>注：上述价格均为税后价格，实际支付费用根据</w:t>
      </w:r>
      <w:r>
        <w:rPr>
          <w:rFonts w:hint="eastAsia" w:cs="Helvetica"/>
          <w:color w:val="auto"/>
          <w:sz w:val="21"/>
          <w:szCs w:val="21"/>
          <w:lang w:eastAsia="zh-CN"/>
        </w:rPr>
        <w:t>双方核定工作量据实结算</w:t>
      </w:r>
      <w:r>
        <w:rPr>
          <w:rFonts w:hint="eastAsia" w:ascii="宋体" w:hAnsi="宋体" w:cs="宋体"/>
          <w:color w:val="auto"/>
          <w:szCs w:val="21"/>
        </w:rPr>
        <w:t>：</w:t>
      </w:r>
    </w:p>
    <w:p>
      <w:pPr>
        <w:numPr>
          <w:ilvl w:val="0"/>
          <w:numId w:val="5"/>
        </w:numPr>
        <w:spacing w:line="360" w:lineRule="auto"/>
        <w:rPr>
          <w:rFonts w:hint="eastAsia"/>
          <w:color w:val="auto"/>
          <w:lang w:eastAsia="zh-CN"/>
        </w:rPr>
      </w:pPr>
      <w:r>
        <w:rPr>
          <w:rFonts w:hint="eastAsia" w:ascii="宋体" w:hAnsi="宋体" w:cs="宋体"/>
          <w:color w:val="auto"/>
          <w:spacing w:val="-1"/>
          <w:szCs w:val="21"/>
          <w:lang w:eastAsia="zh-CN"/>
        </w:rPr>
        <w:t>将可能产生的需要报价项目需求内容补充列入报价清单进行报价。</w:t>
      </w:r>
    </w:p>
    <w:p>
      <w:pPr>
        <w:spacing w:line="360" w:lineRule="auto"/>
        <w:rPr>
          <w:rFonts w:hint="default" w:ascii="宋体" w:hAnsi="宋体" w:cs="宋体"/>
          <w:color w:val="auto"/>
          <w:spacing w:val="-1"/>
          <w:szCs w:val="21"/>
          <w:lang w:val="en-US" w:eastAsia="zh-CN"/>
        </w:rPr>
      </w:pPr>
      <w:r>
        <w:rPr>
          <w:rFonts w:hint="eastAsia" w:ascii="宋体" w:hAnsi="宋体" w:cs="宋体"/>
          <w:color w:val="auto"/>
          <w:spacing w:val="-1"/>
          <w:szCs w:val="21"/>
          <w:lang w:val="en-US" w:eastAsia="zh-CN"/>
        </w:rPr>
        <w:t>2、分项报价表要求盖公章一并提交。</w:t>
      </w:r>
    </w:p>
    <w:p>
      <w:pPr>
        <w:spacing w:line="360" w:lineRule="auto"/>
        <w:rPr>
          <w:rFonts w:ascii="宋体" w:hAnsi="宋体" w:cs="宋体"/>
          <w:color w:val="auto"/>
          <w:szCs w:val="21"/>
        </w:rPr>
      </w:pPr>
      <w:r>
        <w:rPr>
          <w:rFonts w:hint="eastAsia" w:ascii="宋体" w:hAnsi="宋体" w:cs="宋体"/>
          <w:color w:val="auto"/>
          <w:spacing w:val="-1"/>
          <w:szCs w:val="21"/>
          <w:lang w:val="en-US" w:eastAsia="zh-CN"/>
        </w:rPr>
        <w:t>3、</w:t>
      </w:r>
      <w:r>
        <w:rPr>
          <w:rFonts w:hint="eastAsia" w:ascii="宋体" w:hAnsi="宋体" w:cs="宋体"/>
          <w:color w:val="auto"/>
          <w:spacing w:val="-1"/>
          <w:szCs w:val="21"/>
        </w:rPr>
        <w:t>若单价和总价有差异，以单价为准；</w:t>
      </w:r>
    </w:p>
    <w:p>
      <w:pPr>
        <w:spacing w:line="360" w:lineRule="auto"/>
        <w:rPr>
          <w:rFonts w:hint="eastAsia" w:ascii="宋体" w:hAnsi="宋体" w:cs="宋体"/>
          <w:color w:val="auto"/>
          <w:spacing w:val="-1"/>
          <w:szCs w:val="21"/>
        </w:rPr>
      </w:pPr>
      <w:r>
        <w:rPr>
          <w:rFonts w:hint="eastAsia" w:ascii="宋体" w:hAnsi="宋体" w:cs="宋体"/>
          <w:color w:val="auto"/>
          <w:spacing w:val="-1"/>
          <w:szCs w:val="21"/>
          <w:lang w:val="en-US" w:eastAsia="zh-CN"/>
        </w:rPr>
        <w:t>4</w:t>
      </w:r>
      <w:r>
        <w:rPr>
          <w:rFonts w:hint="eastAsia" w:ascii="宋体" w:hAnsi="宋体" w:cs="宋体"/>
          <w:color w:val="auto"/>
          <w:spacing w:val="-1"/>
          <w:szCs w:val="21"/>
        </w:rPr>
        <w:t>、</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w:t>
      </w:r>
      <w:r>
        <w:rPr>
          <w:rFonts w:hint="eastAsia" w:ascii="宋体" w:hAnsi="宋体" w:cs="宋体"/>
          <w:color w:val="auto"/>
          <w:spacing w:val="-1"/>
          <w:szCs w:val="21"/>
          <w:lang w:eastAsia="zh-CN"/>
        </w:rPr>
        <w:t>咨询费、劳务费、税费、交通费、食宿费等</w:t>
      </w:r>
      <w:r>
        <w:rPr>
          <w:rFonts w:hint="eastAsia" w:ascii="宋体" w:hAnsi="宋体" w:cs="宋体"/>
          <w:color w:val="auto"/>
          <w:spacing w:val="-1"/>
          <w:szCs w:val="21"/>
        </w:rPr>
        <w:t>其他一切费用均已包含在</w:t>
      </w:r>
      <w:r>
        <w:rPr>
          <w:rFonts w:hint="eastAsia" w:ascii="宋体" w:hAnsi="宋体" w:cs="宋体"/>
          <w:color w:val="auto"/>
          <w:spacing w:val="-1"/>
          <w:szCs w:val="21"/>
          <w:lang w:eastAsia="zh-CN"/>
        </w:rPr>
        <w:t>项目单价</w:t>
      </w:r>
      <w:r>
        <w:rPr>
          <w:rFonts w:hint="eastAsia" w:ascii="宋体" w:hAnsi="宋体" w:cs="宋体"/>
          <w:color w:val="auto"/>
          <w:spacing w:val="-1"/>
          <w:szCs w:val="21"/>
        </w:rPr>
        <w:t xml:space="preserve">中；发票应按照分项报价清单分项开具对应符合规定税率的全额增值税专用发票。 </w:t>
      </w:r>
    </w:p>
    <w:p>
      <w:pPr>
        <w:spacing w:line="360" w:lineRule="auto"/>
        <w:jc w:val="center"/>
        <w:outlineLvl w:val="5"/>
        <w:rPr>
          <w:rFonts w:hint="eastAsia"/>
          <w:b/>
          <w:bCs/>
          <w:color w:val="auto"/>
          <w:spacing w:val="14"/>
          <w:kern w:val="0"/>
          <w:sz w:val="28"/>
          <w:szCs w:val="28"/>
          <w:highlight w:val="none"/>
        </w:rPr>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pPr>
    </w:p>
    <w:p>
      <w:pPr>
        <w:tabs>
          <w:tab w:val="left" w:pos="722"/>
          <w:tab w:val="left" w:pos="1323"/>
        </w:tabs>
        <w:spacing w:line="360" w:lineRule="auto"/>
        <w:jc w:val="both"/>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hint="eastAsia" w:ascii="宋体" w:hAnsi="宋体"/>
          <w:bCs/>
          <w:color w:val="auto"/>
          <w:spacing w:val="15"/>
          <w:szCs w:val="21"/>
          <w:highlight w:val="none"/>
        </w:rPr>
      </w:pPr>
    </w:p>
    <w:p>
      <w:pPr>
        <w:spacing w:line="360" w:lineRule="auto"/>
        <w:jc w:val="both"/>
        <w:outlineLvl w:val="5"/>
        <w:rPr>
          <w:rFonts w:hint="default" w:ascii="宋体" w:hAnsi="宋体"/>
          <w:color w:val="auto"/>
          <w:sz w:val="24"/>
          <w:highlight w:val="none"/>
          <w:lang w:val="en-US" w:eastAsia="zh-CN"/>
        </w:rPr>
      </w:pPr>
      <w:r>
        <w:rPr>
          <w:rFonts w:hint="eastAsia" w:ascii="宋体" w:hAnsi="宋体"/>
          <w:bCs/>
          <w:color w:val="auto"/>
          <w:spacing w:val="15"/>
          <w:szCs w:val="21"/>
          <w:highlight w:val="none"/>
          <w:lang w:val="en-US" w:eastAsia="zh-CN"/>
        </w:rPr>
        <w:t>.</w:t>
      </w: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 xml:space="preserve">10 </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 xml:space="preserve">10 </w:t>
                    </w:r>
                    <w:r>
                      <w:rPr>
                        <w:rFonts w:hint="eastAsia"/>
                        <w:lang w:eastAsia="zh-CN"/>
                      </w:rPr>
                      <w:t>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IQM13c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4BBB6F"/>
    <w:multiLevelType w:val="singleLevel"/>
    <w:tmpl w:val="9E4BBB6F"/>
    <w:lvl w:ilvl="0" w:tentative="0">
      <w:start w:val="1"/>
      <w:numFmt w:val="decimal"/>
      <w:suff w:val="nothing"/>
      <w:lvlText w:val="（%1）"/>
      <w:lvlJc w:val="left"/>
      <w:pPr>
        <w:ind w:left="150"/>
      </w:pPr>
    </w:lvl>
  </w:abstractNum>
  <w:abstractNum w:abstractNumId="1">
    <w:nsid w:val="D9881E49"/>
    <w:multiLevelType w:val="singleLevel"/>
    <w:tmpl w:val="D9881E49"/>
    <w:lvl w:ilvl="0" w:tentative="0">
      <w:start w:val="1"/>
      <w:numFmt w:val="decimal"/>
      <w:suff w:val="nothing"/>
      <w:lvlText w:val="（%1）"/>
      <w:lvlJc w:val="left"/>
    </w:lvl>
  </w:abstractNum>
  <w:abstractNum w:abstractNumId="2">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3">
    <w:nsid w:val="47C7A73E"/>
    <w:multiLevelType w:val="singleLevel"/>
    <w:tmpl w:val="47C7A73E"/>
    <w:lvl w:ilvl="0" w:tentative="0">
      <w:start w:val="1"/>
      <w:numFmt w:val="decimal"/>
      <w:suff w:val="nothing"/>
      <w:lvlText w:val="%1、"/>
      <w:lvlJc w:val="left"/>
    </w:lvl>
  </w:abstractNum>
  <w:abstractNum w:abstractNumId="4">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1313F"/>
    <w:rsid w:val="00365916"/>
    <w:rsid w:val="003E3323"/>
    <w:rsid w:val="004913D8"/>
    <w:rsid w:val="004938A7"/>
    <w:rsid w:val="0060730C"/>
    <w:rsid w:val="00610134"/>
    <w:rsid w:val="00611AAA"/>
    <w:rsid w:val="00630461"/>
    <w:rsid w:val="006A222E"/>
    <w:rsid w:val="00700C0C"/>
    <w:rsid w:val="008152AD"/>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A668E"/>
    <w:rsid w:val="00DB2F76"/>
    <w:rsid w:val="00DE3D98"/>
    <w:rsid w:val="00EC56DD"/>
    <w:rsid w:val="00F04019"/>
    <w:rsid w:val="00FE4E68"/>
    <w:rsid w:val="01A40F8A"/>
    <w:rsid w:val="01D36C84"/>
    <w:rsid w:val="024502E0"/>
    <w:rsid w:val="02E84E1B"/>
    <w:rsid w:val="039A1E76"/>
    <w:rsid w:val="04501704"/>
    <w:rsid w:val="046B4A83"/>
    <w:rsid w:val="04934E34"/>
    <w:rsid w:val="04CA6BD2"/>
    <w:rsid w:val="052862F1"/>
    <w:rsid w:val="05611101"/>
    <w:rsid w:val="0567246A"/>
    <w:rsid w:val="059852A9"/>
    <w:rsid w:val="05B67AF4"/>
    <w:rsid w:val="05CD2719"/>
    <w:rsid w:val="05F41940"/>
    <w:rsid w:val="05F96DC2"/>
    <w:rsid w:val="060804A0"/>
    <w:rsid w:val="060F4BD6"/>
    <w:rsid w:val="063A05B8"/>
    <w:rsid w:val="064A46A9"/>
    <w:rsid w:val="066B5C60"/>
    <w:rsid w:val="06910EC7"/>
    <w:rsid w:val="06AB0929"/>
    <w:rsid w:val="06BB5C3E"/>
    <w:rsid w:val="070A0B6B"/>
    <w:rsid w:val="07961E4E"/>
    <w:rsid w:val="079973BB"/>
    <w:rsid w:val="083F160A"/>
    <w:rsid w:val="084E5E98"/>
    <w:rsid w:val="08B379B6"/>
    <w:rsid w:val="08B76F6B"/>
    <w:rsid w:val="08B81A68"/>
    <w:rsid w:val="08BF6823"/>
    <w:rsid w:val="08CE0A86"/>
    <w:rsid w:val="08D01A69"/>
    <w:rsid w:val="092B66C0"/>
    <w:rsid w:val="095B0EE9"/>
    <w:rsid w:val="09B91536"/>
    <w:rsid w:val="09BD193B"/>
    <w:rsid w:val="0A07485D"/>
    <w:rsid w:val="0A5C68BB"/>
    <w:rsid w:val="0A726C5D"/>
    <w:rsid w:val="0A911DA6"/>
    <w:rsid w:val="0A9C5575"/>
    <w:rsid w:val="0AB60694"/>
    <w:rsid w:val="0B3145BB"/>
    <w:rsid w:val="0B5308D4"/>
    <w:rsid w:val="0B62608C"/>
    <w:rsid w:val="0BF7440E"/>
    <w:rsid w:val="0C183058"/>
    <w:rsid w:val="0C4F2381"/>
    <w:rsid w:val="0C863536"/>
    <w:rsid w:val="0C8849AD"/>
    <w:rsid w:val="0C95712B"/>
    <w:rsid w:val="0C9E193A"/>
    <w:rsid w:val="0CBD44D5"/>
    <w:rsid w:val="0CC4072B"/>
    <w:rsid w:val="0CF24637"/>
    <w:rsid w:val="0CFD0263"/>
    <w:rsid w:val="0DF517DA"/>
    <w:rsid w:val="0E2B54C7"/>
    <w:rsid w:val="0E8F38EB"/>
    <w:rsid w:val="0E900B1A"/>
    <w:rsid w:val="0F7B2D38"/>
    <w:rsid w:val="0FAE4C8B"/>
    <w:rsid w:val="0FC67B08"/>
    <w:rsid w:val="0FCE5ABC"/>
    <w:rsid w:val="0FE5532B"/>
    <w:rsid w:val="0FF27226"/>
    <w:rsid w:val="10090346"/>
    <w:rsid w:val="100E20E9"/>
    <w:rsid w:val="10181260"/>
    <w:rsid w:val="1065783F"/>
    <w:rsid w:val="108F47AF"/>
    <w:rsid w:val="109C7D56"/>
    <w:rsid w:val="10D43D9F"/>
    <w:rsid w:val="11260E5C"/>
    <w:rsid w:val="11325498"/>
    <w:rsid w:val="11665734"/>
    <w:rsid w:val="11727245"/>
    <w:rsid w:val="11797585"/>
    <w:rsid w:val="11C13F63"/>
    <w:rsid w:val="11C4398B"/>
    <w:rsid w:val="11DD40A3"/>
    <w:rsid w:val="11E73C88"/>
    <w:rsid w:val="124B085A"/>
    <w:rsid w:val="127C43FA"/>
    <w:rsid w:val="12E542C2"/>
    <w:rsid w:val="13252F62"/>
    <w:rsid w:val="13340E23"/>
    <w:rsid w:val="13674243"/>
    <w:rsid w:val="1376193B"/>
    <w:rsid w:val="13AF2A62"/>
    <w:rsid w:val="13CB09FE"/>
    <w:rsid w:val="140C0FD2"/>
    <w:rsid w:val="140E14EE"/>
    <w:rsid w:val="14A53C48"/>
    <w:rsid w:val="14C13416"/>
    <w:rsid w:val="14DA7C3C"/>
    <w:rsid w:val="15031A58"/>
    <w:rsid w:val="15043F04"/>
    <w:rsid w:val="15045A5F"/>
    <w:rsid w:val="15127864"/>
    <w:rsid w:val="153E2707"/>
    <w:rsid w:val="155E747D"/>
    <w:rsid w:val="15CE0DB9"/>
    <w:rsid w:val="161F112E"/>
    <w:rsid w:val="163D0A11"/>
    <w:rsid w:val="167C353B"/>
    <w:rsid w:val="16A076A8"/>
    <w:rsid w:val="16E17FD7"/>
    <w:rsid w:val="16E87BF3"/>
    <w:rsid w:val="17087877"/>
    <w:rsid w:val="170F3531"/>
    <w:rsid w:val="17192215"/>
    <w:rsid w:val="17292A78"/>
    <w:rsid w:val="178D1DDC"/>
    <w:rsid w:val="17E61BBF"/>
    <w:rsid w:val="17F90724"/>
    <w:rsid w:val="18377B1D"/>
    <w:rsid w:val="18733303"/>
    <w:rsid w:val="187E67B4"/>
    <w:rsid w:val="188E7C69"/>
    <w:rsid w:val="18C10B6A"/>
    <w:rsid w:val="18DB7358"/>
    <w:rsid w:val="18DC7149"/>
    <w:rsid w:val="18E65311"/>
    <w:rsid w:val="19775419"/>
    <w:rsid w:val="197E0408"/>
    <w:rsid w:val="1B0A4145"/>
    <w:rsid w:val="1B7A6B81"/>
    <w:rsid w:val="1C27355C"/>
    <w:rsid w:val="1C3C4358"/>
    <w:rsid w:val="1C601D9D"/>
    <w:rsid w:val="1C9B0B55"/>
    <w:rsid w:val="1D7651D8"/>
    <w:rsid w:val="1D792C9F"/>
    <w:rsid w:val="1E0A47EB"/>
    <w:rsid w:val="1E41056E"/>
    <w:rsid w:val="1E425E07"/>
    <w:rsid w:val="1E616B96"/>
    <w:rsid w:val="1E7E7FBD"/>
    <w:rsid w:val="1E902A6F"/>
    <w:rsid w:val="1EA91661"/>
    <w:rsid w:val="1ED95875"/>
    <w:rsid w:val="1EF814B6"/>
    <w:rsid w:val="1FB61E73"/>
    <w:rsid w:val="1FC82897"/>
    <w:rsid w:val="1FEA2DF0"/>
    <w:rsid w:val="200E0CED"/>
    <w:rsid w:val="202A5DF5"/>
    <w:rsid w:val="205639A3"/>
    <w:rsid w:val="205C6FC7"/>
    <w:rsid w:val="207A4B27"/>
    <w:rsid w:val="20C2474B"/>
    <w:rsid w:val="20DE7F97"/>
    <w:rsid w:val="21086AC5"/>
    <w:rsid w:val="211153F3"/>
    <w:rsid w:val="21164180"/>
    <w:rsid w:val="213F6240"/>
    <w:rsid w:val="21D11228"/>
    <w:rsid w:val="21D65FA3"/>
    <w:rsid w:val="21EA76D2"/>
    <w:rsid w:val="22410CA3"/>
    <w:rsid w:val="22620528"/>
    <w:rsid w:val="230D5F83"/>
    <w:rsid w:val="231435E3"/>
    <w:rsid w:val="23292C3D"/>
    <w:rsid w:val="2404685B"/>
    <w:rsid w:val="24147F02"/>
    <w:rsid w:val="242C1836"/>
    <w:rsid w:val="24DA55B7"/>
    <w:rsid w:val="26B143E9"/>
    <w:rsid w:val="26C64B0B"/>
    <w:rsid w:val="26CF68D5"/>
    <w:rsid w:val="26D06059"/>
    <w:rsid w:val="27981887"/>
    <w:rsid w:val="27F77F60"/>
    <w:rsid w:val="28867377"/>
    <w:rsid w:val="289663AC"/>
    <w:rsid w:val="291D3964"/>
    <w:rsid w:val="29216BCF"/>
    <w:rsid w:val="2937763A"/>
    <w:rsid w:val="29676B56"/>
    <w:rsid w:val="298B6166"/>
    <w:rsid w:val="29D439C5"/>
    <w:rsid w:val="29F6505D"/>
    <w:rsid w:val="29F71DCE"/>
    <w:rsid w:val="2A5D4013"/>
    <w:rsid w:val="2A73216B"/>
    <w:rsid w:val="2AE728D8"/>
    <w:rsid w:val="2B3E6D0C"/>
    <w:rsid w:val="2B6D7540"/>
    <w:rsid w:val="2B9932D9"/>
    <w:rsid w:val="2BB6604C"/>
    <w:rsid w:val="2BE314FB"/>
    <w:rsid w:val="2BE76C7E"/>
    <w:rsid w:val="2C4634F8"/>
    <w:rsid w:val="2C8A7F2A"/>
    <w:rsid w:val="2CA351F8"/>
    <w:rsid w:val="2CC35EC2"/>
    <w:rsid w:val="2CDE5006"/>
    <w:rsid w:val="2CE0294C"/>
    <w:rsid w:val="2D511445"/>
    <w:rsid w:val="2DDB37E6"/>
    <w:rsid w:val="2E0A0EFD"/>
    <w:rsid w:val="2E315C6D"/>
    <w:rsid w:val="2E7C1C5E"/>
    <w:rsid w:val="2E9D0FDA"/>
    <w:rsid w:val="2EE60F29"/>
    <w:rsid w:val="2F393534"/>
    <w:rsid w:val="2F3C75DF"/>
    <w:rsid w:val="2F4D7950"/>
    <w:rsid w:val="2F4D7F13"/>
    <w:rsid w:val="2F5C0B8A"/>
    <w:rsid w:val="2FD21CB1"/>
    <w:rsid w:val="2FF676AB"/>
    <w:rsid w:val="300924A8"/>
    <w:rsid w:val="306A2F25"/>
    <w:rsid w:val="30786DD9"/>
    <w:rsid w:val="30B351BB"/>
    <w:rsid w:val="30C42C66"/>
    <w:rsid w:val="30D83BD1"/>
    <w:rsid w:val="30D91360"/>
    <w:rsid w:val="3116556A"/>
    <w:rsid w:val="31403EEE"/>
    <w:rsid w:val="314C4B41"/>
    <w:rsid w:val="3161392D"/>
    <w:rsid w:val="31AC615A"/>
    <w:rsid w:val="31F1799F"/>
    <w:rsid w:val="3297578F"/>
    <w:rsid w:val="32AC098F"/>
    <w:rsid w:val="32D624B2"/>
    <w:rsid w:val="32FA0298"/>
    <w:rsid w:val="32FC2794"/>
    <w:rsid w:val="3327180B"/>
    <w:rsid w:val="33591408"/>
    <w:rsid w:val="33895C29"/>
    <w:rsid w:val="338E2CB9"/>
    <w:rsid w:val="33AE5DBB"/>
    <w:rsid w:val="33C43ECF"/>
    <w:rsid w:val="33D4600A"/>
    <w:rsid w:val="33E33E76"/>
    <w:rsid w:val="34485725"/>
    <w:rsid w:val="344C3454"/>
    <w:rsid w:val="346C1865"/>
    <w:rsid w:val="349730C3"/>
    <w:rsid w:val="34FB1B75"/>
    <w:rsid w:val="350967C7"/>
    <w:rsid w:val="35A54830"/>
    <w:rsid w:val="35E26F61"/>
    <w:rsid w:val="365259A0"/>
    <w:rsid w:val="36A93D34"/>
    <w:rsid w:val="36BF4C53"/>
    <w:rsid w:val="36C4459F"/>
    <w:rsid w:val="36CA6E36"/>
    <w:rsid w:val="36CA7098"/>
    <w:rsid w:val="36CE7125"/>
    <w:rsid w:val="36DD06B5"/>
    <w:rsid w:val="36E305D4"/>
    <w:rsid w:val="37674086"/>
    <w:rsid w:val="38107BBE"/>
    <w:rsid w:val="38180E0D"/>
    <w:rsid w:val="38365BCF"/>
    <w:rsid w:val="383A560B"/>
    <w:rsid w:val="38592D41"/>
    <w:rsid w:val="38723B01"/>
    <w:rsid w:val="38B17DB0"/>
    <w:rsid w:val="38B67085"/>
    <w:rsid w:val="391E59B1"/>
    <w:rsid w:val="393307F8"/>
    <w:rsid w:val="39345BEF"/>
    <w:rsid w:val="394907B2"/>
    <w:rsid w:val="399E5A8D"/>
    <w:rsid w:val="39FD6A6D"/>
    <w:rsid w:val="3A5E70E9"/>
    <w:rsid w:val="3A6C425E"/>
    <w:rsid w:val="3A6D0EF8"/>
    <w:rsid w:val="3A7115CF"/>
    <w:rsid w:val="3A762EA6"/>
    <w:rsid w:val="3AA05EBB"/>
    <w:rsid w:val="3AE871ED"/>
    <w:rsid w:val="3B166795"/>
    <w:rsid w:val="3B3A4A72"/>
    <w:rsid w:val="3B426DFA"/>
    <w:rsid w:val="3BFC35AD"/>
    <w:rsid w:val="3C0C0FD1"/>
    <w:rsid w:val="3C0D22F1"/>
    <w:rsid w:val="3C4F3894"/>
    <w:rsid w:val="3CBF09C5"/>
    <w:rsid w:val="3CC9255C"/>
    <w:rsid w:val="3CFD0D4E"/>
    <w:rsid w:val="3CFD24F4"/>
    <w:rsid w:val="3D8012EC"/>
    <w:rsid w:val="3D932ECE"/>
    <w:rsid w:val="3DF002EE"/>
    <w:rsid w:val="3DF6298B"/>
    <w:rsid w:val="3E032F55"/>
    <w:rsid w:val="3E195AFB"/>
    <w:rsid w:val="3E581ADE"/>
    <w:rsid w:val="3E5A5D0F"/>
    <w:rsid w:val="3E87338E"/>
    <w:rsid w:val="3ED75761"/>
    <w:rsid w:val="3EE60069"/>
    <w:rsid w:val="3F037F80"/>
    <w:rsid w:val="3F536354"/>
    <w:rsid w:val="3F5D7C25"/>
    <w:rsid w:val="3F6E7356"/>
    <w:rsid w:val="3F8E2D81"/>
    <w:rsid w:val="3FA920FA"/>
    <w:rsid w:val="403C4F60"/>
    <w:rsid w:val="40711ECD"/>
    <w:rsid w:val="40A873D0"/>
    <w:rsid w:val="40CE4481"/>
    <w:rsid w:val="41044933"/>
    <w:rsid w:val="410473F5"/>
    <w:rsid w:val="413226AC"/>
    <w:rsid w:val="41A951B9"/>
    <w:rsid w:val="41B119C8"/>
    <w:rsid w:val="41B64242"/>
    <w:rsid w:val="41D654DF"/>
    <w:rsid w:val="41D930E9"/>
    <w:rsid w:val="420172F8"/>
    <w:rsid w:val="4214444F"/>
    <w:rsid w:val="42332763"/>
    <w:rsid w:val="4264419B"/>
    <w:rsid w:val="428178ED"/>
    <w:rsid w:val="429645A5"/>
    <w:rsid w:val="42EB23F3"/>
    <w:rsid w:val="43284883"/>
    <w:rsid w:val="437F3C55"/>
    <w:rsid w:val="43982080"/>
    <w:rsid w:val="43A625A7"/>
    <w:rsid w:val="43CB3B9E"/>
    <w:rsid w:val="43DB7C71"/>
    <w:rsid w:val="4412053F"/>
    <w:rsid w:val="44265C90"/>
    <w:rsid w:val="443E1922"/>
    <w:rsid w:val="445544D0"/>
    <w:rsid w:val="44741832"/>
    <w:rsid w:val="44883556"/>
    <w:rsid w:val="44942CE1"/>
    <w:rsid w:val="453B2BB3"/>
    <w:rsid w:val="4553205D"/>
    <w:rsid w:val="4566672F"/>
    <w:rsid w:val="45671B81"/>
    <w:rsid w:val="4597553F"/>
    <w:rsid w:val="45B96669"/>
    <w:rsid w:val="45DD6DD6"/>
    <w:rsid w:val="466F62E3"/>
    <w:rsid w:val="46B251D5"/>
    <w:rsid w:val="46D75F15"/>
    <w:rsid w:val="46DB1D55"/>
    <w:rsid w:val="46E2076F"/>
    <w:rsid w:val="47794EC5"/>
    <w:rsid w:val="47873FED"/>
    <w:rsid w:val="478A5985"/>
    <w:rsid w:val="47D5260D"/>
    <w:rsid w:val="48077665"/>
    <w:rsid w:val="484E0CAF"/>
    <w:rsid w:val="485A7764"/>
    <w:rsid w:val="48697707"/>
    <w:rsid w:val="487D34CE"/>
    <w:rsid w:val="48812C6D"/>
    <w:rsid w:val="48F0604E"/>
    <w:rsid w:val="48FA0CCE"/>
    <w:rsid w:val="49391FF2"/>
    <w:rsid w:val="49665844"/>
    <w:rsid w:val="497E67FC"/>
    <w:rsid w:val="49AB3619"/>
    <w:rsid w:val="49E83BBF"/>
    <w:rsid w:val="49FA4AA8"/>
    <w:rsid w:val="4A340908"/>
    <w:rsid w:val="4A654689"/>
    <w:rsid w:val="4A8955BD"/>
    <w:rsid w:val="4AC61286"/>
    <w:rsid w:val="4ADC3BE9"/>
    <w:rsid w:val="4AE23D9C"/>
    <w:rsid w:val="4AFB712A"/>
    <w:rsid w:val="4B3F2937"/>
    <w:rsid w:val="4B4F6FEE"/>
    <w:rsid w:val="4B722F98"/>
    <w:rsid w:val="4B791C20"/>
    <w:rsid w:val="4BBF5204"/>
    <w:rsid w:val="4BC022D7"/>
    <w:rsid w:val="4BDA732C"/>
    <w:rsid w:val="4C4840C6"/>
    <w:rsid w:val="4C747C00"/>
    <w:rsid w:val="4CAE23D4"/>
    <w:rsid w:val="4CF16EBB"/>
    <w:rsid w:val="4CF27A3F"/>
    <w:rsid w:val="4D952847"/>
    <w:rsid w:val="4D9A6D61"/>
    <w:rsid w:val="4DD62762"/>
    <w:rsid w:val="4E111E7F"/>
    <w:rsid w:val="4E1F0A8F"/>
    <w:rsid w:val="4E9B72CC"/>
    <w:rsid w:val="4EAA6760"/>
    <w:rsid w:val="4EFE4BD1"/>
    <w:rsid w:val="4FB44EC5"/>
    <w:rsid w:val="4FC91CA8"/>
    <w:rsid w:val="4FF36AD1"/>
    <w:rsid w:val="503B6ED8"/>
    <w:rsid w:val="506E60D9"/>
    <w:rsid w:val="50A32F8F"/>
    <w:rsid w:val="50E312B5"/>
    <w:rsid w:val="50F4209B"/>
    <w:rsid w:val="51002EA3"/>
    <w:rsid w:val="519E2D4E"/>
    <w:rsid w:val="51AD24D9"/>
    <w:rsid w:val="51B306F8"/>
    <w:rsid w:val="51D17917"/>
    <w:rsid w:val="524A2CF8"/>
    <w:rsid w:val="52687F21"/>
    <w:rsid w:val="52910845"/>
    <w:rsid w:val="53646DCD"/>
    <w:rsid w:val="53753667"/>
    <w:rsid w:val="53932D81"/>
    <w:rsid w:val="539D4641"/>
    <w:rsid w:val="53A37439"/>
    <w:rsid w:val="53AB1337"/>
    <w:rsid w:val="53C6338B"/>
    <w:rsid w:val="53EF0B3B"/>
    <w:rsid w:val="54507861"/>
    <w:rsid w:val="547919F2"/>
    <w:rsid w:val="54FC1BBE"/>
    <w:rsid w:val="550E459E"/>
    <w:rsid w:val="553F47A0"/>
    <w:rsid w:val="554561C6"/>
    <w:rsid w:val="555108DF"/>
    <w:rsid w:val="556D634A"/>
    <w:rsid w:val="55AE0DFF"/>
    <w:rsid w:val="55F857FB"/>
    <w:rsid w:val="560C77A6"/>
    <w:rsid w:val="56927883"/>
    <w:rsid w:val="569D378C"/>
    <w:rsid w:val="56AB6EAC"/>
    <w:rsid w:val="56F56768"/>
    <w:rsid w:val="56F85075"/>
    <w:rsid w:val="571C15EB"/>
    <w:rsid w:val="585D55F4"/>
    <w:rsid w:val="586520B4"/>
    <w:rsid w:val="58734628"/>
    <w:rsid w:val="58BF6DBC"/>
    <w:rsid w:val="59180576"/>
    <w:rsid w:val="59703A3B"/>
    <w:rsid w:val="598F0310"/>
    <w:rsid w:val="59B4187B"/>
    <w:rsid w:val="59FD2825"/>
    <w:rsid w:val="5A0B5058"/>
    <w:rsid w:val="5A3958EE"/>
    <w:rsid w:val="5A671707"/>
    <w:rsid w:val="5A881682"/>
    <w:rsid w:val="5AA64F5F"/>
    <w:rsid w:val="5AB73055"/>
    <w:rsid w:val="5B1F26BA"/>
    <w:rsid w:val="5B316EB3"/>
    <w:rsid w:val="5B406DD0"/>
    <w:rsid w:val="5B4162F2"/>
    <w:rsid w:val="5B6B1990"/>
    <w:rsid w:val="5B6E2B3B"/>
    <w:rsid w:val="5C270F1D"/>
    <w:rsid w:val="5C8F3336"/>
    <w:rsid w:val="5C927AE0"/>
    <w:rsid w:val="5CC0247A"/>
    <w:rsid w:val="5CCB0BB7"/>
    <w:rsid w:val="5CDA582D"/>
    <w:rsid w:val="5CDE243B"/>
    <w:rsid w:val="5CE428FE"/>
    <w:rsid w:val="5D337748"/>
    <w:rsid w:val="5D5D0257"/>
    <w:rsid w:val="5D754213"/>
    <w:rsid w:val="5D837E1D"/>
    <w:rsid w:val="5D870AB5"/>
    <w:rsid w:val="5D9F1CC6"/>
    <w:rsid w:val="5DAF4A90"/>
    <w:rsid w:val="5DDF1B33"/>
    <w:rsid w:val="5E102188"/>
    <w:rsid w:val="5EA6472F"/>
    <w:rsid w:val="5EBF7956"/>
    <w:rsid w:val="5EC22C27"/>
    <w:rsid w:val="5EEB46FC"/>
    <w:rsid w:val="5F041F5F"/>
    <w:rsid w:val="5F1337E9"/>
    <w:rsid w:val="5F3F6973"/>
    <w:rsid w:val="5F416011"/>
    <w:rsid w:val="5FA75912"/>
    <w:rsid w:val="5FE45DE0"/>
    <w:rsid w:val="5FE5141B"/>
    <w:rsid w:val="606B0E8A"/>
    <w:rsid w:val="609C7FFB"/>
    <w:rsid w:val="60A00C6F"/>
    <w:rsid w:val="60D85E8A"/>
    <w:rsid w:val="60E908AD"/>
    <w:rsid w:val="60F21B9F"/>
    <w:rsid w:val="60F821F8"/>
    <w:rsid w:val="610322DC"/>
    <w:rsid w:val="611B379B"/>
    <w:rsid w:val="612E6E2A"/>
    <w:rsid w:val="61604458"/>
    <w:rsid w:val="61677961"/>
    <w:rsid w:val="61787BA7"/>
    <w:rsid w:val="61C92810"/>
    <w:rsid w:val="624B36C0"/>
    <w:rsid w:val="62FE7930"/>
    <w:rsid w:val="6315604E"/>
    <w:rsid w:val="6390711D"/>
    <w:rsid w:val="63FA5F73"/>
    <w:rsid w:val="644A2166"/>
    <w:rsid w:val="649E42DB"/>
    <w:rsid w:val="64B43802"/>
    <w:rsid w:val="64BE7804"/>
    <w:rsid w:val="64BF73BD"/>
    <w:rsid w:val="64F54A79"/>
    <w:rsid w:val="65037CE8"/>
    <w:rsid w:val="651821A3"/>
    <w:rsid w:val="65186C66"/>
    <w:rsid w:val="651B7FB1"/>
    <w:rsid w:val="652C0601"/>
    <w:rsid w:val="652D0705"/>
    <w:rsid w:val="653210C2"/>
    <w:rsid w:val="653257CF"/>
    <w:rsid w:val="65676159"/>
    <w:rsid w:val="65894FA7"/>
    <w:rsid w:val="65E26DFB"/>
    <w:rsid w:val="65EF3B0C"/>
    <w:rsid w:val="661E6E30"/>
    <w:rsid w:val="6660376B"/>
    <w:rsid w:val="66740FA8"/>
    <w:rsid w:val="668A2A03"/>
    <w:rsid w:val="670B0B64"/>
    <w:rsid w:val="6720474D"/>
    <w:rsid w:val="67522015"/>
    <w:rsid w:val="67C65F33"/>
    <w:rsid w:val="6877638B"/>
    <w:rsid w:val="687810E1"/>
    <w:rsid w:val="68915229"/>
    <w:rsid w:val="689A17C4"/>
    <w:rsid w:val="68A54F48"/>
    <w:rsid w:val="68BD7C5B"/>
    <w:rsid w:val="690B57BB"/>
    <w:rsid w:val="693718D7"/>
    <w:rsid w:val="69683C95"/>
    <w:rsid w:val="696A0C22"/>
    <w:rsid w:val="697D6879"/>
    <w:rsid w:val="69801D62"/>
    <w:rsid w:val="69AB4FCF"/>
    <w:rsid w:val="69AB7271"/>
    <w:rsid w:val="69B27FF1"/>
    <w:rsid w:val="69E824E7"/>
    <w:rsid w:val="6A0D6FEC"/>
    <w:rsid w:val="6A5B058F"/>
    <w:rsid w:val="6AFB15BD"/>
    <w:rsid w:val="6B0C7C6D"/>
    <w:rsid w:val="6B115C6F"/>
    <w:rsid w:val="6B7C5A6E"/>
    <w:rsid w:val="6B8B15B7"/>
    <w:rsid w:val="6BA04A3E"/>
    <w:rsid w:val="6C042199"/>
    <w:rsid w:val="6C2F1675"/>
    <w:rsid w:val="6C4A1BC7"/>
    <w:rsid w:val="6C4B5B21"/>
    <w:rsid w:val="6CBC1226"/>
    <w:rsid w:val="6CE15D0F"/>
    <w:rsid w:val="6CE861D4"/>
    <w:rsid w:val="6CFC63A0"/>
    <w:rsid w:val="6D08659C"/>
    <w:rsid w:val="6D0D4F00"/>
    <w:rsid w:val="6D52528A"/>
    <w:rsid w:val="6D9165AA"/>
    <w:rsid w:val="6DDB10B7"/>
    <w:rsid w:val="6E445058"/>
    <w:rsid w:val="6E6F0C30"/>
    <w:rsid w:val="6E6F41E6"/>
    <w:rsid w:val="6E865A0B"/>
    <w:rsid w:val="6E97074D"/>
    <w:rsid w:val="6ECB5AFA"/>
    <w:rsid w:val="6EE637DD"/>
    <w:rsid w:val="6F0B0E46"/>
    <w:rsid w:val="6F2A656C"/>
    <w:rsid w:val="6F4D7433"/>
    <w:rsid w:val="6F9159A1"/>
    <w:rsid w:val="6FBF340D"/>
    <w:rsid w:val="6FCA5AEE"/>
    <w:rsid w:val="6FD035AF"/>
    <w:rsid w:val="6FE96964"/>
    <w:rsid w:val="70255170"/>
    <w:rsid w:val="708764A4"/>
    <w:rsid w:val="70966945"/>
    <w:rsid w:val="70BD39FA"/>
    <w:rsid w:val="70D46D82"/>
    <w:rsid w:val="71462673"/>
    <w:rsid w:val="715C3088"/>
    <w:rsid w:val="718267C6"/>
    <w:rsid w:val="71CC0B94"/>
    <w:rsid w:val="71E115B3"/>
    <w:rsid w:val="720D5CE9"/>
    <w:rsid w:val="724E3782"/>
    <w:rsid w:val="72902DA7"/>
    <w:rsid w:val="72A57890"/>
    <w:rsid w:val="72AD55AD"/>
    <w:rsid w:val="73401DD2"/>
    <w:rsid w:val="73673268"/>
    <w:rsid w:val="73B54DDE"/>
    <w:rsid w:val="74255F70"/>
    <w:rsid w:val="743F2AD2"/>
    <w:rsid w:val="7470173A"/>
    <w:rsid w:val="747651D8"/>
    <w:rsid w:val="74A37D7F"/>
    <w:rsid w:val="74CB497C"/>
    <w:rsid w:val="74E000DA"/>
    <w:rsid w:val="75F82604"/>
    <w:rsid w:val="76301283"/>
    <w:rsid w:val="7636519D"/>
    <w:rsid w:val="76492211"/>
    <w:rsid w:val="764F12F9"/>
    <w:rsid w:val="767874E3"/>
    <w:rsid w:val="768024F8"/>
    <w:rsid w:val="76D7556C"/>
    <w:rsid w:val="770B6106"/>
    <w:rsid w:val="77187B21"/>
    <w:rsid w:val="774B1B00"/>
    <w:rsid w:val="775725A0"/>
    <w:rsid w:val="777A2A82"/>
    <w:rsid w:val="779E011F"/>
    <w:rsid w:val="78D70170"/>
    <w:rsid w:val="78E92493"/>
    <w:rsid w:val="78FE2CC9"/>
    <w:rsid w:val="79123E17"/>
    <w:rsid w:val="791952BB"/>
    <w:rsid w:val="791C4225"/>
    <w:rsid w:val="792B04A4"/>
    <w:rsid w:val="79387F53"/>
    <w:rsid w:val="7A31432B"/>
    <w:rsid w:val="7A7D2F58"/>
    <w:rsid w:val="7AE925C7"/>
    <w:rsid w:val="7AFC4ACA"/>
    <w:rsid w:val="7B327A78"/>
    <w:rsid w:val="7B50712A"/>
    <w:rsid w:val="7B5E147A"/>
    <w:rsid w:val="7B6A0DA3"/>
    <w:rsid w:val="7B7C539E"/>
    <w:rsid w:val="7B7D2E36"/>
    <w:rsid w:val="7C142488"/>
    <w:rsid w:val="7C2D6B7E"/>
    <w:rsid w:val="7C94167F"/>
    <w:rsid w:val="7CE413CD"/>
    <w:rsid w:val="7D104923"/>
    <w:rsid w:val="7D3F0B58"/>
    <w:rsid w:val="7D580C1E"/>
    <w:rsid w:val="7DB76D14"/>
    <w:rsid w:val="7DFD3F6E"/>
    <w:rsid w:val="7E030CC7"/>
    <w:rsid w:val="7E3338B7"/>
    <w:rsid w:val="7EFB0050"/>
    <w:rsid w:val="7EFB4C6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7">
    <w:name w:val="Normal Indent"/>
    <w:basedOn w:val="1"/>
    <w:unhideWhenUsed/>
    <w:qFormat/>
    <w:uiPriority w:val="99"/>
    <w:pPr>
      <w:ind w:firstLine="420" w:firstLineChars="200"/>
    </w:pPr>
    <w:rPr>
      <w:kern w:val="0"/>
      <w:sz w:val="20"/>
    </w:rPr>
  </w:style>
  <w:style w:type="paragraph" w:styleId="8">
    <w:name w:val="Document Map"/>
    <w:basedOn w:val="1"/>
    <w:link w:val="53"/>
    <w:unhideWhenUsed/>
    <w:qFormat/>
    <w:uiPriority w:val="99"/>
    <w:rPr>
      <w:rFonts w:ascii="宋体"/>
      <w:sz w:val="18"/>
      <w:szCs w:val="18"/>
    </w:rPr>
  </w:style>
  <w:style w:type="paragraph" w:styleId="9">
    <w:name w:val="annotation text"/>
    <w:basedOn w:val="1"/>
    <w:semiHidden/>
    <w:unhideWhenUsed/>
    <w:qFormat/>
    <w:uiPriority w:val="99"/>
    <w:pPr>
      <w:jc w:val="left"/>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6"/>
    <w:qFormat/>
    <w:uiPriority w:val="99"/>
    <w:rPr>
      <w:rFonts w:ascii="宋体" w:hAnsi="Courier New" w:eastAsiaTheme="minorEastAsia" w:cstheme="minorBidi"/>
    </w:rPr>
  </w:style>
  <w:style w:type="paragraph" w:styleId="12">
    <w:name w:val="Balloon Text"/>
    <w:basedOn w:val="1"/>
    <w:link w:val="41"/>
    <w:qFormat/>
    <w:uiPriority w:val="0"/>
    <w:rPr>
      <w:rFonts w:asciiTheme="minorHAnsi" w:hAnsiTheme="minorHAnsi" w:cstheme="minorBidi"/>
      <w:sz w:val="18"/>
      <w:szCs w:val="18"/>
    </w:rPr>
  </w:style>
  <w:style w:type="paragraph" w:styleId="13">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5">
    <w:name w:val="toc 1"/>
    <w:basedOn w:val="1"/>
    <w:next w:val="1"/>
    <w:qFormat/>
    <w:uiPriority w:val="39"/>
    <w:pPr>
      <w:spacing w:beforeLines="50" w:line="360" w:lineRule="auto"/>
    </w:pPr>
    <w:rPr>
      <w:rFonts w:eastAsia="黑体"/>
    </w:rPr>
  </w:style>
  <w:style w:type="paragraph" w:styleId="16">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link w:val="28"/>
    <w:qFormat/>
    <w:uiPriority w:val="0"/>
    <w:pPr>
      <w:spacing w:before="240" w:after="60"/>
      <w:jc w:val="center"/>
      <w:outlineLvl w:val="0"/>
    </w:pPr>
    <w:rPr>
      <w:rFonts w:ascii="Arial" w:hAnsi="Arial" w:cs="Arial" w:eastAsiaTheme="minorEastAsia"/>
      <w:b/>
      <w:bCs/>
      <w:sz w:val="32"/>
      <w:szCs w:val="32"/>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1"/>
    <w:qFormat/>
    <w:uiPriority w:val="0"/>
    <w:rPr>
      <w:rFonts w:ascii="宋体" w:hAnsi="Courier New"/>
      <w:szCs w:val="24"/>
    </w:rPr>
  </w:style>
  <w:style w:type="character" w:customStyle="1" w:styleId="27">
    <w:name w:val="页脚 字符"/>
    <w:link w:val="13"/>
    <w:qFormat/>
    <w:uiPriority w:val="99"/>
    <w:rPr>
      <w:rFonts w:eastAsia="宋体"/>
      <w:sz w:val="18"/>
      <w:szCs w:val="18"/>
    </w:rPr>
  </w:style>
  <w:style w:type="character" w:customStyle="1" w:styleId="28">
    <w:name w:val="标题 字符"/>
    <w:link w:val="19"/>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4"/>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3"/>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4"/>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5"/>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2"/>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9"/>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8"/>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1</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00033380_cgy</cp:lastModifiedBy>
  <cp:lastPrinted>2021-04-23T02:05:00Z</cp:lastPrinted>
  <dcterms:modified xsi:type="dcterms:W3CDTF">2024-05-28T02:54:08Z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70A0985B71B344A693F1F5C3F1D398E3</vt:lpwstr>
  </property>
</Properties>
</file>