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numPr>
          <w:ilvl w:val="0"/>
          <w:numId w:val="0"/>
        </w:numPr>
        <w:jc w:val="center"/>
        <w:rPr>
          <w:rFonts w:hint="default"/>
          <w:lang w:val="en-US" w:eastAsia="zh-CN"/>
        </w:rPr>
      </w:pPr>
      <w:bookmarkStart w:id="0" w:name="_Toc441159752"/>
      <w:bookmarkEnd w:id="0"/>
      <w:r>
        <w:rPr>
          <w:rFonts w:hint="eastAsia"/>
          <w:lang w:val="en-US" w:eastAsia="zh-CN"/>
        </w:rPr>
        <w:t>云南电力试验研究院（集团）有限公司</w:t>
      </w:r>
      <w:r>
        <w:rPr>
          <w:rFonts w:hint="eastAsia"/>
          <w:lang w:val="en-US" w:eastAsia="zh-CN"/>
        </w:rPr>
        <w:br w:type="textWrapping"/>
      </w:r>
      <w:r>
        <w:rPr>
          <w:rFonts w:hint="eastAsia"/>
          <w:lang w:val="en-US" w:eastAsia="zh-CN"/>
        </w:rPr>
        <w:t>2024年客户用企业版电子邮箱租赁服务</w:t>
      </w:r>
      <w:r>
        <w:rPr>
          <w:rFonts w:hint="eastAsia"/>
          <w:lang w:val="en-US" w:eastAsia="zh-CN"/>
        </w:rPr>
        <w:br w:type="textWrapping"/>
      </w:r>
      <w:r>
        <w:rPr>
          <w:rFonts w:hint="eastAsia"/>
          <w:lang w:val="en-US" w:eastAsia="zh-CN"/>
        </w:rPr>
        <w:t>零星采购项目技术规范书</w:t>
      </w:r>
    </w:p>
    <w:p>
      <w:pPr>
        <w:spacing w:line="360" w:lineRule="auto"/>
        <w:rPr>
          <w:rFonts w:ascii="仿宋" w:hAnsi="仿宋" w:eastAsia="仿宋" w:cs="仿宋"/>
          <w:b/>
          <w:bCs/>
          <w:szCs w:val="21"/>
        </w:rPr>
      </w:pPr>
      <w:r>
        <w:rPr>
          <w:rFonts w:hint="eastAsia" w:ascii="仿宋" w:hAnsi="仿宋" w:eastAsia="仿宋" w:cs="仿宋"/>
          <w:b/>
          <w:bCs/>
          <w:szCs w:val="21"/>
        </w:rPr>
        <w:t>1.项目内容</w:t>
      </w:r>
    </w:p>
    <w:p>
      <w:pPr>
        <w:spacing w:line="360" w:lineRule="auto"/>
        <w:ind w:firstLine="420" w:firstLineChars="200"/>
        <w:rPr>
          <w:rFonts w:ascii="仿宋" w:hAnsi="仿宋" w:eastAsia="仿宋" w:cs="仿宋"/>
          <w:szCs w:val="21"/>
        </w:rPr>
      </w:pPr>
      <w:r>
        <w:rPr>
          <w:rFonts w:hint="eastAsia" w:ascii="仿宋" w:hAnsi="仿宋" w:eastAsia="仿宋" w:cs="仿宋"/>
          <w:szCs w:val="21"/>
        </w:rPr>
        <w:t>一直以来，试验研究院（集团）公司每年租赁企业版电子邮箱，在其中为各个长期合作的较为固定的客户开通了各自的电子邮箱账号，每周将新增的技术报告电子版发送到各个客户的电子邮箱账号。现上一年的租赁周期即将结束，需要采购2024年客户用企业版电子邮箱租赁服务，为期1年。</w:t>
      </w:r>
    </w:p>
    <w:p>
      <w:pPr>
        <w:numPr>
          <w:ilvl w:val="0"/>
          <w:numId w:val="1"/>
        </w:numPr>
        <w:spacing w:line="360" w:lineRule="auto"/>
        <w:rPr>
          <w:rFonts w:ascii="仿宋" w:hAnsi="仿宋" w:eastAsia="仿宋" w:cs="仿宋"/>
          <w:b/>
          <w:bCs/>
          <w:szCs w:val="21"/>
        </w:rPr>
      </w:pPr>
      <w:r>
        <w:rPr>
          <w:rFonts w:hint="eastAsia" w:ascii="仿宋" w:hAnsi="仿宋" w:eastAsia="仿宋" w:cs="仿宋"/>
          <w:b/>
          <w:bCs/>
          <w:szCs w:val="21"/>
        </w:rPr>
        <w:t>项目技术参数</w:t>
      </w:r>
    </w:p>
    <w:p>
      <w:pPr>
        <w:numPr>
          <w:ilvl w:val="0"/>
          <w:numId w:val="2"/>
        </w:numPr>
        <w:spacing w:line="360" w:lineRule="auto"/>
        <w:rPr>
          <w:rFonts w:ascii="仿宋" w:hAnsi="仿宋" w:eastAsia="仿宋" w:cs="仿宋"/>
          <w:color w:val="auto"/>
          <w:szCs w:val="21"/>
        </w:rPr>
      </w:pPr>
      <w:r>
        <w:rPr>
          <w:rFonts w:hint="eastAsia" w:ascii="仿宋" w:hAnsi="仿宋" w:eastAsia="仿宋" w:cs="仿宋"/>
          <w:color w:val="auto"/>
          <w:szCs w:val="21"/>
        </w:rPr>
        <w:t>企业版电子邮箱服务</w:t>
      </w:r>
      <w:r>
        <w:rPr>
          <w:rFonts w:hint="eastAsia" w:ascii="仿宋" w:hAnsi="仿宋" w:eastAsia="仿宋" w:cs="仿宋"/>
          <w:color w:val="auto"/>
          <w:szCs w:val="21"/>
          <w:lang w:eastAsia="zh-CN"/>
        </w:rPr>
        <w:t>。</w:t>
      </w:r>
    </w:p>
    <w:p>
      <w:pPr>
        <w:numPr>
          <w:ilvl w:val="0"/>
          <w:numId w:val="2"/>
        </w:numPr>
        <w:spacing w:line="360" w:lineRule="auto"/>
        <w:rPr>
          <w:rFonts w:ascii="仿宋" w:hAnsi="仿宋" w:eastAsia="仿宋" w:cs="仿宋"/>
          <w:color w:val="auto"/>
          <w:szCs w:val="21"/>
        </w:rPr>
      </w:pPr>
      <w:r>
        <w:rPr>
          <w:rFonts w:hint="eastAsia" w:ascii="仿宋" w:hAnsi="仿宋" w:eastAsia="仿宋" w:cs="仿宋"/>
          <w:color w:val="auto"/>
          <w:szCs w:val="21"/>
        </w:rPr>
        <w:t>电子邮箱</w:t>
      </w:r>
      <w:r>
        <w:rPr>
          <w:rFonts w:hint="eastAsia" w:ascii="仿宋" w:hAnsi="仿宋" w:eastAsia="仿宋" w:cs="仿宋"/>
          <w:color w:val="auto"/>
          <w:szCs w:val="21"/>
          <w:lang w:val="en-US" w:eastAsia="zh-CN"/>
        </w:rPr>
        <w:t>存储容量不限。</w:t>
      </w:r>
      <w:bookmarkStart w:id="1" w:name="_GoBack"/>
      <w:bookmarkEnd w:id="1"/>
    </w:p>
    <w:p>
      <w:pPr>
        <w:pStyle w:val="15"/>
        <w:numPr>
          <w:ilvl w:val="0"/>
          <w:numId w:val="2"/>
        </w:numPr>
        <w:ind w:firstLineChars="0"/>
        <w:rPr>
          <w:rFonts w:hint="eastAsia" w:ascii="仿宋" w:hAnsi="仿宋" w:eastAsia="仿宋" w:cs="仿宋"/>
          <w:color w:val="auto"/>
          <w:szCs w:val="21"/>
        </w:rPr>
      </w:pPr>
      <w:r>
        <w:rPr>
          <w:rFonts w:hint="eastAsia" w:ascii="仿宋" w:hAnsi="仿宋" w:eastAsia="仿宋" w:cs="仿宋"/>
          <w:color w:val="auto"/>
          <w:szCs w:val="21"/>
        </w:rPr>
        <w:t>需提供原厂</w:t>
      </w:r>
      <w:r>
        <w:rPr>
          <w:rFonts w:ascii="仿宋" w:hAnsi="仿宋" w:eastAsia="仿宋" w:cs="仿宋"/>
          <w:color w:val="auto"/>
          <w:szCs w:val="21"/>
        </w:rPr>
        <w:t>1</w:t>
      </w:r>
      <w:r>
        <w:rPr>
          <w:rFonts w:hint="eastAsia" w:ascii="仿宋" w:hAnsi="仿宋" w:eastAsia="仿宋" w:cs="仿宋"/>
          <w:color w:val="auto"/>
          <w:szCs w:val="21"/>
        </w:rPr>
        <w:t>人7*24小时</w:t>
      </w:r>
      <w:r>
        <w:rPr>
          <w:rFonts w:hint="eastAsia" w:ascii="仿宋" w:hAnsi="仿宋" w:eastAsia="仿宋" w:cs="仿宋"/>
          <w:color w:val="auto"/>
          <w:szCs w:val="21"/>
          <w:lang w:val="en-US" w:eastAsia="zh-CN"/>
        </w:rPr>
        <w:t>的</w:t>
      </w:r>
      <w:r>
        <w:rPr>
          <w:rFonts w:hint="eastAsia" w:ascii="仿宋" w:hAnsi="仿宋" w:eastAsia="仿宋" w:cs="仿宋"/>
          <w:color w:val="auto"/>
          <w:szCs w:val="21"/>
        </w:rPr>
        <w:t>服务</w:t>
      </w:r>
      <w:r>
        <w:rPr>
          <w:rFonts w:hint="eastAsia" w:ascii="仿宋" w:hAnsi="仿宋" w:eastAsia="仿宋" w:cs="仿宋"/>
          <w:color w:val="auto"/>
          <w:szCs w:val="21"/>
          <w:lang w:eastAsia="zh-CN"/>
        </w:rPr>
        <w:t>。</w:t>
      </w:r>
    </w:p>
    <w:p>
      <w:pPr>
        <w:numPr>
          <w:ilvl w:val="0"/>
          <w:numId w:val="2"/>
        </w:numPr>
        <w:spacing w:line="360" w:lineRule="auto"/>
        <w:rPr>
          <w:rFonts w:hint="eastAsia" w:ascii="仿宋" w:hAnsi="仿宋" w:eastAsia="仿宋" w:cs="仿宋"/>
          <w:color w:val="auto"/>
          <w:szCs w:val="21"/>
        </w:rPr>
      </w:pPr>
      <w:r>
        <w:rPr>
          <w:rFonts w:hint="eastAsia" w:ascii="仿宋" w:hAnsi="仿宋" w:eastAsia="仿宋" w:cs="仿宋"/>
          <w:color w:val="auto"/>
          <w:szCs w:val="21"/>
        </w:rPr>
        <w:t>提供域名服务：yepri.com.cn</w:t>
      </w:r>
    </w:p>
    <w:p>
      <w:pPr>
        <w:pStyle w:val="9"/>
        <w:spacing w:line="360" w:lineRule="auto"/>
        <w:ind w:left="0" w:leftChars="0" w:firstLine="0" w:firstLineChars="0"/>
        <w:rPr>
          <w:rFonts w:ascii="仿宋" w:hAnsi="仿宋" w:eastAsia="仿宋" w:cs="仿宋"/>
          <w:b/>
          <w:bCs/>
          <w:szCs w:val="21"/>
        </w:rPr>
      </w:pPr>
      <w:r>
        <w:rPr>
          <w:rFonts w:hint="eastAsia" w:ascii="仿宋" w:hAnsi="仿宋" w:eastAsia="仿宋" w:cs="仿宋"/>
          <w:b/>
          <w:bCs/>
          <w:szCs w:val="21"/>
        </w:rPr>
        <w:t>3.租赁服务期限</w:t>
      </w:r>
    </w:p>
    <w:p>
      <w:pPr>
        <w:spacing w:line="360" w:lineRule="auto"/>
        <w:ind w:firstLine="420" w:firstLineChars="200"/>
        <w:rPr>
          <w:rFonts w:ascii="仿宋" w:hAnsi="仿宋" w:eastAsia="仿宋" w:cs="仿宋"/>
          <w:szCs w:val="21"/>
        </w:rPr>
      </w:pPr>
      <w:r>
        <w:rPr>
          <w:rFonts w:hint="eastAsia" w:ascii="仿宋" w:hAnsi="仿宋" w:eastAsia="仿宋" w:cs="仿宋"/>
          <w:szCs w:val="21"/>
        </w:rPr>
        <w:t>服务期限：202</w:t>
      </w:r>
      <w:r>
        <w:rPr>
          <w:rFonts w:hint="eastAsia" w:ascii="仿宋" w:hAnsi="仿宋" w:eastAsia="仿宋" w:cs="仿宋"/>
          <w:szCs w:val="21"/>
          <w:lang w:val="en-US" w:eastAsia="zh-CN"/>
        </w:rPr>
        <w:t>4</w:t>
      </w:r>
      <w:r>
        <w:rPr>
          <w:rFonts w:hint="eastAsia" w:ascii="仿宋" w:hAnsi="仿宋" w:eastAsia="仿宋" w:cs="仿宋"/>
          <w:szCs w:val="21"/>
        </w:rPr>
        <w:t>年6月7日-202</w:t>
      </w:r>
      <w:r>
        <w:rPr>
          <w:rFonts w:hint="eastAsia" w:ascii="仿宋" w:hAnsi="仿宋" w:eastAsia="仿宋" w:cs="仿宋"/>
          <w:szCs w:val="21"/>
          <w:lang w:val="en-US" w:eastAsia="zh-CN"/>
        </w:rPr>
        <w:t>5</w:t>
      </w:r>
      <w:r>
        <w:rPr>
          <w:rFonts w:hint="eastAsia" w:ascii="仿宋" w:hAnsi="仿宋" w:eastAsia="仿宋" w:cs="仿宋"/>
          <w:szCs w:val="21"/>
        </w:rPr>
        <w:t>年6月6日。</w:t>
      </w:r>
    </w:p>
    <w:p>
      <w:pPr>
        <w:widowControl/>
        <w:adjustRightInd w:val="0"/>
        <w:snapToGrid w:val="0"/>
        <w:spacing w:line="360" w:lineRule="auto"/>
        <w:jc w:val="left"/>
        <w:rPr>
          <w:rFonts w:ascii="仿宋" w:hAnsi="仿宋" w:eastAsia="仿宋" w:cs="仿宋"/>
          <w:b/>
          <w:bCs/>
          <w:kern w:val="0"/>
          <w:szCs w:val="21"/>
        </w:rPr>
      </w:pPr>
      <w:r>
        <w:rPr>
          <w:rFonts w:hint="eastAsia" w:ascii="仿宋" w:hAnsi="仿宋" w:eastAsia="仿宋" w:cs="仿宋"/>
          <w:b/>
          <w:bCs/>
          <w:kern w:val="0"/>
          <w:szCs w:val="21"/>
        </w:rPr>
        <w:t>4.售后服务承诺</w:t>
      </w:r>
    </w:p>
    <w:p>
      <w:pPr>
        <w:spacing w:line="360" w:lineRule="auto"/>
        <w:ind w:firstLine="420" w:firstLineChars="200"/>
        <w:rPr>
          <w:rFonts w:hint="eastAsia" w:ascii="仿宋" w:hAnsi="仿宋" w:eastAsia="仿宋" w:cs="仿宋"/>
          <w:szCs w:val="21"/>
        </w:rPr>
      </w:pPr>
      <w:r>
        <w:rPr>
          <w:rFonts w:hint="eastAsia" w:ascii="仿宋" w:hAnsi="仿宋" w:eastAsia="仿宋" w:cs="仿宋"/>
          <w:szCs w:val="21"/>
        </w:rPr>
        <w:t>如果电子邮箱服务在使用过程中出现了问题，受托方在接到通知后的4小时内答复，在8小时内处理问题。</w:t>
      </w:r>
    </w:p>
    <w:p>
      <w:pPr>
        <w:widowControl/>
        <w:adjustRightInd w:val="0"/>
        <w:snapToGrid w:val="0"/>
        <w:spacing w:line="360" w:lineRule="auto"/>
        <w:jc w:val="left"/>
        <w:rPr>
          <w:rFonts w:hint="eastAsia" w:ascii="仿宋" w:hAnsi="仿宋" w:eastAsia="仿宋" w:cs="仿宋"/>
          <w:b/>
          <w:bCs/>
          <w:kern w:val="0"/>
          <w:szCs w:val="21"/>
          <w:lang w:val="en-US" w:eastAsia="zh-CN"/>
        </w:rPr>
      </w:pPr>
      <w:r>
        <w:rPr>
          <w:rFonts w:hint="eastAsia" w:ascii="仿宋" w:hAnsi="仿宋" w:eastAsia="仿宋" w:cs="仿宋"/>
          <w:b/>
          <w:bCs/>
          <w:kern w:val="0"/>
          <w:szCs w:val="21"/>
        </w:rPr>
        <w:t>5.受托方</w:t>
      </w:r>
      <w:r>
        <w:rPr>
          <w:rFonts w:hint="eastAsia" w:ascii="仿宋" w:hAnsi="仿宋" w:eastAsia="仿宋" w:cs="仿宋"/>
          <w:b/>
          <w:bCs/>
          <w:kern w:val="0"/>
          <w:szCs w:val="21"/>
          <w:lang w:val="en-US" w:eastAsia="zh-CN"/>
        </w:rPr>
        <w:t>的资格要求</w:t>
      </w:r>
    </w:p>
    <w:tbl>
      <w:tblPr>
        <w:tblStyle w:val="11"/>
        <w:tblW w:w="78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72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9" w:hRule="atLeast"/>
          <w:jc w:val="center"/>
        </w:trPr>
        <w:tc>
          <w:tcPr>
            <w:tcW w:w="686"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kern w:val="0"/>
                <w:szCs w:val="21"/>
              </w:rPr>
            </w:pPr>
            <w:r>
              <w:rPr>
                <w:rFonts w:ascii="仿宋" w:hAnsi="仿宋" w:eastAsia="仿宋" w:cs="仿宋"/>
                <w:kern w:val="0"/>
                <w:szCs w:val="21"/>
              </w:rPr>
              <w:t>5</w:t>
            </w:r>
            <w:r>
              <w:rPr>
                <w:rFonts w:hint="eastAsia" w:ascii="仿宋" w:hAnsi="仿宋" w:eastAsia="仿宋" w:cs="仿宋"/>
                <w:kern w:val="0"/>
                <w:szCs w:val="21"/>
              </w:rPr>
              <w:t>.1</w:t>
            </w:r>
          </w:p>
        </w:tc>
        <w:tc>
          <w:tcPr>
            <w:tcW w:w="7208"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hint="eastAsia" w:ascii="仿宋" w:hAnsi="仿宋" w:eastAsia="仿宋" w:cs="仿宋"/>
                <w:kern w:val="0"/>
                <w:szCs w:val="21"/>
              </w:rPr>
            </w:pPr>
            <w:r>
              <w:rPr>
                <w:rFonts w:hint="eastAsia" w:ascii="仿宋" w:hAnsi="仿宋" w:eastAsia="仿宋" w:cs="仿宋"/>
                <w:kern w:val="0"/>
                <w:szCs w:val="21"/>
              </w:rPr>
              <w:t>具备以下条件之一：</w:t>
            </w:r>
          </w:p>
          <w:p>
            <w:pPr>
              <w:numPr>
                <w:ilvl w:val="0"/>
                <w:numId w:val="3"/>
              </w:numPr>
              <w:adjustRightInd w:val="0"/>
              <w:snapToGrid w:val="0"/>
              <w:ind w:left="425" w:leftChars="0" w:hanging="425" w:firstLineChars="0"/>
              <w:rPr>
                <w:rFonts w:hint="eastAsia" w:ascii="仿宋" w:hAnsi="仿宋" w:eastAsia="仿宋" w:cs="仿宋"/>
                <w:kern w:val="0"/>
                <w:szCs w:val="21"/>
              </w:rPr>
            </w:pPr>
            <w:r>
              <w:rPr>
                <w:rFonts w:hint="eastAsia" w:ascii="仿宋" w:hAnsi="仿宋" w:eastAsia="仿宋" w:cs="仿宋"/>
                <w:kern w:val="0"/>
                <w:szCs w:val="21"/>
              </w:rPr>
              <w:t>具有独立法人资格且为中华人民共和国境内注册的法人，持有合法有效的企业法人营业执照、组织机构代码证、税务登记证或有工商行政管理部门核发统一社会信用代码的企业法人营业执照；</w:t>
            </w:r>
          </w:p>
          <w:p>
            <w:pPr>
              <w:numPr>
                <w:ilvl w:val="0"/>
                <w:numId w:val="3"/>
              </w:numPr>
              <w:adjustRightInd w:val="0"/>
              <w:snapToGrid w:val="0"/>
              <w:ind w:left="425" w:leftChars="0" w:hanging="425" w:firstLineChars="0"/>
              <w:rPr>
                <w:rFonts w:hint="eastAsia" w:ascii="仿宋" w:hAnsi="仿宋" w:eastAsia="仿宋" w:cs="仿宋"/>
                <w:kern w:val="0"/>
                <w:szCs w:val="21"/>
              </w:rPr>
            </w:pPr>
            <w:r>
              <w:rPr>
                <w:rFonts w:hint="eastAsia" w:ascii="仿宋" w:hAnsi="仿宋" w:eastAsia="仿宋" w:cs="仿宋"/>
                <w:kern w:val="0"/>
                <w:szCs w:val="21"/>
              </w:rPr>
              <w:t>具有独立承担民事责任能力的事业单位或其他组织；</w:t>
            </w:r>
          </w:p>
          <w:p>
            <w:pPr>
              <w:numPr>
                <w:ilvl w:val="0"/>
                <w:numId w:val="3"/>
              </w:numPr>
              <w:adjustRightInd w:val="0"/>
              <w:snapToGrid w:val="0"/>
              <w:ind w:left="425" w:leftChars="0" w:hanging="425" w:firstLineChars="0"/>
              <w:rPr>
                <w:rFonts w:hint="eastAsia" w:ascii="仿宋" w:hAnsi="仿宋" w:eastAsia="仿宋" w:cs="仿宋"/>
                <w:kern w:val="0"/>
                <w:szCs w:val="21"/>
              </w:rPr>
            </w:pPr>
            <w:r>
              <w:rPr>
                <w:rFonts w:hint="eastAsia" w:ascii="仿宋" w:hAnsi="仿宋" w:eastAsia="仿宋" w:cs="仿宋"/>
                <w:kern w:val="0"/>
                <w:szCs w:val="21"/>
              </w:rPr>
              <w:t>个体经营户。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686"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kern w:val="0"/>
                <w:szCs w:val="21"/>
              </w:rPr>
            </w:pPr>
            <w:r>
              <w:rPr>
                <w:rFonts w:ascii="仿宋" w:hAnsi="仿宋" w:eastAsia="仿宋" w:cs="仿宋"/>
                <w:kern w:val="0"/>
                <w:szCs w:val="21"/>
              </w:rPr>
              <w:t>5</w:t>
            </w:r>
            <w:r>
              <w:rPr>
                <w:rFonts w:hint="eastAsia" w:ascii="仿宋" w:hAnsi="仿宋" w:eastAsia="仿宋" w:cs="仿宋"/>
                <w:kern w:val="0"/>
                <w:szCs w:val="21"/>
              </w:rPr>
              <w:t>.2</w:t>
            </w:r>
          </w:p>
        </w:tc>
        <w:tc>
          <w:tcPr>
            <w:tcW w:w="7208"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hint="eastAsia" w:ascii="仿宋" w:hAnsi="仿宋" w:eastAsia="仿宋" w:cs="仿宋"/>
                <w:kern w:val="0"/>
                <w:szCs w:val="21"/>
              </w:rPr>
            </w:pPr>
            <w:r>
              <w:rPr>
                <w:rFonts w:hint="eastAsia" w:ascii="仿宋" w:hAnsi="仿宋" w:eastAsia="仿宋" w:cs="仿宋"/>
                <w:kern w:val="0"/>
                <w:szCs w:val="21"/>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68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仿宋" w:hAnsi="仿宋" w:eastAsia="仿宋" w:cs="仿宋"/>
                <w:kern w:val="0"/>
                <w:szCs w:val="21"/>
              </w:rPr>
            </w:pPr>
            <w:r>
              <w:rPr>
                <w:rFonts w:ascii="仿宋" w:hAnsi="仿宋" w:eastAsia="仿宋" w:cs="仿宋"/>
                <w:kern w:val="0"/>
                <w:szCs w:val="21"/>
              </w:rPr>
              <w:t>5</w:t>
            </w:r>
            <w:r>
              <w:rPr>
                <w:rFonts w:hint="eastAsia" w:ascii="仿宋" w:hAnsi="仿宋" w:eastAsia="仿宋" w:cs="仿宋"/>
                <w:kern w:val="0"/>
                <w:szCs w:val="21"/>
              </w:rPr>
              <w:t>.3</w:t>
            </w:r>
          </w:p>
        </w:tc>
        <w:tc>
          <w:tcPr>
            <w:tcW w:w="7208"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hint="eastAsia" w:ascii="仿宋" w:hAnsi="仿宋" w:eastAsia="仿宋" w:cs="仿宋"/>
                <w:kern w:val="0"/>
                <w:szCs w:val="21"/>
              </w:rPr>
            </w:pPr>
            <w:r>
              <w:rPr>
                <w:rFonts w:hint="eastAsia" w:ascii="仿宋" w:hAnsi="仿宋" w:eastAsia="仿宋" w:cs="仿宋"/>
                <w:kern w:val="0"/>
                <w:szCs w:val="21"/>
              </w:rPr>
              <w:t>在经营活动中无重大违法记录，在中国南方电网有限责任公司或超高压输电公司没有处于限制投标资格的处罚。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68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仿宋" w:hAnsi="仿宋" w:eastAsia="仿宋" w:cs="仿宋"/>
                <w:kern w:val="0"/>
                <w:szCs w:val="21"/>
              </w:rPr>
            </w:pPr>
            <w:r>
              <w:rPr>
                <w:rFonts w:ascii="仿宋" w:hAnsi="仿宋" w:eastAsia="仿宋" w:cs="仿宋"/>
                <w:kern w:val="0"/>
                <w:szCs w:val="21"/>
              </w:rPr>
              <w:t>5</w:t>
            </w:r>
            <w:r>
              <w:rPr>
                <w:rFonts w:hint="eastAsia" w:ascii="仿宋" w:hAnsi="仿宋" w:eastAsia="仿宋" w:cs="仿宋"/>
                <w:kern w:val="0"/>
                <w:szCs w:val="21"/>
              </w:rPr>
              <w:t>.4</w:t>
            </w:r>
          </w:p>
        </w:tc>
        <w:tc>
          <w:tcPr>
            <w:tcW w:w="7208"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hint="eastAsia" w:ascii="仿宋" w:hAnsi="仿宋" w:eastAsia="仿宋" w:cs="仿宋"/>
                <w:kern w:val="0"/>
                <w:szCs w:val="21"/>
              </w:rPr>
            </w:pPr>
            <w:r>
              <w:rPr>
                <w:rFonts w:hint="eastAsia" w:ascii="仿宋" w:hAnsi="仿宋" w:eastAsia="仿宋" w:cs="仿宋"/>
                <w:kern w:val="0"/>
                <w:szCs w:val="21"/>
              </w:rPr>
              <w:t>单位负责人为同一人或者存在控股、管理关系的不同单位，不得参加同一项目报价。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68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default" w:ascii="仿宋" w:hAnsi="仿宋" w:eastAsia="仿宋" w:cs="仿宋"/>
                <w:kern w:val="0"/>
                <w:szCs w:val="21"/>
                <w:lang w:val="en-US" w:eastAsia="zh-CN"/>
              </w:rPr>
            </w:pPr>
            <w:r>
              <w:rPr>
                <w:rFonts w:hint="eastAsia" w:ascii="仿宋" w:hAnsi="仿宋" w:eastAsia="仿宋" w:cs="仿宋"/>
                <w:kern w:val="0"/>
                <w:szCs w:val="21"/>
                <w:lang w:val="en-US" w:eastAsia="zh-CN"/>
              </w:rPr>
              <w:t>5.5</w:t>
            </w:r>
          </w:p>
        </w:tc>
        <w:tc>
          <w:tcPr>
            <w:tcW w:w="7208"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hint="eastAsia" w:ascii="仿宋" w:hAnsi="仿宋" w:eastAsia="仿宋" w:cs="仿宋"/>
                <w:kern w:val="0"/>
                <w:szCs w:val="21"/>
                <w:lang w:eastAsia="zh-CN"/>
              </w:rPr>
            </w:pPr>
            <w:r>
              <w:rPr>
                <w:rFonts w:hint="eastAsia" w:ascii="仿宋" w:hAnsi="仿宋" w:eastAsia="仿宋" w:cs="仿宋"/>
                <w:kern w:val="0"/>
                <w:szCs w:val="21"/>
                <w:lang w:val="en-US" w:eastAsia="zh-CN"/>
              </w:rPr>
              <w:t>拥有</w:t>
            </w:r>
            <w:r>
              <w:rPr>
                <w:rFonts w:hint="eastAsia" w:ascii="仿宋" w:hAnsi="仿宋" w:eastAsia="仿宋" w:cs="仿宋"/>
                <w:kern w:val="0"/>
                <w:szCs w:val="21"/>
              </w:rPr>
              <w:t>AAA级诚信经营示范单位等级证书</w:t>
            </w:r>
            <w:r>
              <w:rPr>
                <w:rFonts w:hint="eastAsia" w:ascii="仿宋" w:hAnsi="仿宋" w:eastAsia="仿宋" w:cs="仿宋"/>
                <w:kern w:val="0"/>
                <w:szCs w:val="21"/>
                <w:lang w:eastAsia="zh-CN"/>
              </w:rPr>
              <w:t>。</w:t>
            </w:r>
          </w:p>
        </w:tc>
      </w:tr>
    </w:tbl>
    <w:p>
      <w:pPr>
        <w:spacing w:line="360" w:lineRule="auto"/>
        <w:rPr>
          <w:rFonts w:hint="eastAsia" w:ascii="仿宋" w:hAnsi="仿宋" w:eastAsia="仿宋" w:cs="仿宋"/>
          <w:kern w:val="0"/>
          <w:szCs w:val="21"/>
        </w:rPr>
      </w:pP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2"/>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1</w:t>
                          </w:r>
                          <w:r>
                            <w:rPr>
                              <w:rFonts w:hint="eastAsia"/>
                              <w:sz w:val="18"/>
                            </w:rPr>
                            <w:fldChar w:fldCharType="end"/>
                          </w:r>
                          <w:r>
                            <w:rPr>
                              <w:rFonts w:hint="eastAsia"/>
                              <w:sz w:val="18"/>
                            </w:rPr>
                            <w:t xml:space="preserve"> 页 共 </w:t>
                          </w:r>
                          <w:r>
                            <w:rPr>
                              <w:rFonts w:hint="eastAsia"/>
                              <w:sz w:val="18"/>
                            </w:rPr>
                            <w:fldChar w:fldCharType="begin"/>
                          </w:r>
                          <w:r>
                            <w:rPr>
                              <w:rFonts w:hint="eastAsia"/>
                              <w:sz w:val="18"/>
                            </w:rPr>
                            <w:instrText xml:space="preserve"> NUMPAGES  \* MERGEFORMAT </w:instrText>
                          </w:r>
                          <w:r>
                            <w:rPr>
                              <w:rFonts w:hint="eastAsia"/>
                              <w:sz w:val="18"/>
                            </w:rPr>
                            <w:fldChar w:fldCharType="separate"/>
                          </w:r>
                          <w:r>
                            <w:rPr>
                              <w:rFonts w:hint="eastAsia"/>
                              <w:sz w:val="18"/>
                            </w:rPr>
                            <w:t>5</w:t>
                          </w:r>
                          <w:r>
                            <w:rPr>
                              <w:rFonts w:hint="eastAsia"/>
                              <w:sz w:val="18"/>
                            </w:rPr>
                            <w:fldChar w:fldCharType="end"/>
                          </w:r>
                          <w:r>
                            <w:rPr>
                              <w:rFonts w:hint="eastAsia"/>
                              <w:sz w:val="18"/>
                            </w:rPr>
                            <w:t xml:space="preserve"> 页</w:t>
                          </w:r>
                        </w:p>
                      </w:txbxContent>
                    </wps:txbx>
                    <wps:bodyPr vert="horz" wrap="none" lIns="0" tIns="0" rIns="0" bIns="0" anchor="t">
                      <a:spAutoFit/>
                    </wps:bodyPr>
                  </wps:wsp>
                </a:graphicData>
              </a:graphic>
            </wp:anchor>
          </w:drawing>
        </mc:Choice>
        <mc:Fallback>
          <w:pict>
            <v:rect id="文本框 2"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GdppP8kBAACSAwAADgAAAAAAAAABACAAAAAfAQAAZHJzL2Uyb0Rv&#10;Yy54bWxQSwUGAAAAAAYABgBZAQAAWgUAAAAA&#10;">
              <v:fill on="f" focussize="0,0"/>
              <v:stroke on="f"/>
              <v:imagedata o:title=""/>
              <o:lock v:ext="edit" aspectratio="f"/>
              <v:textbox inset="0mm,0mm,0mm,0mm" style="mso-fit-shape-to-text:t;">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1</w:t>
                    </w:r>
                    <w:r>
                      <w:rPr>
                        <w:rFonts w:hint="eastAsia"/>
                        <w:sz w:val="18"/>
                      </w:rPr>
                      <w:fldChar w:fldCharType="end"/>
                    </w:r>
                    <w:r>
                      <w:rPr>
                        <w:rFonts w:hint="eastAsia"/>
                        <w:sz w:val="18"/>
                      </w:rPr>
                      <w:t xml:space="preserve"> 页 共 </w:t>
                    </w:r>
                    <w:r>
                      <w:rPr>
                        <w:rFonts w:hint="eastAsia"/>
                        <w:sz w:val="18"/>
                      </w:rPr>
                      <w:fldChar w:fldCharType="begin"/>
                    </w:r>
                    <w:r>
                      <w:rPr>
                        <w:rFonts w:hint="eastAsia"/>
                        <w:sz w:val="18"/>
                      </w:rPr>
                      <w:instrText xml:space="preserve"> NUMPAGES  \* MERGEFORMAT </w:instrText>
                    </w:r>
                    <w:r>
                      <w:rPr>
                        <w:rFonts w:hint="eastAsia"/>
                        <w:sz w:val="18"/>
                      </w:rPr>
                      <w:fldChar w:fldCharType="separate"/>
                    </w:r>
                    <w:r>
                      <w:rPr>
                        <w:rFonts w:hint="eastAsia"/>
                        <w:sz w:val="18"/>
                      </w:rPr>
                      <w:t>5</w:t>
                    </w:r>
                    <w:r>
                      <w:rPr>
                        <w:rFonts w:hint="eastAsia"/>
                        <w:sz w:val="18"/>
                      </w:rPr>
                      <w:fldChar w:fldCharType="end"/>
                    </w:r>
                    <w:r>
                      <w:rPr>
                        <w:rFonts w:hint="eastAsia"/>
                        <w:sz w:val="18"/>
                      </w:rPr>
                      <w:t xml:space="preserve"> 页</w:t>
                    </w:r>
                  </w:p>
                </w:txbxContent>
              </v:textbox>
            </v:rect>
          </w:pict>
        </mc:Fallback>
      </mc:AlternateContent>
    </w:r>
    <w:r>
      <w:rPr>
        <w:rFonts w:hint="eastAsia"/>
      </w:rPr>
      <w:tab/>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2"/>
      <w:numFmt w:val="decimal"/>
      <w:lvlText w:val="%1."/>
      <w:lvlJc w:val="left"/>
      <w:pPr>
        <w:tabs>
          <w:tab w:val="left" w:pos="312"/>
        </w:tabs>
      </w:pPr>
    </w:lvl>
  </w:abstractNum>
  <w:abstractNum w:abstractNumId="1">
    <w:nsid w:val="00000001"/>
    <w:multiLevelType w:val="singleLevel"/>
    <w:tmpl w:val="00000001"/>
    <w:lvl w:ilvl="0" w:tentative="0">
      <w:start w:val="1"/>
      <w:numFmt w:val="decimal"/>
      <w:lvlText w:val="%1)"/>
      <w:lvlJc w:val="left"/>
      <w:pPr>
        <w:ind w:left="425" w:hanging="425"/>
      </w:pPr>
      <w:rPr>
        <w:rFonts w:hint="default"/>
      </w:rPr>
    </w:lvl>
  </w:abstractNum>
  <w:abstractNum w:abstractNumId="2">
    <w:nsid w:val="69112BA8"/>
    <w:multiLevelType w:val="singleLevel"/>
    <w:tmpl w:val="69112BA8"/>
    <w:lvl w:ilvl="0" w:tentative="0">
      <w:start w:val="1"/>
      <w:numFmt w:val="decimal"/>
      <w:lvlText w:val="%1)"/>
      <w:lvlJc w:val="left"/>
      <w:pPr>
        <w:ind w:left="425" w:hanging="425"/>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19942692"/>
    <w:rsid w:val="1BAF672C"/>
    <w:rsid w:val="1F1D1EB7"/>
    <w:rsid w:val="25496D80"/>
    <w:rsid w:val="269C32CD"/>
    <w:rsid w:val="42913241"/>
    <w:rsid w:val="46776E81"/>
    <w:rsid w:val="537D468A"/>
    <w:rsid w:val="6E0B0292"/>
    <w:rsid w:val="745D2E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1"/>
    <w:basedOn w:val="1"/>
    <w:next w:val="1"/>
    <w:qFormat/>
    <w:uiPriority w:val="0"/>
    <w:pPr>
      <w:pageBreakBefore/>
      <w:spacing w:before="340" w:after="330" w:line="576" w:lineRule="auto"/>
      <w:jc w:val="center"/>
      <w:outlineLvl w:val="0"/>
    </w:pPr>
    <w:rPr>
      <w:rFonts w:ascii="Times New Roman" w:hAnsi="Times New Roman"/>
      <w:b/>
      <w:kern w:val="44"/>
      <w:sz w:val="28"/>
    </w:rPr>
  </w:style>
  <w:style w:type="paragraph" w:styleId="2">
    <w:name w:val="heading 2"/>
    <w:basedOn w:val="1"/>
    <w:next w:val="1"/>
    <w:qFormat/>
    <w:uiPriority w:val="0"/>
    <w:pPr>
      <w:keepNext/>
      <w:keepLines/>
      <w:snapToGrid w:val="0"/>
      <w:spacing w:line="560" w:lineRule="exact"/>
      <w:ind w:firstLine="800"/>
      <w:jc w:val="left"/>
      <w:outlineLvl w:val="1"/>
    </w:pPr>
    <w:rPr>
      <w:rFonts w:ascii="Arial" w:hAnsi="Arial" w:eastAsia="仿宋"/>
      <w:sz w:val="32"/>
    </w:rPr>
  </w:style>
  <w:style w:type="character" w:default="1" w:styleId="12">
    <w:name w:val="Default Paragraph Font"/>
    <w:qFormat/>
    <w:uiPriority w:val="1"/>
  </w:style>
  <w:style w:type="table" w:default="1" w:styleId="10">
    <w:name w:val="Normal Table"/>
    <w:qFormat/>
    <w:uiPriority w:val="99"/>
    <w:tblPr>
      <w:tblCellMar>
        <w:top w:w="0" w:type="dxa"/>
        <w:left w:w="108" w:type="dxa"/>
        <w:bottom w:w="0" w:type="dxa"/>
        <w:right w:w="108" w:type="dxa"/>
      </w:tblCellMar>
    </w:tblPr>
  </w:style>
  <w:style w:type="paragraph" w:styleId="4">
    <w:name w:val="annotation text"/>
    <w:basedOn w:val="1"/>
    <w:qFormat/>
    <w:uiPriority w:val="0"/>
    <w:pPr>
      <w:jc w:val="left"/>
    </w:pPr>
  </w:style>
  <w:style w:type="paragraph" w:styleId="5">
    <w:name w:val="Body Text Indent"/>
    <w:basedOn w:val="1"/>
    <w:qFormat/>
    <w:uiPriority w:val="0"/>
    <w:pPr>
      <w:spacing w:after="120"/>
      <w:ind w:left="420"/>
    </w:pPr>
  </w:style>
  <w:style w:type="paragraph" w:styleId="6">
    <w:name w:val="toc 3"/>
    <w:basedOn w:val="1"/>
    <w:next w:val="1"/>
    <w:qFormat/>
    <w:uiPriority w:val="0"/>
    <w:pPr>
      <w:ind w:left="840" w:leftChars="400"/>
    </w:pPr>
  </w:style>
  <w:style w:type="paragraph" w:styleId="7">
    <w:name w:val="footer"/>
    <w:basedOn w:val="1"/>
    <w:qFormat/>
    <w:uiPriority w:val="0"/>
    <w:pPr>
      <w:tabs>
        <w:tab w:val="center" w:pos="4153"/>
        <w:tab w:val="right" w:pos="8306"/>
      </w:tabs>
      <w:snapToGrid w:val="0"/>
      <w:jc w:val="left"/>
    </w:pPr>
    <w:rPr>
      <w:kern w:val="0"/>
      <w:sz w:val="18"/>
      <w:szCs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9">
    <w:name w:val="Body Text First Indent 2"/>
    <w:basedOn w:val="5"/>
    <w:qFormat/>
    <w:uiPriority w:val="0"/>
    <w:pPr>
      <w:ind w:left="200" w:leftChars="200" w:firstLine="420" w:firstLineChars="200"/>
    </w:pPr>
  </w:style>
  <w:style w:type="table" w:styleId="11">
    <w:name w:val="Table Grid"/>
    <w:basedOn w:val="10"/>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GEDI正文样式"/>
    <w:basedOn w:val="1"/>
    <w:qFormat/>
    <w:uiPriority w:val="0"/>
    <w:pPr>
      <w:adjustRightInd w:val="0"/>
      <w:snapToGrid w:val="0"/>
      <w:spacing w:line="480" w:lineRule="atLeast"/>
      <w:ind w:firstLine="480" w:firstLineChars="200"/>
    </w:pPr>
    <w:rPr>
      <w:szCs w:val="24"/>
    </w:rPr>
  </w:style>
  <w:style w:type="paragraph" w:customStyle="1" w:styleId="14">
    <w:name w:val="正文文本缩进1"/>
    <w:basedOn w:val="1"/>
    <w:qFormat/>
    <w:uiPriority w:val="0"/>
    <w:pPr>
      <w:spacing w:line="300" w:lineRule="auto"/>
      <w:ind w:firstLine="480"/>
    </w:pPr>
    <w:rPr>
      <w:rFonts w:ascii="宋体" w:hAnsi="宋体"/>
      <w:kern w:val="0"/>
      <w:sz w:val="24"/>
      <w:szCs w:val="24"/>
    </w:rPr>
  </w:style>
  <w:style w:type="paragraph" w:styleId="15">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dw</Company>
  <Pages>2</Pages>
  <Words>593</Words>
  <Characters>642</Characters>
  <Paragraphs>33</Paragraphs>
  <TotalTime>15</TotalTime>
  <ScaleCrop>false</ScaleCrop>
  <LinksUpToDate>false</LinksUpToDate>
  <CharactersWithSpaces>649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2023-05-25T08:22:00Z</dcterms:created>
  <dc:creator>杨雯雁</dc:creator>
  <cp:lastModifiedBy>陈思</cp:lastModifiedBy>
  <dcterms:modified xsi:type="dcterms:W3CDTF">2024-05-31T13:07:06Z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6F6A554537854D9A8089F9BE3A56C829</vt:lpwstr>
  </property>
</Properties>
</file>