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p>
    <w:p>
      <w:pPr>
        <w:rPr>
          <w:color w:val="auto"/>
        </w:rPr>
      </w:pPr>
    </w:p>
    <w:p>
      <w:pPr>
        <w:rPr>
          <w:color w:val="auto"/>
        </w:rPr>
      </w:pPr>
    </w:p>
    <w:p>
      <w:pPr>
        <w:rPr>
          <w:color w:val="auto"/>
        </w:rPr>
      </w:pPr>
    </w:p>
    <w:p>
      <w:pPr>
        <w:ind w:firstLine="0" w:firstLineChars="0"/>
        <w:jc w:val="center"/>
        <w:rPr>
          <w:rFonts w:hint="default"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eastAsia="zh-CN"/>
        </w:rPr>
        <w:t>海南省充换电一张网服务</w:t>
      </w:r>
      <w:r>
        <w:rPr>
          <w:rFonts w:hint="eastAsia" w:cs="仿宋_GB2312" w:asciiTheme="minorEastAsia" w:hAnsiTheme="minorEastAsia" w:eastAsiaTheme="minorEastAsia"/>
          <w:b/>
          <w:bCs/>
          <w:color w:val="auto"/>
          <w:sz w:val="52"/>
          <w:szCs w:val="52"/>
          <w:lang w:val="en-US" w:eastAsia="zh-CN"/>
        </w:rPr>
        <w:t>有限责任公司</w:t>
      </w:r>
    </w:p>
    <w:p>
      <w:pPr>
        <w:ind w:firstLine="0" w:firstLineChars="0"/>
        <w:jc w:val="center"/>
        <w:rPr>
          <w:rFonts w:cs="仿宋_GB2312" w:asciiTheme="minorEastAsia" w:hAnsiTheme="minorEastAsia" w:eastAsiaTheme="minorEastAsia"/>
          <w:color w:val="auto"/>
          <w:szCs w:val="21"/>
        </w:rPr>
      </w:pPr>
      <w:r>
        <w:rPr>
          <w:rFonts w:hint="eastAsia" w:cs="仿宋_GB2312" w:asciiTheme="minorEastAsia" w:hAnsiTheme="minorEastAsia" w:eastAsiaTheme="minorEastAsia"/>
          <w:b/>
          <w:bCs/>
          <w:color w:val="auto"/>
          <w:sz w:val="52"/>
          <w:szCs w:val="52"/>
          <w:lang w:eastAsia="zh-CN"/>
        </w:rPr>
        <w:t>2024年网络安全保障专项服务项目</w:t>
      </w:r>
      <w:r>
        <w:rPr>
          <w:rFonts w:hint="eastAsia" w:cs="仿宋_GB2312" w:asciiTheme="minorEastAsia" w:hAnsiTheme="minorEastAsia" w:eastAsiaTheme="minorEastAsia"/>
          <w:b/>
          <w:bCs/>
          <w:color w:val="auto"/>
          <w:sz w:val="52"/>
          <w:szCs w:val="52"/>
          <w:lang w:eastAsia="zh-CN"/>
        </w:rPr>
        <w:br w:type="textWrapping"/>
      </w:r>
      <w:r>
        <w:rPr>
          <w:rFonts w:hint="eastAsia" w:cs="仿宋_GB2312" w:asciiTheme="minorEastAsia" w:hAnsiTheme="minorEastAsia" w:eastAsiaTheme="minorEastAsia"/>
          <w:b/>
          <w:bCs/>
          <w:color w:val="auto"/>
          <w:sz w:val="52"/>
          <w:szCs w:val="52"/>
        </w:rPr>
        <w:t>技术要求文件</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ind w:firstLine="0" w:firstLineChars="0"/>
        <w:rPr>
          <w:rFonts w:ascii="仿宋_GB2312" w:hAnsi="仿宋_GB2312" w:eastAsia="仿宋_GB2312" w:cs="仿宋_GB2312"/>
          <w:color w:val="auto"/>
          <w:szCs w:val="28"/>
        </w:rPr>
      </w:pPr>
    </w:p>
    <w:p>
      <w:pPr>
        <w:ind w:firstLine="0" w:firstLineChars="0"/>
        <w:jc w:val="center"/>
        <w:rPr>
          <w:rFonts w:cs="仿宋_GB2312" w:asciiTheme="minorEastAsia" w:hAnsiTheme="minorEastAsia" w:eastAsiaTheme="minorEastAsia"/>
          <w:color w:val="auto"/>
          <w:sz w:val="32"/>
          <w:szCs w:val="32"/>
        </w:rPr>
      </w:pPr>
      <w:r>
        <w:rPr>
          <w:rFonts w:hint="eastAsia" w:cs="仿宋_GB2312" w:asciiTheme="minorEastAsia" w:hAnsiTheme="minorEastAsia" w:eastAsiaTheme="minorEastAsia"/>
          <w:color w:val="auto"/>
          <w:sz w:val="32"/>
          <w:szCs w:val="32"/>
        </w:rPr>
        <w:t>20</w:t>
      </w:r>
      <w:r>
        <w:rPr>
          <w:rFonts w:cs="仿宋_GB2312" w:asciiTheme="minorEastAsia" w:hAnsiTheme="minorEastAsia" w:eastAsiaTheme="minorEastAsia"/>
          <w:color w:val="auto"/>
          <w:sz w:val="32"/>
          <w:szCs w:val="32"/>
        </w:rPr>
        <w:t>2</w:t>
      </w:r>
      <w:r>
        <w:rPr>
          <w:rFonts w:hint="eastAsia" w:cs="仿宋_GB2312" w:asciiTheme="minorEastAsia" w:hAnsiTheme="minorEastAsia" w:eastAsiaTheme="minorEastAsia"/>
          <w:color w:val="auto"/>
          <w:sz w:val="32"/>
          <w:szCs w:val="32"/>
        </w:rPr>
        <w:t>4年0</w:t>
      </w:r>
      <w:r>
        <w:rPr>
          <w:rFonts w:hint="eastAsia" w:cs="仿宋_GB2312" w:asciiTheme="minorEastAsia" w:hAnsiTheme="minorEastAsia" w:eastAsiaTheme="minorEastAsia"/>
          <w:color w:val="auto"/>
          <w:sz w:val="32"/>
          <w:szCs w:val="32"/>
          <w:lang w:val="en-US" w:eastAsia="zh-CN"/>
        </w:rPr>
        <w:t>6</w:t>
      </w:r>
      <w:r>
        <w:rPr>
          <w:rFonts w:hint="eastAsia" w:cs="仿宋_GB2312" w:asciiTheme="minorEastAsia" w:hAnsiTheme="minorEastAsia" w:eastAsiaTheme="minorEastAsia"/>
          <w:color w:val="auto"/>
          <w:sz w:val="32"/>
          <w:szCs w:val="32"/>
        </w:rPr>
        <w:t>月</w:t>
      </w:r>
    </w:p>
    <w:p>
      <w:pPr>
        <w:rPr>
          <w:color w:val="auto"/>
        </w:rPr>
      </w:pPr>
      <w:r>
        <w:rPr>
          <w:color w:val="auto"/>
        </w:rPr>
        <w:br w:type="page"/>
      </w:r>
    </w:p>
    <w:p>
      <w:pPr>
        <w:pStyle w:val="3"/>
        <w:numPr>
          <w:ilvl w:val="0"/>
          <w:numId w:val="1"/>
        </w:numPr>
        <w:ind w:firstLine="602"/>
        <w:rPr>
          <w:color w:val="auto"/>
        </w:rPr>
      </w:pPr>
      <w:r>
        <w:rPr>
          <w:rFonts w:hint="eastAsia"/>
          <w:color w:val="auto"/>
        </w:rPr>
        <w:t>项目</w:t>
      </w:r>
      <w:r>
        <w:rPr>
          <w:rFonts w:hint="eastAsia"/>
          <w:color w:val="auto"/>
          <w:lang w:val="en-US" w:eastAsia="zh-CN"/>
        </w:rPr>
        <w:t>概况</w:t>
      </w:r>
    </w:p>
    <w:p>
      <w:pPr>
        <w:rPr>
          <w:color w:val="auto"/>
          <w:lang w:val="sv-SE"/>
        </w:rPr>
      </w:pPr>
      <w:r>
        <w:rPr>
          <w:rFonts w:hint="eastAsia"/>
          <w:color w:val="auto"/>
          <w:lang w:val="sv-SE"/>
        </w:rPr>
        <w:t>为保障</w:t>
      </w:r>
      <w:r>
        <w:rPr>
          <w:rFonts w:hint="eastAsia"/>
          <w:color w:val="auto"/>
          <w:lang w:val="sv-SE" w:eastAsia="zh-CN"/>
        </w:rPr>
        <w:t>海南省充换电</w:t>
      </w:r>
      <w:r>
        <w:rPr>
          <w:rFonts w:hint="eastAsia"/>
          <w:color w:val="auto"/>
          <w:lang w:val="sv-SE"/>
        </w:rPr>
        <w:t>一张网服务平台网络环境稳定，各系统正常运行，防止发生重大网络安全事件，根据《中华人民共和国网络安全法》《中华人民共和国计算机信息系统安全保护条例》规定和文件的要求，特开展2024年网络安全保障专项服务采购工作。本项目包含六个方面的内容，分别为渗透测试服务、漏洞扫描服务、重点时段安全保障服务、应急响应服务、网络安全应急演练服务以及安全巡检服务。</w:t>
      </w:r>
    </w:p>
    <w:p>
      <w:pPr>
        <w:pStyle w:val="3"/>
        <w:numPr>
          <w:ilvl w:val="0"/>
          <w:numId w:val="1"/>
        </w:numPr>
        <w:ind w:firstLine="602"/>
        <w:rPr>
          <w:color w:val="auto"/>
        </w:rPr>
      </w:pPr>
      <w:r>
        <w:rPr>
          <w:rFonts w:hint="eastAsia"/>
          <w:color w:val="auto"/>
        </w:rPr>
        <w:t>项目</w:t>
      </w:r>
      <w:r>
        <w:rPr>
          <w:rFonts w:hint="eastAsia"/>
          <w:color w:val="auto"/>
          <w:lang w:val="en-US" w:eastAsia="zh-CN"/>
        </w:rPr>
        <w:t>目标</w:t>
      </w:r>
    </w:p>
    <w:p>
      <w:pPr>
        <w:rPr>
          <w:rFonts w:hint="eastAsia" w:eastAsia="仿宋"/>
          <w:color w:val="auto"/>
          <w:lang w:val="sv-SE" w:eastAsia="zh-CN"/>
        </w:rPr>
      </w:pPr>
      <w:r>
        <w:rPr>
          <w:rFonts w:hint="eastAsia"/>
          <w:color w:val="auto"/>
          <w:lang w:val="sv-SE"/>
        </w:rPr>
        <w:t>开展</w:t>
      </w:r>
      <w:r>
        <w:rPr>
          <w:rFonts w:hint="eastAsia"/>
          <w:color w:val="auto"/>
          <w:lang w:val="sv-SE" w:eastAsia="zh-CN"/>
        </w:rPr>
        <w:t>海南省充换电一张网服务平台</w:t>
      </w:r>
      <w:r>
        <w:rPr>
          <w:rFonts w:hint="eastAsia"/>
          <w:color w:val="auto"/>
          <w:lang w:val="sv-SE"/>
        </w:rPr>
        <w:t>（部署位置：阿里云）网络安全保障专项服务，</w:t>
      </w:r>
      <w:r>
        <w:rPr>
          <w:rFonts w:hint="eastAsia"/>
          <w:color w:val="auto"/>
          <w:lang w:val="en-US" w:eastAsia="zh-CN"/>
        </w:rPr>
        <w:t>在各阶段工作目标如下：</w:t>
      </w:r>
      <w:r>
        <w:rPr>
          <w:rFonts w:hint="eastAsia"/>
          <w:color w:val="auto"/>
          <w:lang w:val="en-US" w:eastAsia="zh-CN"/>
        </w:rPr>
        <w:br w:type="textWrapping"/>
      </w:r>
      <w:r>
        <w:rPr>
          <w:rFonts w:hint="eastAsia"/>
          <w:color w:val="auto"/>
          <w:lang w:val="en-US" w:eastAsia="zh-CN"/>
        </w:rPr>
        <w:t xml:space="preserve">    1</w:t>
      </w:r>
      <w:r>
        <w:rPr>
          <w:rFonts w:hint="eastAsia"/>
          <w:color w:val="auto"/>
          <w:lang w:val="sv-SE"/>
        </w:rPr>
        <w:t>、</w:t>
      </w:r>
      <w:r>
        <w:rPr>
          <w:rFonts w:hint="eastAsia"/>
          <w:color w:val="auto"/>
          <w:lang w:val="en-US" w:eastAsia="zh-CN"/>
        </w:rPr>
        <w:t>项目前期</w:t>
      </w:r>
    </w:p>
    <w:p>
      <w:pPr>
        <w:rPr>
          <w:rFonts w:hint="eastAsia"/>
          <w:color w:val="auto"/>
          <w:lang w:val="sv-SE"/>
        </w:rPr>
      </w:pPr>
      <w:r>
        <w:rPr>
          <w:rFonts w:hint="eastAsia"/>
          <w:color w:val="auto"/>
          <w:lang w:val="sv-SE" w:eastAsia="zh-CN"/>
        </w:rPr>
        <w:t>（</w:t>
      </w:r>
      <w:r>
        <w:rPr>
          <w:rFonts w:hint="eastAsia"/>
          <w:color w:val="auto"/>
          <w:lang w:val="en-US" w:eastAsia="zh-CN"/>
        </w:rPr>
        <w:t>1</w:t>
      </w:r>
      <w:r>
        <w:rPr>
          <w:rFonts w:hint="eastAsia"/>
          <w:color w:val="auto"/>
          <w:lang w:val="sv-SE" w:eastAsia="zh-CN"/>
        </w:rPr>
        <w:t>）</w:t>
      </w:r>
      <w:r>
        <w:rPr>
          <w:rFonts w:hint="eastAsia"/>
          <w:color w:val="auto"/>
          <w:lang w:val="sv-SE"/>
        </w:rPr>
        <w:t>信息安全风险评估</w:t>
      </w:r>
      <w:r>
        <w:rPr>
          <w:rFonts w:hint="eastAsia"/>
          <w:color w:val="auto"/>
          <w:lang w:val="sv-SE" w:eastAsia="zh-CN"/>
        </w:rPr>
        <w:t>：</w:t>
      </w:r>
      <w:r>
        <w:rPr>
          <w:rFonts w:hint="eastAsia"/>
          <w:color w:val="auto"/>
          <w:lang w:val="sv-SE"/>
        </w:rPr>
        <w:t>安排专业的工程师检查云服务器及系统是否存在安全漏洞和薄弱环节。对发现漏洞的脆弱性进行识别、分析、检验，掌握</w:t>
      </w:r>
      <w:r>
        <w:rPr>
          <w:rFonts w:hint="eastAsia"/>
          <w:color w:val="auto"/>
          <w:lang w:val="en-US" w:eastAsia="zh-CN"/>
        </w:rPr>
        <w:t>采购方</w:t>
      </w:r>
      <w:r>
        <w:rPr>
          <w:rFonts w:hint="eastAsia"/>
          <w:color w:val="auto"/>
          <w:lang w:val="sv-SE"/>
        </w:rPr>
        <w:t>所有信息系统的安全动态。为安全加固和维护工作提供有力依据，从而有效降低设备面临的风险，防范安全事件发生，避免信息系统脆弱性被非法利用，保障业务的可持续性。</w:t>
      </w:r>
    </w:p>
    <w:p>
      <w:pPr>
        <w:rPr>
          <w:rFonts w:hint="eastAsia"/>
          <w:color w:val="auto"/>
          <w:lang w:val="sv-SE"/>
        </w:rPr>
      </w:pPr>
      <w:r>
        <w:rPr>
          <w:rFonts w:hint="eastAsia"/>
          <w:color w:val="auto"/>
          <w:lang w:val="sv-SE" w:eastAsia="zh-CN"/>
        </w:rPr>
        <w:t>（</w:t>
      </w:r>
      <w:r>
        <w:rPr>
          <w:rFonts w:hint="eastAsia"/>
          <w:color w:val="auto"/>
          <w:lang w:val="en-US" w:eastAsia="zh-CN"/>
        </w:rPr>
        <w:t>2</w:t>
      </w:r>
      <w:r>
        <w:rPr>
          <w:rFonts w:hint="eastAsia"/>
          <w:color w:val="auto"/>
          <w:lang w:val="sv-SE" w:eastAsia="zh-CN"/>
        </w:rPr>
        <w:t>）</w:t>
      </w:r>
      <w:r>
        <w:rPr>
          <w:rFonts w:hint="eastAsia"/>
          <w:color w:val="auto"/>
          <w:lang w:val="sv-SE"/>
        </w:rPr>
        <w:t>漏洞扫描、渗透测试</w:t>
      </w:r>
      <w:r>
        <w:rPr>
          <w:rFonts w:hint="eastAsia"/>
          <w:color w:val="auto"/>
          <w:lang w:val="sv-SE" w:eastAsia="zh-CN"/>
        </w:rPr>
        <w:t>：</w:t>
      </w:r>
      <w:r>
        <w:rPr>
          <w:rFonts w:hint="eastAsia"/>
          <w:color w:val="auto"/>
          <w:lang w:val="sv-SE"/>
        </w:rPr>
        <w:t>安排专业的工程师对所有信息系统进行专项的漏洞扫描和渗透测试，对发现的脆弱性提出整改加固建议，</w:t>
      </w:r>
      <w:r>
        <w:rPr>
          <w:rFonts w:hint="eastAsia"/>
          <w:color w:val="auto"/>
          <w:lang w:val="en-US" w:eastAsia="zh-CN"/>
        </w:rPr>
        <w:t>配合采购方平台技术人员</w:t>
      </w:r>
      <w:r>
        <w:rPr>
          <w:rFonts w:hint="eastAsia"/>
          <w:color w:val="auto"/>
          <w:lang w:val="sv-SE"/>
        </w:rPr>
        <w:t>进行整改。</w:t>
      </w:r>
    </w:p>
    <w:p>
      <w:pPr>
        <w:rPr>
          <w:rFonts w:hint="eastAsia"/>
          <w:color w:val="auto"/>
          <w:lang w:val="sv-SE"/>
        </w:rPr>
      </w:pPr>
      <w:r>
        <w:rPr>
          <w:rFonts w:hint="eastAsia"/>
          <w:color w:val="auto"/>
          <w:lang w:val="sv-SE" w:eastAsia="zh-CN"/>
        </w:rPr>
        <w:t>（</w:t>
      </w:r>
      <w:r>
        <w:rPr>
          <w:rFonts w:hint="eastAsia"/>
          <w:color w:val="auto"/>
          <w:lang w:val="en-US" w:eastAsia="zh-CN"/>
        </w:rPr>
        <w:t>3</w:t>
      </w:r>
      <w:r>
        <w:rPr>
          <w:rFonts w:hint="eastAsia"/>
          <w:color w:val="auto"/>
          <w:lang w:val="sv-SE" w:eastAsia="zh-CN"/>
        </w:rPr>
        <w:t>）</w:t>
      </w:r>
      <w:r>
        <w:rPr>
          <w:rFonts w:hint="eastAsia"/>
          <w:color w:val="auto"/>
          <w:lang w:val="sv-SE"/>
        </w:rPr>
        <w:t>完成收敛暴露面、基础防护、开展风险隐患自查摸底、纵深防御、重点防护、监测防御等工作。</w:t>
      </w:r>
    </w:p>
    <w:p>
      <w:pPr>
        <w:rPr>
          <w:rFonts w:hint="eastAsia"/>
          <w:color w:val="auto"/>
          <w:lang w:val="sv-SE"/>
        </w:rPr>
      </w:pPr>
      <w:r>
        <w:rPr>
          <w:rFonts w:hint="eastAsia"/>
          <w:color w:val="auto"/>
          <w:lang w:val="sv-SE" w:eastAsia="zh-CN"/>
        </w:rPr>
        <w:t>（</w:t>
      </w:r>
      <w:r>
        <w:rPr>
          <w:rFonts w:hint="eastAsia"/>
          <w:color w:val="auto"/>
          <w:lang w:val="en-US" w:eastAsia="zh-CN"/>
        </w:rPr>
        <w:t>4</w:t>
      </w:r>
      <w:r>
        <w:rPr>
          <w:rFonts w:hint="eastAsia"/>
          <w:color w:val="auto"/>
          <w:lang w:val="sv-SE" w:eastAsia="zh-CN"/>
        </w:rPr>
        <w:t>）</w:t>
      </w:r>
      <w:r>
        <w:rPr>
          <w:rFonts w:hint="eastAsia"/>
          <w:color w:val="auto"/>
          <w:lang w:val="sv-SE"/>
        </w:rPr>
        <w:t>完成系统遭受不同类型攻击、被入侵数据被勒索等场景的现场应急处置方案或处置手册，明确不同处置阶段的业务和技术处置流程。编制系统关停、系统恢复业务处置方案，切实做到3分钟关停，10分钟恢复。</w:t>
      </w:r>
    </w:p>
    <w:p>
      <w:pPr>
        <w:rPr>
          <w:rFonts w:hint="eastAsia" w:eastAsia="仿宋"/>
          <w:color w:val="auto"/>
          <w:lang w:val="sv-SE" w:eastAsia="zh-CN"/>
        </w:rPr>
      </w:pPr>
      <w:r>
        <w:rPr>
          <w:rFonts w:hint="eastAsia"/>
          <w:color w:val="auto"/>
          <w:lang w:val="sv-SE" w:eastAsia="zh-CN"/>
        </w:rPr>
        <w:t>（</w:t>
      </w:r>
      <w:r>
        <w:rPr>
          <w:rFonts w:hint="eastAsia"/>
          <w:color w:val="auto"/>
          <w:lang w:val="en-US" w:eastAsia="zh-CN"/>
        </w:rPr>
        <w:t>5</w:t>
      </w:r>
      <w:r>
        <w:rPr>
          <w:rFonts w:hint="eastAsia"/>
          <w:color w:val="auto"/>
          <w:lang w:val="sv-SE" w:eastAsia="zh-CN"/>
        </w:rPr>
        <w:t>）</w:t>
      </w:r>
      <w:r>
        <w:rPr>
          <w:rFonts w:hint="eastAsia"/>
          <w:color w:val="auto"/>
          <w:lang w:val="sv-SE"/>
        </w:rPr>
        <w:t>排查所有信息系统操作系统、中间件、数据库及其他组件的安全补丁更新情况，并更新补丁至最新。</w:t>
      </w:r>
      <w:r>
        <w:rPr>
          <w:rFonts w:hint="eastAsia"/>
          <w:color w:val="auto"/>
          <w:lang w:val="sv-SE"/>
        </w:rPr>
        <w:br w:type="textWrapping"/>
      </w:r>
      <w:r>
        <w:rPr>
          <w:rFonts w:hint="eastAsia"/>
          <w:color w:val="auto"/>
          <w:lang w:val="en-US" w:eastAsia="zh-CN"/>
        </w:rPr>
        <w:t xml:space="preserve">    </w:t>
      </w:r>
      <w:r>
        <w:rPr>
          <w:rFonts w:hint="eastAsia"/>
          <w:color w:val="auto"/>
          <w:lang w:val="sv-SE" w:eastAsia="zh-CN"/>
        </w:rPr>
        <w:t>（</w:t>
      </w:r>
      <w:r>
        <w:rPr>
          <w:rFonts w:hint="eastAsia"/>
          <w:color w:val="auto"/>
          <w:lang w:val="en-US" w:eastAsia="zh-CN"/>
        </w:rPr>
        <w:t>6</w:t>
      </w:r>
      <w:r>
        <w:rPr>
          <w:rFonts w:hint="eastAsia"/>
          <w:color w:val="auto"/>
          <w:lang w:val="sv-SE" w:eastAsia="zh-CN"/>
        </w:rPr>
        <w:t>）</w:t>
      </w:r>
      <w:r>
        <w:rPr>
          <w:rFonts w:hint="eastAsia"/>
          <w:color w:val="auto"/>
          <w:lang w:val="sv-SE"/>
        </w:rPr>
        <w:t>包括消除网络安全隐患、加强网络和信息系统安全防护、</w:t>
      </w:r>
      <w:r>
        <w:rPr>
          <w:rFonts w:hint="eastAsia"/>
          <w:color w:val="auto"/>
          <w:lang w:val="en-US" w:eastAsia="zh-CN"/>
        </w:rPr>
        <w:t>协助运维团队完成互联网应用安全</w:t>
      </w:r>
      <w:r>
        <w:rPr>
          <w:rFonts w:hint="eastAsia"/>
          <w:color w:val="auto"/>
          <w:lang w:val="sv-SE"/>
        </w:rPr>
        <w:t>等工作。</w:t>
      </w:r>
      <w:r>
        <w:rPr>
          <w:rFonts w:hint="eastAsia"/>
          <w:color w:val="auto"/>
          <w:lang w:val="sv-SE"/>
        </w:rPr>
        <w:br w:type="textWrapping"/>
      </w:r>
      <w:r>
        <w:rPr>
          <w:rFonts w:hint="eastAsia"/>
          <w:color w:val="auto"/>
          <w:lang w:val="en-US" w:eastAsia="zh-CN"/>
        </w:rPr>
        <w:t xml:space="preserve">    </w:t>
      </w:r>
      <w:r>
        <w:rPr>
          <w:rFonts w:hint="eastAsia"/>
          <w:color w:val="auto"/>
          <w:lang w:val="sv-SE" w:eastAsia="zh-CN"/>
        </w:rPr>
        <w:t>（</w:t>
      </w:r>
      <w:r>
        <w:rPr>
          <w:rFonts w:hint="eastAsia"/>
          <w:color w:val="auto"/>
          <w:lang w:val="en-US" w:eastAsia="zh-CN"/>
        </w:rPr>
        <w:t>7</w:t>
      </w:r>
      <w:r>
        <w:rPr>
          <w:rFonts w:hint="eastAsia"/>
          <w:color w:val="auto"/>
          <w:lang w:val="sv-SE" w:eastAsia="zh-CN"/>
        </w:rPr>
        <w:t>）</w:t>
      </w:r>
      <w:r>
        <w:rPr>
          <w:rFonts w:hint="eastAsia"/>
          <w:color w:val="auto"/>
          <w:lang w:val="en-US" w:eastAsia="zh-CN"/>
        </w:rPr>
        <w:t>完成数据备份及恢复演练，提供数据恢复应急预案，部署数据库安全评估工具，对数据库漏洞检测，数据库安全状况进行评估，检查数据防泄漏以及终端泄露监测工作。</w:t>
      </w:r>
    </w:p>
    <w:p>
      <w:pPr>
        <w:rPr>
          <w:rFonts w:hint="eastAsia"/>
          <w:color w:val="auto"/>
          <w:lang w:val="sv-SE"/>
        </w:rPr>
      </w:pPr>
      <w:r>
        <w:rPr>
          <w:rFonts w:hint="eastAsia"/>
          <w:color w:val="auto"/>
          <w:lang w:val="en-US" w:eastAsia="zh-CN"/>
        </w:rPr>
        <w:t>2、项目中期</w:t>
      </w:r>
      <w:r>
        <w:rPr>
          <w:rFonts w:hint="eastAsia"/>
          <w:color w:val="auto"/>
          <w:lang w:val="sv-SE"/>
        </w:rPr>
        <w:t>。</w:t>
      </w:r>
    </w:p>
    <w:p>
      <w:pPr>
        <w:rPr>
          <w:rFonts w:hint="eastAsia"/>
          <w:color w:val="auto"/>
          <w:lang w:val="sv-SE"/>
        </w:rPr>
      </w:pPr>
      <w:r>
        <w:rPr>
          <w:rFonts w:hint="eastAsia"/>
          <w:color w:val="auto"/>
          <w:lang w:val="sv-SE"/>
        </w:rPr>
        <w:t>完成安全值守</w:t>
      </w:r>
      <w:r>
        <w:rPr>
          <w:rFonts w:hint="eastAsia"/>
          <w:color w:val="auto"/>
          <w:lang w:val="sv-SE" w:eastAsia="zh-CN"/>
        </w:rPr>
        <w:t>（</w:t>
      </w:r>
      <w:r>
        <w:rPr>
          <w:rFonts w:hint="eastAsia"/>
          <w:color w:val="auto"/>
          <w:lang w:val="sv-SE"/>
        </w:rPr>
        <w:t>监测预警分析</w:t>
      </w:r>
      <w:r>
        <w:rPr>
          <w:rFonts w:hint="eastAsia"/>
          <w:color w:val="auto"/>
          <w:lang w:val="sv-SE" w:eastAsia="zh-CN"/>
        </w:rPr>
        <w:t>）</w:t>
      </w:r>
      <w:r>
        <w:rPr>
          <w:rFonts w:hint="eastAsia"/>
          <w:color w:val="auto"/>
          <w:lang w:val="sv-SE"/>
        </w:rPr>
        <w:t>、应急处置</w:t>
      </w:r>
      <w:r>
        <w:rPr>
          <w:rFonts w:hint="eastAsia"/>
          <w:color w:val="auto"/>
          <w:lang w:val="sv-SE" w:eastAsia="zh-CN"/>
        </w:rPr>
        <w:t>（</w:t>
      </w:r>
      <w:r>
        <w:rPr>
          <w:rFonts w:hint="eastAsia"/>
          <w:color w:val="auto"/>
          <w:lang w:val="sv-SE"/>
        </w:rPr>
        <w:t>攻击检测分析、系统威胁检测与日志分析、网络流量异常安全分析、应急处置建议及协同应急处置</w:t>
      </w:r>
      <w:r>
        <w:rPr>
          <w:rFonts w:hint="eastAsia"/>
          <w:color w:val="auto"/>
          <w:lang w:val="sv-SE" w:eastAsia="zh-CN"/>
        </w:rPr>
        <w:t>）</w:t>
      </w:r>
      <w:r>
        <w:rPr>
          <w:rFonts w:hint="eastAsia"/>
          <w:color w:val="auto"/>
          <w:lang w:val="sv-SE"/>
        </w:rPr>
        <w:t>、溯源取证等工作，值守团队人员至少</w:t>
      </w:r>
      <w:r>
        <w:rPr>
          <w:rFonts w:hint="eastAsia"/>
          <w:color w:val="auto"/>
          <w:lang w:val="en-US" w:eastAsia="zh-CN"/>
        </w:rPr>
        <w:t>3</w:t>
      </w:r>
      <w:r>
        <w:rPr>
          <w:rFonts w:hint="eastAsia"/>
          <w:color w:val="auto"/>
          <w:lang w:val="sv-SE"/>
        </w:rPr>
        <w:t>人。</w:t>
      </w:r>
    </w:p>
    <w:p>
      <w:pPr>
        <w:rPr>
          <w:rFonts w:hint="eastAsia"/>
          <w:color w:val="auto"/>
          <w:highlight w:val="none"/>
          <w:lang w:val="sv-SE"/>
        </w:rPr>
      </w:pPr>
      <w:r>
        <w:rPr>
          <w:rFonts w:hint="eastAsia"/>
          <w:color w:val="auto"/>
          <w:lang w:val="en-US" w:eastAsia="zh-CN"/>
        </w:rPr>
        <w:t>3</w:t>
      </w:r>
      <w:r>
        <w:rPr>
          <w:rFonts w:hint="eastAsia"/>
          <w:color w:val="auto"/>
          <w:highlight w:val="none"/>
          <w:lang w:val="sv-SE"/>
        </w:rPr>
        <w:t>、</w:t>
      </w:r>
      <w:r>
        <w:rPr>
          <w:rFonts w:hint="eastAsia"/>
          <w:color w:val="auto"/>
          <w:highlight w:val="none"/>
          <w:lang w:val="en-US" w:eastAsia="zh-CN"/>
        </w:rPr>
        <w:t>项目后期</w:t>
      </w:r>
      <w:r>
        <w:rPr>
          <w:rFonts w:hint="eastAsia"/>
          <w:color w:val="auto"/>
          <w:highlight w:val="none"/>
          <w:lang w:val="sv-SE"/>
        </w:rPr>
        <w:t>。</w:t>
      </w:r>
    </w:p>
    <w:p>
      <w:pPr>
        <w:rPr>
          <w:rFonts w:hint="eastAsia"/>
          <w:color w:val="auto"/>
          <w:lang w:val="sv-SE"/>
        </w:rPr>
      </w:pPr>
      <w:r>
        <w:rPr>
          <w:rFonts w:hint="eastAsia"/>
          <w:color w:val="auto"/>
          <w:lang w:val="sv-SE" w:eastAsia="zh-CN"/>
        </w:rPr>
        <w:t>（</w:t>
      </w:r>
      <w:r>
        <w:rPr>
          <w:rFonts w:hint="eastAsia"/>
          <w:color w:val="auto"/>
          <w:lang w:val="en-US" w:eastAsia="zh-CN"/>
        </w:rPr>
        <w:t>1</w:t>
      </w:r>
      <w:r>
        <w:rPr>
          <w:rFonts w:hint="eastAsia"/>
          <w:color w:val="auto"/>
          <w:lang w:val="sv-SE" w:eastAsia="zh-CN"/>
        </w:rPr>
        <w:t>）</w:t>
      </w:r>
      <w:r>
        <w:rPr>
          <w:rFonts w:hint="eastAsia"/>
          <w:color w:val="auto"/>
          <w:lang w:val="sv-SE"/>
        </w:rPr>
        <w:t>完成保障工作总结。协助招标方完成整理保障工作期间所有阶段材料、总结分析、提炼亮点等。</w:t>
      </w:r>
    </w:p>
    <w:p>
      <w:pPr>
        <w:pStyle w:val="3"/>
        <w:numPr>
          <w:ilvl w:val="0"/>
          <w:numId w:val="1"/>
        </w:numPr>
        <w:ind w:firstLine="602"/>
        <w:rPr>
          <w:rFonts w:hint="eastAsia"/>
          <w:lang w:val="en-US" w:eastAsia="zh-CN"/>
        </w:rPr>
      </w:pPr>
      <w:r>
        <w:rPr>
          <w:rFonts w:hint="eastAsia"/>
          <w:color w:val="auto"/>
          <w:lang w:val="en-US" w:eastAsia="zh-CN"/>
        </w:rPr>
        <w:t>具体服务内容要求</w:t>
      </w:r>
    </w:p>
    <w:tbl>
      <w:tblPr>
        <w:tblStyle w:val="13"/>
        <w:tblW w:w="93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212"/>
        <w:gridCol w:w="5511"/>
        <w:gridCol w:w="925"/>
        <w:gridCol w:w="11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服务名称</w:t>
            </w:r>
          </w:p>
        </w:tc>
        <w:tc>
          <w:tcPr>
            <w:tcW w:w="55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服务内容描述</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服务频次</w:t>
            </w:r>
          </w:p>
        </w:tc>
        <w:tc>
          <w:tcPr>
            <w:tcW w:w="11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渗透测试服务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1、严格参照《网络安全等级保护基本要求》中二级S2A2和三级S3G3、《OWASP测试指南》、《OWASP Top10 2017》、PTES等国内外网络与信息安全标准及规范，在此基础上进行完善和扩展形成一套“体系化”的渗透测试内容项；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2、以渗透测试内容项作为渗透测试的基本指标，并严格按照其中的测试项进行渗透测试；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3、进行全面漏洞探测、分析，以及手工验证；</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通过代码注入、失效的身份认证和会话管理、跨站脚本、不安全的直接对象引用、安全配置错误、敏感信息泄露、功能级访问控制、跨站请求伪造、传输层保护不足、未验证的重定向和转发、密码破解、病毒木马攻击、权限提升、溢出攻击、DDos攻击、中间人攻击、ARP欺骗等方式进行渗透测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5、提供详细的渗透测试报告，包括漏洞详细信息、安全问题与风险、安全评估以及安全整改建议等。</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160" w:firstLineChars="10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2次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操作系统、数据库、网络设备、主机设备和应用系统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漏洞扫描服务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1、根据采购方的需求发起，对所有的信息系统提供全面安全漏洞扫描评估服务；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2.根据采购方的需求发起，针对新上线系统提供上线前安全漏洞扫描评估服务；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3.每次安全漏洞扫描后，出具相应的《安全漏洞扫描评估报告》（含安全漏洞验证），包括扫描的漏洞详细信息、安全加固建议、上线前扫描的漏洞详细信息等；</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4.每次安全漏洞扫描后，对所有漏洞弱点的相关背景提供详细描述、引用，以及相应的修复和改进建议；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5.对发现的安全漏洞提出具体的安全解决方案，以及配合采购方及时进行整改</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160" w:firstLineChars="10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4次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操作系统、数据库、网络设备、主机设备和应用系统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重点时段安全保障服务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1.重点时段安全保障期间，依据等保要求中二级S2A2和三级S3A3的要求，进行保障工作；利用多种专业漏洞扫描工具对主机设备、应用系统、网络设备、操作系统等进行交叉扫描验证；</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2.对扫描结果进行分析、验证，帮助采购方提前排查本单位重要信息系统的安全漏洞；</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3.指导运维团队对信息系统进行安全加固；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重点时段安全保障期间，现场派驻一名安全工程师值班，提供监测业务运行情况，监控日志等安全保障服务。在出现安全事故时，及时响应并组织各方技术人员修复系统问题，指导采购方处理安全故障以保证信息系统在最短时间内恢复，降低时间影响和损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5.出具重点时段安全保障服务期间的安全服务报告；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6.提前对信息系统进行安全评估，针对技术层面（主机服务器、网络及应用系统）所发现的安全问题，输出《安全评估报告》。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7、针对重大节假日期间，按照采购方需求提供相应数量的安全工程师现场驻点进行安全保障服务，负责日常安全相关工作，如有应急事件要求1小时内到达现场响应。</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包含安全监测、安全加固、现场值守工作</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操作系统、数据库、网络设备、主机设备和应用系统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应急响应服务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当出现安全事件时，协调运维团队完成信息系统正常运行，应急响应的安全事件包括但不限于计算机病毒与木马攻击事件，网页代码篡改事件，网络攻击、拒绝服务攻击事件，信息泄露或篡改事件（如数据库安全事件），安全漏洞或漏洞工农及事件（包括相关信息安全监管部门发出的漏洞通报、安全预警等）。</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2.出具《应急响应处理报告》；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3.协助采购方完成相关信息安全监管部门安全检查准备工作。</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default" w:ascii="宋体" w:hAnsi="宋体" w:eastAsia="宋体" w:cs="宋体"/>
                <w:i w:val="0"/>
                <w:iCs w:val="0"/>
                <w:color w:val="333333"/>
                <w:sz w:val="16"/>
                <w:szCs w:val="16"/>
                <w:u w:val="none"/>
                <w:lang w:val="en-US" w:eastAsia="zh-CN"/>
              </w:rPr>
            </w:pPr>
            <w:r>
              <w:rPr>
                <w:rFonts w:hint="eastAsia" w:ascii="宋体" w:hAnsi="宋体" w:eastAsia="宋体" w:cs="宋体"/>
                <w:i w:val="0"/>
                <w:iCs w:val="0"/>
                <w:color w:val="333333"/>
                <w:sz w:val="16"/>
                <w:szCs w:val="16"/>
                <w:u w:val="none"/>
                <w:lang w:val="en-US" w:eastAsia="zh-CN"/>
              </w:rPr>
              <w:t>不限次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信息系统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网络安全应急演练服务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主要包含三项工作的落实，分别为：网络安全事件应急预案编制、落实网络安全事件应急演练工作（包括但不仅限于网站恶意篡改事件、木马事件、病毒攻击事件、拒绝服务攻击事件）、网络安全事件预防与应急技巧培训。</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2.出具《网络安全事件应急预案》、《网络安全事件应急演练总结评估报告》</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1次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信息系统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安全巡检服务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在确保用户业务不间断的情况下对用户内外网系统进行检测，并提供信息系统安全巡检汇报，使用户相关人员能够实时掌控信息系统的安全状况，及时发现并消除网络故障和安全隐患，保障客户网络和系统处于健康、安全的状态，确保相关业务持续运行。巡检的对象包括：应用系统、操作系统、服务器、数据库及其他设备，如路由器、交换机、防火墙等的运行状况、资源利用情况、网络连接情况等进行检查，检查系统健康状态，如果发现问题及时与客户负责人进行沟通，提出相应解决方案并配合用户进行整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1、网络安全巡检；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2、主机安全巡检；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3、数据库安全巡检；</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160" w:firstLineChars="10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不限次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网络设备、安全设备、通信线路</w:t>
            </w:r>
          </w:p>
        </w:tc>
      </w:tr>
    </w:tbl>
    <w:p>
      <w:pPr>
        <w:pStyle w:val="3"/>
        <w:numPr>
          <w:ilvl w:val="0"/>
          <w:numId w:val="0"/>
        </w:numPr>
        <w:rPr>
          <w:color w:val="auto"/>
        </w:rPr>
      </w:pPr>
    </w:p>
    <w:p>
      <w:pPr>
        <w:pStyle w:val="3"/>
        <w:numPr>
          <w:ilvl w:val="0"/>
          <w:numId w:val="1"/>
        </w:numPr>
        <w:ind w:firstLine="602"/>
        <w:rPr>
          <w:color w:val="auto"/>
        </w:rPr>
      </w:pPr>
      <w:r>
        <w:rPr>
          <w:rFonts w:hint="eastAsia"/>
          <w:color w:val="auto"/>
        </w:rPr>
        <w:t>产品要求</w:t>
      </w:r>
    </w:p>
    <w:p>
      <w:pPr>
        <w:rPr>
          <w:color w:val="auto"/>
        </w:rPr>
      </w:pPr>
      <w:r>
        <w:rPr>
          <w:rFonts w:hint="eastAsia"/>
          <w:color w:val="auto"/>
        </w:rPr>
        <w:t>（一）实施要求</w:t>
      </w:r>
    </w:p>
    <w:p>
      <w:pPr>
        <w:rPr>
          <w:rFonts w:hint="eastAsia" w:eastAsia="仿宋"/>
          <w:color w:val="auto"/>
          <w:lang w:eastAsia="zh-CN"/>
        </w:rPr>
      </w:pPr>
      <w:r>
        <w:rPr>
          <w:rFonts w:hint="eastAsia"/>
          <w:color w:val="auto"/>
        </w:rPr>
        <w:t>响应供应商须</w:t>
      </w:r>
      <w:r>
        <w:rPr>
          <w:rFonts w:hint="eastAsia"/>
          <w:color w:val="auto"/>
          <w:lang w:val="en-US" w:eastAsia="zh-CN"/>
        </w:rPr>
        <w:t>具备</w:t>
      </w:r>
      <w:r>
        <w:rPr>
          <w:rFonts w:hint="eastAsia"/>
          <w:color w:val="auto"/>
        </w:rPr>
        <w:t>中国网络安全审查技术与认证中心三级含以上信息安全应急处理资质证书</w:t>
      </w:r>
      <w:r>
        <w:rPr>
          <w:rFonts w:hint="eastAsia"/>
          <w:color w:val="auto"/>
          <w:lang w:eastAsia="zh-CN"/>
        </w:rPr>
        <w:t>、</w:t>
      </w:r>
      <w:r>
        <w:rPr>
          <w:rFonts w:hint="eastAsia"/>
          <w:color w:val="auto"/>
        </w:rPr>
        <w:t>中国网络安全审查技术与认证中心三级含以上信息安全</w:t>
      </w:r>
      <w:r>
        <w:rPr>
          <w:rFonts w:hint="eastAsia"/>
          <w:color w:val="auto"/>
          <w:lang w:val="en-US" w:eastAsia="zh-CN"/>
        </w:rPr>
        <w:t>风险评估</w:t>
      </w:r>
      <w:r>
        <w:rPr>
          <w:rFonts w:hint="eastAsia"/>
          <w:color w:val="auto"/>
        </w:rPr>
        <w:t>资质证书</w:t>
      </w:r>
      <w:r>
        <w:rPr>
          <w:rFonts w:hint="eastAsia"/>
          <w:color w:val="auto"/>
          <w:lang w:eastAsia="zh-CN"/>
        </w:rPr>
        <w:t>、</w:t>
      </w:r>
      <w:r>
        <w:rPr>
          <w:rFonts w:hint="eastAsia"/>
          <w:color w:val="auto"/>
          <w:lang w:val="en-US" w:eastAsia="zh-CN"/>
        </w:rPr>
        <w:t>涉密资质、获得过</w:t>
      </w:r>
      <w:bookmarkStart w:id="0" w:name="_GoBack"/>
      <w:bookmarkEnd w:id="0"/>
      <w:r>
        <w:rPr>
          <w:rFonts w:hint="eastAsia"/>
          <w:color w:val="auto"/>
          <w:lang w:val="en-US" w:eastAsia="zh-CN"/>
        </w:rPr>
        <w:t>国家信息安全漏洞共享平台原创漏洞证明，</w:t>
      </w:r>
      <w:r>
        <w:rPr>
          <w:rFonts w:hint="eastAsia"/>
          <w:color w:val="auto"/>
        </w:rPr>
        <w:t>提供证书复印件加盖公章</w:t>
      </w:r>
      <w:r>
        <w:rPr>
          <w:rFonts w:hint="eastAsia"/>
          <w:color w:val="auto"/>
          <w:lang w:eastAsia="zh-CN"/>
        </w:rPr>
        <w:t>。</w:t>
      </w:r>
    </w:p>
    <w:p>
      <w:pPr>
        <w:rPr>
          <w:rFonts w:hint="eastAsia" w:eastAsia="仿宋"/>
          <w:color w:val="auto"/>
          <w:lang w:eastAsia="zh-CN"/>
        </w:rPr>
      </w:pPr>
      <w:r>
        <w:rPr>
          <w:rFonts w:hint="eastAsia"/>
          <w:color w:val="auto"/>
          <w:lang w:val="en-US" w:eastAsia="zh-CN"/>
        </w:rPr>
        <w:t>响应供应商须具备</w:t>
      </w:r>
      <w:r>
        <w:rPr>
          <w:rFonts w:hint="eastAsia"/>
          <w:color w:val="auto"/>
        </w:rPr>
        <w:t>自202</w:t>
      </w:r>
      <w:r>
        <w:rPr>
          <w:rFonts w:hint="eastAsia"/>
          <w:color w:val="auto"/>
          <w:lang w:val="en-US" w:eastAsia="zh-CN"/>
        </w:rPr>
        <w:t>1</w:t>
      </w:r>
      <w:r>
        <w:rPr>
          <w:rFonts w:hint="eastAsia"/>
          <w:color w:val="auto"/>
        </w:rPr>
        <w:t>年1月以来具有国家级重大活动网络安全保障工作经验</w:t>
      </w:r>
      <w:r>
        <w:rPr>
          <w:rFonts w:hint="eastAsia"/>
          <w:color w:val="auto"/>
          <w:lang w:val="en-US" w:eastAsia="zh-CN"/>
        </w:rPr>
        <w:t>或者</w:t>
      </w:r>
      <w:r>
        <w:rPr>
          <w:rFonts w:hint="eastAsia"/>
          <w:color w:val="auto"/>
        </w:rPr>
        <w:t>省级重大活动网络安全保障工作经验</w:t>
      </w:r>
      <w:r>
        <w:rPr>
          <w:rFonts w:hint="eastAsia"/>
          <w:color w:val="auto"/>
          <w:lang w:eastAsia="zh-CN"/>
        </w:rPr>
        <w:t>，</w:t>
      </w:r>
      <w:r>
        <w:rPr>
          <w:rFonts w:hint="eastAsia"/>
          <w:color w:val="auto"/>
        </w:rPr>
        <w:t>提供省级或以上政府部门颁发的证书等证明材料复印件加盖公章</w:t>
      </w:r>
      <w:r>
        <w:rPr>
          <w:rFonts w:hint="eastAsia"/>
          <w:color w:val="auto"/>
          <w:lang w:eastAsia="zh-CN"/>
        </w:rPr>
        <w:t>。</w:t>
      </w:r>
    </w:p>
    <w:p>
      <w:pPr>
        <w:rPr>
          <w:rFonts w:hint="eastAsia" w:eastAsia="仿宋"/>
          <w:color w:val="auto"/>
          <w:lang w:eastAsia="zh-CN"/>
        </w:rPr>
      </w:pPr>
      <w:r>
        <w:rPr>
          <w:rFonts w:hint="eastAsia"/>
          <w:color w:val="auto"/>
          <w:lang w:val="en-US" w:eastAsia="zh-CN"/>
        </w:rPr>
        <w:t>响应供应商须具备</w:t>
      </w:r>
      <w:r>
        <w:rPr>
          <w:rFonts w:hint="eastAsia"/>
          <w:color w:val="auto"/>
        </w:rPr>
        <w:t>自202</w:t>
      </w:r>
      <w:r>
        <w:rPr>
          <w:rFonts w:hint="eastAsia"/>
          <w:color w:val="auto"/>
          <w:lang w:val="en-US" w:eastAsia="zh-CN"/>
        </w:rPr>
        <w:t>1</w:t>
      </w:r>
      <w:r>
        <w:rPr>
          <w:rFonts w:hint="eastAsia"/>
          <w:color w:val="auto"/>
        </w:rPr>
        <w:t>年1月以来具有类似项目合同案例（包含重点保障服务、渗透测试、应急演练、应急响应至少三项服务）</w:t>
      </w:r>
      <w:r>
        <w:rPr>
          <w:rFonts w:hint="eastAsia"/>
          <w:color w:val="auto"/>
          <w:lang w:eastAsia="zh-CN"/>
        </w:rPr>
        <w:t>，</w:t>
      </w:r>
      <w:r>
        <w:rPr>
          <w:rFonts w:hint="eastAsia"/>
          <w:color w:val="auto"/>
        </w:rPr>
        <w:t>提供合同关键页和项目验收报告复印件加盖公章</w:t>
      </w:r>
      <w:r>
        <w:rPr>
          <w:rFonts w:hint="eastAsia"/>
          <w:color w:val="auto"/>
          <w:lang w:eastAsia="zh-CN"/>
        </w:rPr>
        <w:t>。</w:t>
      </w:r>
    </w:p>
    <w:p>
      <w:pPr>
        <w:rPr>
          <w:color w:val="auto"/>
        </w:rPr>
      </w:pPr>
      <w:r>
        <w:rPr>
          <w:rFonts w:hint="eastAsia"/>
          <w:color w:val="auto"/>
        </w:rPr>
        <w:t>（二）工具要求</w:t>
      </w:r>
    </w:p>
    <w:p>
      <w:pPr>
        <w:rPr>
          <w:rFonts w:hint="eastAsia" w:eastAsia="仿宋"/>
          <w:color w:val="auto"/>
          <w:lang w:eastAsia="zh-CN"/>
        </w:rPr>
      </w:pPr>
      <w:r>
        <w:rPr>
          <w:rFonts w:hint="eastAsia"/>
          <w:color w:val="auto"/>
          <w:lang w:val="en-US" w:eastAsia="zh-CN"/>
        </w:rPr>
        <w:t>响应</w:t>
      </w:r>
      <w:r>
        <w:rPr>
          <w:rFonts w:hint="eastAsia"/>
          <w:color w:val="auto"/>
        </w:rPr>
        <w:t>供应商须提供所有用于本项目服务的</w:t>
      </w:r>
      <w:r>
        <w:rPr>
          <w:rFonts w:hint="eastAsia"/>
          <w:color w:val="auto"/>
          <w:lang w:val="en-US" w:eastAsia="zh-CN"/>
        </w:rPr>
        <w:t>评估</w:t>
      </w:r>
      <w:r>
        <w:rPr>
          <w:rFonts w:hint="eastAsia"/>
          <w:color w:val="auto"/>
        </w:rPr>
        <w:t>工具。实施过程至少使用2种（含2种）同时获得中国国家信息安全产品认证证书和国家信息安全漏洞库兼容性资质证书的专业漏洞扫描工具</w:t>
      </w:r>
      <w:r>
        <w:rPr>
          <w:rFonts w:hint="eastAsia"/>
          <w:color w:val="auto"/>
          <w:lang w:eastAsia="zh-CN"/>
        </w:rPr>
        <w:t>，</w:t>
      </w:r>
      <w:r>
        <w:rPr>
          <w:rFonts w:hint="eastAsia"/>
          <w:color w:val="auto"/>
        </w:rPr>
        <w:t>以上工具均以采购合同为准，需提供工具的相关证书复印件</w:t>
      </w:r>
      <w:r>
        <w:rPr>
          <w:rFonts w:hint="eastAsia"/>
          <w:color w:val="auto"/>
          <w:lang w:eastAsia="zh-CN"/>
        </w:rPr>
        <w:t>。</w:t>
      </w:r>
    </w:p>
    <w:p>
      <w:pPr>
        <w:rPr>
          <w:color w:val="auto"/>
        </w:rPr>
      </w:pPr>
      <w:r>
        <w:rPr>
          <w:rFonts w:hint="eastAsia"/>
          <w:color w:val="auto"/>
          <w:lang w:val="en-US" w:eastAsia="zh-CN"/>
        </w:rPr>
        <w:t>响应</w:t>
      </w:r>
      <w:r>
        <w:rPr>
          <w:rFonts w:hint="eastAsia"/>
          <w:color w:val="auto"/>
        </w:rPr>
        <w:t>供应商须保证所使用的所有工具和软件不会产生所有权和知识产权纠纷，并保证工具和软件的可用性和可靠性。由此产生的一切责任由成交供应商负完全责任。为保证工具的安全可靠性，工具须具备中华人民共和国公安部颁发的有效的《计算机信息系统安全专用产品销售许可证》。</w:t>
      </w:r>
    </w:p>
    <w:p>
      <w:pPr>
        <w:rPr>
          <w:color w:val="auto"/>
        </w:rPr>
      </w:pPr>
      <w:r>
        <w:rPr>
          <w:rFonts w:hint="eastAsia"/>
          <w:color w:val="auto"/>
        </w:rPr>
        <w:t>（三）人员要求</w:t>
      </w:r>
    </w:p>
    <w:p>
      <w:pPr>
        <w:rPr>
          <w:rFonts w:hint="eastAsia"/>
          <w:color w:val="auto"/>
        </w:rPr>
      </w:pPr>
      <w:r>
        <w:rPr>
          <w:rFonts w:hint="eastAsia"/>
          <w:color w:val="auto"/>
        </w:rPr>
        <w:t>1、为保</w:t>
      </w:r>
      <w:r>
        <w:rPr>
          <w:rFonts w:hint="eastAsia"/>
          <w:color w:val="auto"/>
          <w:highlight w:val="none"/>
        </w:rPr>
        <w:t>证网络安全</w:t>
      </w:r>
      <w:r>
        <w:rPr>
          <w:rFonts w:hint="eastAsia"/>
          <w:color w:val="auto"/>
          <w:highlight w:val="none"/>
          <w:lang w:val="en-US" w:eastAsia="zh-CN"/>
        </w:rPr>
        <w:t>保障工作</w:t>
      </w:r>
      <w:r>
        <w:rPr>
          <w:rFonts w:hint="eastAsia"/>
          <w:color w:val="auto"/>
          <w:highlight w:val="none"/>
        </w:rPr>
        <w:t>服务的质量，</w:t>
      </w:r>
      <w:r>
        <w:rPr>
          <w:rFonts w:hint="eastAsia"/>
          <w:color w:val="auto"/>
          <w:highlight w:val="none"/>
          <w:lang w:val="en-US" w:eastAsia="zh-CN"/>
        </w:rPr>
        <w:t>响应</w:t>
      </w:r>
      <w:r>
        <w:rPr>
          <w:rFonts w:hint="eastAsia"/>
          <w:color w:val="auto"/>
          <w:highlight w:val="none"/>
        </w:rPr>
        <w:t>供应商须提供至少</w:t>
      </w:r>
      <w:r>
        <w:rPr>
          <w:rFonts w:hint="eastAsia"/>
          <w:color w:val="auto"/>
          <w:highlight w:val="none"/>
          <w:lang w:val="en-US" w:eastAsia="zh-CN"/>
        </w:rPr>
        <w:t>3</w:t>
      </w:r>
      <w:r>
        <w:rPr>
          <w:rFonts w:hint="eastAsia"/>
          <w:color w:val="auto"/>
          <w:highlight w:val="none"/>
        </w:rPr>
        <w:t>人参与本项目，并在突发应急事件中能临时增加</w:t>
      </w:r>
      <w:r>
        <w:rPr>
          <w:rFonts w:hint="eastAsia"/>
          <w:color w:val="auto"/>
          <w:highlight w:val="none"/>
          <w:lang w:val="en-US" w:eastAsia="zh-CN"/>
        </w:rPr>
        <w:t>1</w:t>
      </w:r>
      <w:r>
        <w:rPr>
          <w:rFonts w:hint="eastAsia"/>
          <w:color w:val="auto"/>
          <w:highlight w:val="none"/>
        </w:rPr>
        <w:t>名实施人员。项目实施团队人员</w:t>
      </w:r>
      <w:r>
        <w:rPr>
          <w:rFonts w:hint="eastAsia"/>
          <w:color w:val="auto"/>
          <w:highlight w:val="none"/>
          <w:lang w:val="en-US" w:eastAsia="zh-CN"/>
        </w:rPr>
        <w:t>至少1名人员</w:t>
      </w:r>
      <w:r>
        <w:rPr>
          <w:rFonts w:hint="eastAsia"/>
          <w:color w:val="auto"/>
          <w:highlight w:val="none"/>
        </w:rPr>
        <w:t>具备以下</w:t>
      </w:r>
      <w:r>
        <w:rPr>
          <w:rFonts w:hint="eastAsia"/>
          <w:color w:val="auto"/>
          <w:highlight w:val="none"/>
          <w:lang w:val="en-US" w:eastAsia="zh-CN"/>
        </w:rPr>
        <w:t>任一证书</w:t>
      </w:r>
      <w:r>
        <w:rPr>
          <w:rFonts w:hint="eastAsia"/>
          <w:color w:val="auto"/>
          <w:highlight w:val="none"/>
        </w:rPr>
        <w:t>：</w:t>
      </w:r>
    </w:p>
    <w:p>
      <w:pPr>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注册网络安全渗透评估专业人员（NSATP-A）证书；</w:t>
      </w:r>
    </w:p>
    <w:p>
      <w:pPr>
        <w:rPr>
          <w:rFonts w:hint="eastAsia" w:eastAsia="仿宋"/>
          <w:color w:val="auto"/>
          <w:lang w:eastAsia="zh-CN"/>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高级软件评测工程师证书</w:t>
      </w:r>
      <w:r>
        <w:rPr>
          <w:rFonts w:hint="eastAsia"/>
          <w:color w:val="auto"/>
          <w:lang w:eastAsia="zh-CN"/>
        </w:rPr>
        <w:t>；</w:t>
      </w:r>
    </w:p>
    <w:p>
      <w:pPr>
        <w:ind w:left="840" w:leftChars="200" w:hanging="280" w:hangingChars="100"/>
        <w:rPr>
          <w:rFonts w:hint="eastAsia"/>
          <w:color w:val="auto"/>
          <w:lang w:eastAsia="zh-CN"/>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注册信息安全专业人员(CISP)证书</w:t>
      </w:r>
      <w:r>
        <w:rPr>
          <w:rFonts w:hint="eastAsia"/>
          <w:color w:val="auto"/>
          <w:lang w:eastAsia="zh-CN"/>
        </w:rPr>
        <w:t>；</w:t>
      </w:r>
    </w:p>
    <w:p>
      <w:pPr>
        <w:ind w:left="840" w:leftChars="200" w:hanging="280" w:hangingChars="100"/>
        <w:rPr>
          <w:rFonts w:hint="eastAsia" w:eastAsia="仿宋"/>
          <w:color w:val="auto"/>
          <w:lang w:eastAsia="zh-CN"/>
        </w:rPr>
      </w:pPr>
      <w:r>
        <w:rPr>
          <w:rFonts w:hint="eastAsia"/>
          <w:color w:val="auto"/>
          <w:lang w:eastAsia="zh-CN"/>
        </w:rPr>
        <w:t>（</w:t>
      </w:r>
      <w:r>
        <w:rPr>
          <w:rFonts w:hint="eastAsia"/>
          <w:color w:val="auto"/>
          <w:lang w:val="en-US" w:eastAsia="zh-CN"/>
        </w:rPr>
        <w:t>4</w:t>
      </w:r>
      <w:r>
        <w:rPr>
          <w:rFonts w:hint="eastAsia"/>
          <w:color w:val="auto"/>
          <w:lang w:eastAsia="zh-CN"/>
        </w:rPr>
        <w:t>）信息系统安全认证专业人员</w:t>
      </w:r>
    </w:p>
    <w:p>
      <w:pPr>
        <w:rPr>
          <w:color w:val="auto"/>
        </w:rPr>
      </w:pPr>
      <w:r>
        <w:rPr>
          <w:rFonts w:hint="eastAsia"/>
          <w:color w:val="auto"/>
        </w:rPr>
        <w:t>以上须提供相应证书及在</w:t>
      </w:r>
      <w:r>
        <w:rPr>
          <w:rFonts w:hint="eastAsia"/>
          <w:color w:val="auto"/>
          <w:lang w:val="en-US" w:eastAsia="zh-CN"/>
        </w:rPr>
        <w:t>响应供应商</w:t>
      </w:r>
      <w:r>
        <w:rPr>
          <w:rFonts w:hint="eastAsia"/>
          <w:color w:val="auto"/>
        </w:rPr>
        <w:t>单位近三个月连续不断的社保证明，复印件加盖公章</w:t>
      </w:r>
      <w:r>
        <w:rPr>
          <w:rFonts w:hint="eastAsia"/>
          <w:color w:val="auto"/>
          <w:lang w:eastAsia="zh-CN"/>
        </w:rPr>
        <w:t>，</w:t>
      </w:r>
      <w:r>
        <w:rPr>
          <w:rFonts w:hint="eastAsia"/>
          <w:color w:val="auto"/>
        </w:rPr>
        <w:t>须在</w:t>
      </w:r>
      <w:r>
        <w:rPr>
          <w:rFonts w:hint="eastAsia"/>
          <w:color w:val="auto"/>
          <w:lang w:val="en-US" w:eastAsia="zh-CN"/>
        </w:rPr>
        <w:t>报价</w:t>
      </w:r>
      <w:r>
        <w:rPr>
          <w:rFonts w:hint="eastAsia"/>
          <w:color w:val="auto"/>
        </w:rPr>
        <w:t>文件中提供。</w:t>
      </w:r>
    </w:p>
    <w:p>
      <w:pPr>
        <w:rPr>
          <w:color w:val="auto"/>
        </w:rPr>
      </w:pPr>
      <w:r>
        <w:rPr>
          <w:rFonts w:hint="eastAsia"/>
          <w:color w:val="auto"/>
        </w:rPr>
        <w:t>2、</w:t>
      </w:r>
      <w:r>
        <w:rPr>
          <w:rFonts w:hint="eastAsia"/>
          <w:color w:val="auto"/>
          <w:lang w:val="en-US" w:eastAsia="zh-CN"/>
        </w:rPr>
        <w:t>响应</w:t>
      </w:r>
      <w:r>
        <w:rPr>
          <w:rFonts w:hint="eastAsia"/>
          <w:color w:val="auto"/>
        </w:rPr>
        <w:t>供应商必须为本项目成立</w:t>
      </w:r>
      <w:r>
        <w:rPr>
          <w:rFonts w:hint="eastAsia"/>
          <w:color w:val="auto"/>
          <w:lang w:val="en-US" w:eastAsia="zh-CN"/>
        </w:rPr>
        <w:t>网络安全保障</w:t>
      </w:r>
      <w:r>
        <w:rPr>
          <w:rFonts w:hint="eastAsia"/>
          <w:color w:val="auto"/>
        </w:rPr>
        <w:t>服务小组，由项目组长统一负责，项目组长应具有一定的技术及管理知识和经验，能够容易地与客户沟通，能够很好地执行并完成服务工作，并能根据一些特殊的情况可以适当增加服务人员，接受用户与单位的统一管理。</w:t>
      </w:r>
      <w:r>
        <w:rPr>
          <w:rFonts w:hint="eastAsia"/>
          <w:color w:val="auto"/>
          <w:lang w:val="en-US" w:eastAsia="zh-CN"/>
        </w:rPr>
        <w:t>项目组长须</w:t>
      </w:r>
      <w:r>
        <w:rPr>
          <w:rFonts w:hint="eastAsia"/>
          <w:color w:val="auto"/>
        </w:rPr>
        <w:t>具有丰富的</w:t>
      </w:r>
      <w:r>
        <w:rPr>
          <w:rFonts w:hint="eastAsia"/>
          <w:color w:val="auto"/>
          <w:lang w:val="en-US" w:eastAsia="zh-CN"/>
        </w:rPr>
        <w:t>安全服务</w:t>
      </w:r>
      <w:r>
        <w:rPr>
          <w:rFonts w:hint="eastAsia"/>
          <w:color w:val="auto"/>
        </w:rPr>
        <w:t>管理能力</w:t>
      </w:r>
      <w:r>
        <w:rPr>
          <w:rFonts w:hint="eastAsia"/>
          <w:color w:val="auto"/>
          <w:lang w:val="en-US" w:eastAsia="zh-CN"/>
        </w:rPr>
        <w:t>。</w:t>
      </w:r>
      <w:r>
        <w:rPr>
          <w:rFonts w:hint="eastAsia"/>
          <w:color w:val="auto"/>
          <w:lang w:val="en-US" w:eastAsia="zh-CN"/>
        </w:rPr>
        <w:br w:type="textWrapping"/>
      </w:r>
      <w:r>
        <w:rPr>
          <w:rFonts w:hint="eastAsia"/>
          <w:color w:val="auto"/>
          <w:lang w:val="en-US" w:eastAsia="zh-CN"/>
        </w:rPr>
        <w:t xml:space="preserve">    3、须</w:t>
      </w:r>
      <w:r>
        <w:rPr>
          <w:rFonts w:hint="eastAsia"/>
          <w:color w:val="auto"/>
        </w:rPr>
        <w:t>提供完整的实施团队名单及职责分工，所有人员必须属于</w:t>
      </w:r>
      <w:r>
        <w:rPr>
          <w:rFonts w:hint="eastAsia"/>
          <w:color w:val="auto"/>
          <w:lang w:val="en-US" w:eastAsia="zh-CN"/>
        </w:rPr>
        <w:t>报价</w:t>
      </w:r>
      <w:r>
        <w:rPr>
          <w:rFonts w:hint="eastAsia"/>
          <w:color w:val="auto"/>
        </w:rPr>
        <w:t>单位在册员工（以社保缴纳证明为认定依据）。</w:t>
      </w:r>
    </w:p>
    <w:p>
      <w:pPr>
        <w:numPr>
          <w:ilvl w:val="0"/>
          <w:numId w:val="2"/>
        </w:numPr>
        <w:rPr>
          <w:color w:val="auto"/>
        </w:rPr>
      </w:pPr>
      <w:r>
        <w:rPr>
          <w:rFonts w:hint="eastAsia"/>
          <w:color w:val="auto"/>
        </w:rPr>
        <w:t>进度要求</w:t>
      </w:r>
    </w:p>
    <w:p>
      <w:pPr>
        <w:rPr>
          <w:rFonts w:hint="eastAsia"/>
          <w:color w:val="auto"/>
        </w:rPr>
      </w:pPr>
      <w:r>
        <w:rPr>
          <w:rFonts w:hint="eastAsia"/>
          <w:color w:val="auto"/>
        </w:rPr>
        <w:t>本项目服务期限为合同签订之日起3个月。</w:t>
      </w:r>
    </w:p>
    <w:p>
      <w:pPr>
        <w:rPr>
          <w:rFonts w:hint="eastAsia"/>
          <w:color w:val="auto"/>
        </w:rPr>
      </w:pPr>
      <w:r>
        <w:rPr>
          <w:rFonts w:hint="eastAsia"/>
          <w:color w:val="auto"/>
        </w:rPr>
        <w:t>中标人应在合同签订后5个工作日内开展第一轮合同约定范围的网络信息安全服务，安全值守、应急响应等视安全形式及采购人要求等择机开展工作。</w:t>
      </w:r>
    </w:p>
    <w:p>
      <w:pPr>
        <w:rPr>
          <w:color w:val="auto"/>
        </w:rPr>
      </w:pPr>
      <w:r>
        <w:rPr>
          <w:rFonts w:hint="eastAsia"/>
          <w:color w:val="auto"/>
        </w:rPr>
        <w:t>（五）组织要求</w:t>
      </w:r>
    </w:p>
    <w:p>
      <w:pPr>
        <w:rPr>
          <w:color w:val="auto"/>
        </w:rPr>
      </w:pPr>
      <w:r>
        <w:rPr>
          <w:rFonts w:hint="eastAsia"/>
          <w:color w:val="auto"/>
        </w:rPr>
        <w:t>成交供应商需对本项目工作做出具体安排，严格管理流程，制定出详细的</w:t>
      </w:r>
      <w:r>
        <w:rPr>
          <w:rFonts w:hint="eastAsia"/>
          <w:color w:val="auto"/>
          <w:lang w:val="en-US" w:eastAsia="zh-CN"/>
        </w:rPr>
        <w:t>服务</w:t>
      </w:r>
      <w:r>
        <w:rPr>
          <w:rFonts w:hint="eastAsia"/>
          <w:color w:val="auto"/>
        </w:rPr>
        <w:t>方案和时间计划，并就建立规范、科学、全面的</w:t>
      </w:r>
      <w:r>
        <w:rPr>
          <w:rFonts w:hint="eastAsia"/>
          <w:color w:val="auto"/>
          <w:lang w:val="en-US" w:eastAsia="zh-CN"/>
        </w:rPr>
        <w:t>安全保障服务</w:t>
      </w:r>
      <w:r>
        <w:rPr>
          <w:rFonts w:hint="eastAsia"/>
          <w:color w:val="auto"/>
        </w:rPr>
        <w:t>内容。严格落实人员安排，控制实施进度和项目质量，并能根据采购人要求合理调整实施安排。</w:t>
      </w:r>
    </w:p>
    <w:p>
      <w:pPr>
        <w:rPr>
          <w:color w:val="auto"/>
        </w:rPr>
      </w:pPr>
      <w:r>
        <w:rPr>
          <w:rFonts w:hint="eastAsia"/>
          <w:color w:val="auto"/>
        </w:rPr>
        <w:t>（六）质量保证要求</w:t>
      </w:r>
    </w:p>
    <w:p>
      <w:pPr>
        <w:rPr>
          <w:color w:val="auto"/>
        </w:rPr>
      </w:pPr>
      <w:r>
        <w:rPr>
          <w:rFonts w:hint="eastAsia"/>
          <w:color w:val="auto"/>
        </w:rPr>
        <w:t>成交供应商应保证本项目的服务质量，具备专业的技术和管理能力，提供符合</w:t>
      </w:r>
      <w:r>
        <w:rPr>
          <w:rFonts w:hint="eastAsia"/>
          <w:color w:val="auto"/>
          <w:lang w:val="en-US" w:eastAsia="zh-CN"/>
        </w:rPr>
        <w:t>网络安全</w:t>
      </w:r>
      <w:r>
        <w:rPr>
          <w:rFonts w:hint="eastAsia"/>
          <w:color w:val="auto"/>
        </w:rPr>
        <w:t>相关标准规范的服务过程和报告。成交供应商依据相关要求，建立完善的保密管理制度，确保采购人知识产权、专利权、技术秘密和商业秘密不受损害。对</w:t>
      </w:r>
      <w:r>
        <w:rPr>
          <w:rFonts w:hint="eastAsia"/>
          <w:color w:val="auto"/>
          <w:lang w:val="en-US" w:eastAsia="zh-CN"/>
        </w:rPr>
        <w:t>服务</w:t>
      </w:r>
      <w:r>
        <w:rPr>
          <w:rFonts w:hint="eastAsia"/>
          <w:color w:val="auto"/>
        </w:rPr>
        <w:t>人员进行安全保密教育，与其签订安全保密责任书，规定应当履行的安全保密义务和承担的法律责任，并负责检查落实。</w:t>
      </w:r>
    </w:p>
    <w:p>
      <w:pPr>
        <w:rPr>
          <w:color w:val="auto"/>
        </w:rPr>
      </w:pPr>
      <w:r>
        <w:rPr>
          <w:rFonts w:hint="eastAsia"/>
          <w:color w:val="auto"/>
        </w:rPr>
        <w:t>（七）验收标准</w:t>
      </w:r>
    </w:p>
    <w:p>
      <w:pPr>
        <w:rPr>
          <w:color w:val="auto"/>
        </w:rPr>
      </w:pPr>
      <w:r>
        <w:rPr>
          <w:rFonts w:hint="eastAsia"/>
          <w:color w:val="auto"/>
        </w:rPr>
        <w:t>本项目对</w:t>
      </w:r>
      <w:r>
        <w:rPr>
          <w:rFonts w:hint="eastAsia"/>
          <w:color w:val="auto"/>
          <w:lang w:eastAsia="zh-CN"/>
        </w:rPr>
        <w:t>海南省充换电一张网服务平台</w:t>
      </w:r>
      <w:r>
        <w:rPr>
          <w:rFonts w:hint="eastAsia"/>
          <w:color w:val="auto"/>
        </w:rPr>
        <w:t>的</w:t>
      </w:r>
      <w:r>
        <w:rPr>
          <w:rFonts w:hint="eastAsia"/>
          <w:color w:val="auto"/>
          <w:lang w:val="en-US" w:eastAsia="zh-CN"/>
        </w:rPr>
        <w:t>网络安全保障</w:t>
      </w:r>
      <w:r>
        <w:rPr>
          <w:rFonts w:hint="eastAsia"/>
          <w:color w:val="auto"/>
        </w:rPr>
        <w:t>服务进行验收，采购人组织对该系统</w:t>
      </w:r>
      <w:r>
        <w:rPr>
          <w:rFonts w:hint="eastAsia"/>
          <w:color w:val="auto"/>
          <w:lang w:val="en-US" w:eastAsia="zh-CN"/>
        </w:rPr>
        <w:t>网络安全保障</w:t>
      </w:r>
      <w:r>
        <w:rPr>
          <w:rFonts w:hint="eastAsia"/>
          <w:color w:val="auto"/>
        </w:rPr>
        <w:t>服务内容的履约结果进行验收，以确认服务内容和质量符合相关要求。清单验收过程由采购人签署验收意见，验收结果不符合的，应在限定期限内达到项目内容约定的要求。成交供应商须配合采购人提供验收材料，验收材料应包括本项目的相关交付物。</w:t>
      </w:r>
    </w:p>
    <w:p>
      <w:pPr>
        <w:rPr>
          <w:color w:val="auto"/>
        </w:rPr>
      </w:pPr>
      <w:r>
        <w:rPr>
          <w:rFonts w:hint="eastAsia"/>
          <w:color w:val="auto"/>
        </w:rPr>
        <w:t>（八）其他要求</w:t>
      </w:r>
    </w:p>
    <w:p>
      <w:pPr>
        <w:rPr>
          <w:color w:val="auto"/>
        </w:rPr>
      </w:pPr>
      <w:r>
        <w:rPr>
          <w:rFonts w:hint="eastAsia"/>
          <w:color w:val="auto"/>
        </w:rPr>
        <w:t>1、服务响应要求</w:t>
      </w:r>
    </w:p>
    <w:p>
      <w:pPr>
        <w:rPr>
          <w:rFonts w:hint="eastAsia" w:eastAsia="仿宋"/>
          <w:color w:val="auto"/>
          <w:lang w:eastAsia="zh-CN"/>
        </w:rPr>
      </w:pPr>
      <w:r>
        <w:rPr>
          <w:rFonts w:hint="eastAsia"/>
          <w:color w:val="auto"/>
        </w:rPr>
        <w:t>在服务期内，项目</w:t>
      </w:r>
      <w:r>
        <w:rPr>
          <w:rFonts w:hint="eastAsia"/>
          <w:color w:val="auto"/>
          <w:lang w:val="en-US" w:eastAsia="zh-CN"/>
        </w:rPr>
        <w:t>需提供驻场服务，须具有本地化服务能力。响应供应商</w:t>
      </w:r>
      <w:r>
        <w:rPr>
          <w:rFonts w:hint="eastAsia"/>
          <w:color w:val="auto"/>
        </w:rPr>
        <w:t>总公司在海南</w:t>
      </w:r>
      <w:r>
        <w:rPr>
          <w:rFonts w:hint="eastAsia"/>
          <w:color w:val="auto"/>
          <w:lang w:val="en-US" w:eastAsia="zh-CN"/>
        </w:rPr>
        <w:t>的提供营业执照。</w:t>
      </w:r>
      <w:r>
        <w:rPr>
          <w:rFonts w:hint="eastAsia"/>
          <w:color w:val="auto"/>
        </w:rPr>
        <w:t>外省企业承诺中标后在服务地市设立分支机构的</w:t>
      </w:r>
      <w:r>
        <w:rPr>
          <w:rFonts w:hint="eastAsia"/>
          <w:color w:val="auto"/>
          <w:lang w:eastAsia="zh-CN"/>
        </w:rPr>
        <w:t>，</w:t>
      </w:r>
      <w:r>
        <w:rPr>
          <w:rFonts w:hint="eastAsia"/>
          <w:color w:val="auto"/>
        </w:rPr>
        <w:t>提供承诺函加盖公章</w:t>
      </w:r>
      <w:r>
        <w:rPr>
          <w:rFonts w:hint="eastAsia"/>
          <w:color w:val="auto"/>
          <w:lang w:eastAsia="zh-CN"/>
        </w:rPr>
        <w:t>。</w:t>
      </w:r>
    </w:p>
    <w:p>
      <w:pPr>
        <w:rPr>
          <w:color w:val="auto"/>
        </w:rPr>
      </w:pPr>
      <w:r>
        <w:rPr>
          <w:rFonts w:hint="eastAsia"/>
          <w:color w:val="auto"/>
        </w:rPr>
        <w:t>2、保密要求</w:t>
      </w:r>
    </w:p>
    <w:p>
      <w:pPr>
        <w:rPr>
          <w:color w:val="auto"/>
        </w:rPr>
      </w:pPr>
      <w:r>
        <w:rPr>
          <w:rFonts w:hint="eastAsia"/>
          <w:color w:val="auto"/>
        </w:rPr>
        <w:t>成交供应商应同意：（1）未经采购人事前书面批准，不论服务期间或以后，成交供应商及其工作人员不得以任何方式泄漏采购人的保密信息。（2）不私自复制、下载、拷贝、携带和留存保密信息。（3）一旦服务工作终止，成交供应商及其工作人员将退还保存的属于采购人的所有保密信息及资料，如方案、制度、报告、合同等。</w:t>
      </w:r>
    </w:p>
    <w:p>
      <w:pPr>
        <w:rPr>
          <w:rFonts w:hint="eastAsia"/>
          <w:color w:val="auto"/>
          <w:lang w:val="en-US" w:eastAsia="zh-CN"/>
        </w:rPr>
      </w:pPr>
      <w:r>
        <w:rPr>
          <w:rFonts w:hint="eastAsia"/>
          <w:color w:val="auto"/>
        </w:rPr>
        <w:t>保密期限：从获知采购人保密信息时起，至保密信息已由采购人通过合法途径让普通公众知悉时止。</w:t>
      </w:r>
      <w:r>
        <w:rPr>
          <w:rFonts w:hint="eastAsia"/>
          <w:color w:val="auto"/>
        </w:rPr>
        <w:br w:type="textWrapping"/>
      </w:r>
      <w:r>
        <w:rPr>
          <w:rFonts w:hint="eastAsia"/>
          <w:color w:val="auto"/>
          <w:lang w:val="en-US" w:eastAsia="zh-CN"/>
        </w:rPr>
        <w:t xml:space="preserve">    3、售后服务要求</w:t>
      </w:r>
      <w:r>
        <w:rPr>
          <w:rFonts w:hint="eastAsia"/>
          <w:color w:val="auto"/>
          <w:lang w:val="en-US" w:eastAsia="zh-CN"/>
        </w:rPr>
        <w:br w:type="textWrapping"/>
      </w:r>
      <w:r>
        <w:rPr>
          <w:rFonts w:hint="eastAsia"/>
          <w:color w:val="auto"/>
          <w:lang w:val="en-US" w:eastAsia="zh-CN"/>
        </w:rPr>
        <w:t xml:space="preserve">    成交供应商必须提供详细的技术支持和服务方案，技术支持和服务方案包括（但不限于）：</w:t>
      </w:r>
    </w:p>
    <w:p>
      <w:pPr>
        <w:rPr>
          <w:rFonts w:hint="eastAsia"/>
          <w:color w:val="auto"/>
          <w:lang w:val="en-US" w:eastAsia="zh-CN"/>
        </w:rPr>
      </w:pPr>
      <w:r>
        <w:rPr>
          <w:rFonts w:hint="eastAsia"/>
          <w:color w:val="auto"/>
          <w:lang w:val="en-US" w:eastAsia="zh-CN"/>
        </w:rPr>
        <w:t>（1）如在服务开展中出现不符合项，成交供应商需要提供相应的整改建议及相关方案。对于服务中中发现的主机和网络设备漏洞，投标方应提供项目验收后一年的跟踪服务，对本次评估范围内的问题提供远程技术咨询，对于漏洞的修补、问题的排除给出建议和指导，自项目验收通过之日起计算。</w:t>
      </w:r>
    </w:p>
    <w:p>
      <w:pPr>
        <w:rPr>
          <w:rFonts w:hint="default" w:eastAsia="仿宋"/>
          <w:color w:val="auto"/>
          <w:lang w:val="en-US" w:eastAsia="zh-CN"/>
        </w:rPr>
      </w:pPr>
      <w:r>
        <w:rPr>
          <w:rFonts w:hint="eastAsia"/>
          <w:color w:val="auto"/>
          <w:lang w:val="en-US" w:eastAsia="zh-CN"/>
        </w:rPr>
        <w:t>（2）提供及时有效的售后服务，成交供应商须在本地有服务机构或须承诺如果中标则在海南省设置有不少3名技术人员的售后服务技术支持团队，并承诺提供的售后保障计划应包含7*24小时的技术支持服务，重大活动期间提供现场的技术支持服务，针对突发应急事件提供1小时内到现场处置的服务响应保障，问题解决后24小时内，提交问题处理报告，说明问题种类、问题原因、问题解决中使用的方法及造成的损失等情况。须提供承诺函。</w:t>
      </w:r>
    </w:p>
    <w:sectPr>
      <w:headerReference r:id="rId7" w:type="first"/>
      <w:footerReference r:id="rId10" w:type="first"/>
      <w:headerReference r:id="rId5" w:type="default"/>
      <w:footerReference r:id="rId8" w:type="default"/>
      <w:headerReference r:id="rId6" w:type="even"/>
      <w:footerReference r:id="rId9" w:type="even"/>
      <w:pgSz w:w="11906" w:h="16838"/>
      <w:pgMar w:top="1985" w:right="1418" w:bottom="1418" w:left="1418" w:header="851" w:footer="992" w:gutter="0"/>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ECAEA2"/>
    <w:multiLevelType w:val="singleLevel"/>
    <w:tmpl w:val="FCECAEA2"/>
    <w:lvl w:ilvl="0" w:tentative="0">
      <w:start w:val="1"/>
      <w:numFmt w:val="chineseCounting"/>
      <w:suff w:val="nothing"/>
      <w:lvlText w:val="%1、"/>
      <w:lvlJc w:val="left"/>
      <w:rPr>
        <w:rFonts w:hint="eastAsia"/>
        <w:b/>
        <w:bCs/>
      </w:rPr>
    </w:lvl>
  </w:abstractNum>
  <w:abstractNum w:abstractNumId="1">
    <w:nsid w:val="1D209C15"/>
    <w:multiLevelType w:val="singleLevel"/>
    <w:tmpl w:val="1D209C15"/>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ZhNmY4YmU4NzVlOWJjYjUzOThhZTAxYmQxODY4ODcifQ=="/>
  </w:docVars>
  <w:rsids>
    <w:rsidRoot w:val="05F6413B"/>
    <w:rsid w:val="00002587"/>
    <w:rsid w:val="000504A9"/>
    <w:rsid w:val="0005498A"/>
    <w:rsid w:val="00096CB2"/>
    <w:rsid w:val="000A34E4"/>
    <w:rsid w:val="000E71C4"/>
    <w:rsid w:val="000E75FD"/>
    <w:rsid w:val="000F2F92"/>
    <w:rsid w:val="000F5DA6"/>
    <w:rsid w:val="00110E8D"/>
    <w:rsid w:val="00126D6F"/>
    <w:rsid w:val="001609E7"/>
    <w:rsid w:val="00170580"/>
    <w:rsid w:val="00175B68"/>
    <w:rsid w:val="00176CD7"/>
    <w:rsid w:val="001C2970"/>
    <w:rsid w:val="001F56D5"/>
    <w:rsid w:val="0020083C"/>
    <w:rsid w:val="00213F5D"/>
    <w:rsid w:val="00215AF3"/>
    <w:rsid w:val="0022247A"/>
    <w:rsid w:val="002257CA"/>
    <w:rsid w:val="0023350B"/>
    <w:rsid w:val="00236E9E"/>
    <w:rsid w:val="00243B66"/>
    <w:rsid w:val="00262E07"/>
    <w:rsid w:val="00272E3D"/>
    <w:rsid w:val="00285546"/>
    <w:rsid w:val="00293573"/>
    <w:rsid w:val="002A0947"/>
    <w:rsid w:val="002C0EB2"/>
    <w:rsid w:val="002C4518"/>
    <w:rsid w:val="002D2409"/>
    <w:rsid w:val="0030721E"/>
    <w:rsid w:val="00317468"/>
    <w:rsid w:val="00325BC0"/>
    <w:rsid w:val="00351FCF"/>
    <w:rsid w:val="00370898"/>
    <w:rsid w:val="003741EA"/>
    <w:rsid w:val="003827C6"/>
    <w:rsid w:val="003909E2"/>
    <w:rsid w:val="00407DA9"/>
    <w:rsid w:val="004148D0"/>
    <w:rsid w:val="00421AC3"/>
    <w:rsid w:val="00424A5A"/>
    <w:rsid w:val="0043279F"/>
    <w:rsid w:val="00445261"/>
    <w:rsid w:val="0045553B"/>
    <w:rsid w:val="00455853"/>
    <w:rsid w:val="004574F1"/>
    <w:rsid w:val="00471041"/>
    <w:rsid w:val="004C5A9E"/>
    <w:rsid w:val="005410BD"/>
    <w:rsid w:val="00562344"/>
    <w:rsid w:val="00592E4B"/>
    <w:rsid w:val="005D4992"/>
    <w:rsid w:val="005E08D0"/>
    <w:rsid w:val="006044FE"/>
    <w:rsid w:val="00614C69"/>
    <w:rsid w:val="006213F0"/>
    <w:rsid w:val="00631E54"/>
    <w:rsid w:val="00634962"/>
    <w:rsid w:val="00666814"/>
    <w:rsid w:val="00670731"/>
    <w:rsid w:val="00686CF1"/>
    <w:rsid w:val="006A283B"/>
    <w:rsid w:val="006A49B0"/>
    <w:rsid w:val="006A5F2E"/>
    <w:rsid w:val="006E2441"/>
    <w:rsid w:val="006F6AE8"/>
    <w:rsid w:val="00716ACC"/>
    <w:rsid w:val="00722A08"/>
    <w:rsid w:val="00730CCB"/>
    <w:rsid w:val="007365C1"/>
    <w:rsid w:val="00751A1A"/>
    <w:rsid w:val="007530DE"/>
    <w:rsid w:val="007544E7"/>
    <w:rsid w:val="00786B03"/>
    <w:rsid w:val="00795E1A"/>
    <w:rsid w:val="007C756B"/>
    <w:rsid w:val="007F63EF"/>
    <w:rsid w:val="008526FD"/>
    <w:rsid w:val="00880203"/>
    <w:rsid w:val="008A2025"/>
    <w:rsid w:val="008A46C1"/>
    <w:rsid w:val="008B777F"/>
    <w:rsid w:val="008C3658"/>
    <w:rsid w:val="008D1307"/>
    <w:rsid w:val="008D7F3A"/>
    <w:rsid w:val="008E5735"/>
    <w:rsid w:val="008F123A"/>
    <w:rsid w:val="008F6AEC"/>
    <w:rsid w:val="0091377D"/>
    <w:rsid w:val="009452C9"/>
    <w:rsid w:val="009768E0"/>
    <w:rsid w:val="009D70EE"/>
    <w:rsid w:val="00A41C14"/>
    <w:rsid w:val="00A5353D"/>
    <w:rsid w:val="00A5366E"/>
    <w:rsid w:val="00A7056B"/>
    <w:rsid w:val="00AA5E82"/>
    <w:rsid w:val="00AB2824"/>
    <w:rsid w:val="00AB5577"/>
    <w:rsid w:val="00AD62B2"/>
    <w:rsid w:val="00AE6625"/>
    <w:rsid w:val="00B071B7"/>
    <w:rsid w:val="00B177F2"/>
    <w:rsid w:val="00B279BB"/>
    <w:rsid w:val="00B86A13"/>
    <w:rsid w:val="00BB5110"/>
    <w:rsid w:val="00BE24B2"/>
    <w:rsid w:val="00C1207F"/>
    <w:rsid w:val="00C22883"/>
    <w:rsid w:val="00C24ADA"/>
    <w:rsid w:val="00C3526A"/>
    <w:rsid w:val="00C46E1C"/>
    <w:rsid w:val="00C53DE7"/>
    <w:rsid w:val="00C87F76"/>
    <w:rsid w:val="00C9222D"/>
    <w:rsid w:val="00C95808"/>
    <w:rsid w:val="00CD32F8"/>
    <w:rsid w:val="00CD4D47"/>
    <w:rsid w:val="00CD67C6"/>
    <w:rsid w:val="00D5606C"/>
    <w:rsid w:val="00D60C78"/>
    <w:rsid w:val="00D72C84"/>
    <w:rsid w:val="00D817F7"/>
    <w:rsid w:val="00D85C5F"/>
    <w:rsid w:val="00DA65B3"/>
    <w:rsid w:val="00DA694B"/>
    <w:rsid w:val="00DB2339"/>
    <w:rsid w:val="00DE50D0"/>
    <w:rsid w:val="00DF7C54"/>
    <w:rsid w:val="00E251E0"/>
    <w:rsid w:val="00E35330"/>
    <w:rsid w:val="00E578E3"/>
    <w:rsid w:val="00E749DD"/>
    <w:rsid w:val="00E95A16"/>
    <w:rsid w:val="00ED67A8"/>
    <w:rsid w:val="00EF4757"/>
    <w:rsid w:val="00EF62C4"/>
    <w:rsid w:val="00F04F8E"/>
    <w:rsid w:val="00F24704"/>
    <w:rsid w:val="00F3058C"/>
    <w:rsid w:val="00F35E76"/>
    <w:rsid w:val="00F51316"/>
    <w:rsid w:val="00FA12B1"/>
    <w:rsid w:val="00FB7A84"/>
    <w:rsid w:val="01A0745D"/>
    <w:rsid w:val="02025461"/>
    <w:rsid w:val="024C5E48"/>
    <w:rsid w:val="024D5563"/>
    <w:rsid w:val="029F3415"/>
    <w:rsid w:val="02DD4B6E"/>
    <w:rsid w:val="0372399E"/>
    <w:rsid w:val="03D2619B"/>
    <w:rsid w:val="04246135"/>
    <w:rsid w:val="0454396F"/>
    <w:rsid w:val="05033049"/>
    <w:rsid w:val="051175CF"/>
    <w:rsid w:val="053975EE"/>
    <w:rsid w:val="054C5D40"/>
    <w:rsid w:val="05BD3288"/>
    <w:rsid w:val="05F6413B"/>
    <w:rsid w:val="06AB6E67"/>
    <w:rsid w:val="06CA694F"/>
    <w:rsid w:val="07D21D7A"/>
    <w:rsid w:val="08576D34"/>
    <w:rsid w:val="08E2175A"/>
    <w:rsid w:val="08FC0E5C"/>
    <w:rsid w:val="09611AC2"/>
    <w:rsid w:val="096F3CD4"/>
    <w:rsid w:val="0A206DCD"/>
    <w:rsid w:val="0A432ABB"/>
    <w:rsid w:val="0A7E1D45"/>
    <w:rsid w:val="0ACB31DC"/>
    <w:rsid w:val="0B141B12"/>
    <w:rsid w:val="0B4D3BF1"/>
    <w:rsid w:val="0BBF036B"/>
    <w:rsid w:val="0BC81BCE"/>
    <w:rsid w:val="0C3C3A84"/>
    <w:rsid w:val="0C5D4308"/>
    <w:rsid w:val="0CA87B82"/>
    <w:rsid w:val="0CF91A13"/>
    <w:rsid w:val="0D003CC1"/>
    <w:rsid w:val="0D853FA9"/>
    <w:rsid w:val="0DED6FC6"/>
    <w:rsid w:val="0E675CD8"/>
    <w:rsid w:val="0F593690"/>
    <w:rsid w:val="0F786D63"/>
    <w:rsid w:val="106A32AE"/>
    <w:rsid w:val="10973B61"/>
    <w:rsid w:val="111451B1"/>
    <w:rsid w:val="11D9778F"/>
    <w:rsid w:val="131479B0"/>
    <w:rsid w:val="13AC3A56"/>
    <w:rsid w:val="13CD4737"/>
    <w:rsid w:val="14661616"/>
    <w:rsid w:val="14803126"/>
    <w:rsid w:val="14B17E67"/>
    <w:rsid w:val="14B60A59"/>
    <w:rsid w:val="17076D19"/>
    <w:rsid w:val="17173F83"/>
    <w:rsid w:val="18146B2A"/>
    <w:rsid w:val="18574BF6"/>
    <w:rsid w:val="189505CF"/>
    <w:rsid w:val="18F85153"/>
    <w:rsid w:val="1A225332"/>
    <w:rsid w:val="1A5B79AD"/>
    <w:rsid w:val="1B356708"/>
    <w:rsid w:val="1B544B28"/>
    <w:rsid w:val="1B732E2D"/>
    <w:rsid w:val="1B7739DA"/>
    <w:rsid w:val="1C4A1A87"/>
    <w:rsid w:val="1D077F36"/>
    <w:rsid w:val="1D8A4721"/>
    <w:rsid w:val="1E207E4E"/>
    <w:rsid w:val="1E854FF8"/>
    <w:rsid w:val="1EB16B92"/>
    <w:rsid w:val="1EE80F21"/>
    <w:rsid w:val="1F192B4B"/>
    <w:rsid w:val="1F730E90"/>
    <w:rsid w:val="200A3A07"/>
    <w:rsid w:val="212A1E87"/>
    <w:rsid w:val="214304F3"/>
    <w:rsid w:val="231A0710"/>
    <w:rsid w:val="237A362E"/>
    <w:rsid w:val="239437D5"/>
    <w:rsid w:val="24CD5AB9"/>
    <w:rsid w:val="25880D50"/>
    <w:rsid w:val="25C970BA"/>
    <w:rsid w:val="26005C34"/>
    <w:rsid w:val="265B3DF5"/>
    <w:rsid w:val="26EF6F61"/>
    <w:rsid w:val="27246015"/>
    <w:rsid w:val="273824C0"/>
    <w:rsid w:val="2778394C"/>
    <w:rsid w:val="27CE17BE"/>
    <w:rsid w:val="27D6204F"/>
    <w:rsid w:val="28BA1D43"/>
    <w:rsid w:val="28E05C4D"/>
    <w:rsid w:val="295D47F0"/>
    <w:rsid w:val="29F23E8A"/>
    <w:rsid w:val="2A7E3970"/>
    <w:rsid w:val="2AC9315C"/>
    <w:rsid w:val="2AF33C47"/>
    <w:rsid w:val="2B39216D"/>
    <w:rsid w:val="2B577849"/>
    <w:rsid w:val="2BD24109"/>
    <w:rsid w:val="2C131E96"/>
    <w:rsid w:val="2C2E0361"/>
    <w:rsid w:val="2C88126B"/>
    <w:rsid w:val="2D034294"/>
    <w:rsid w:val="2D177F63"/>
    <w:rsid w:val="2D7C05EC"/>
    <w:rsid w:val="2DEF49C7"/>
    <w:rsid w:val="2E924DF5"/>
    <w:rsid w:val="2EBF4557"/>
    <w:rsid w:val="2F043F6E"/>
    <w:rsid w:val="2F7A1AB2"/>
    <w:rsid w:val="304F5466"/>
    <w:rsid w:val="314C5A80"/>
    <w:rsid w:val="31615451"/>
    <w:rsid w:val="31701B38"/>
    <w:rsid w:val="318C4BC4"/>
    <w:rsid w:val="31A73D61"/>
    <w:rsid w:val="31B06398"/>
    <w:rsid w:val="32594A1C"/>
    <w:rsid w:val="327E6664"/>
    <w:rsid w:val="32BD26EB"/>
    <w:rsid w:val="330B1B18"/>
    <w:rsid w:val="333F5C66"/>
    <w:rsid w:val="3402116D"/>
    <w:rsid w:val="34A9000A"/>
    <w:rsid w:val="34B34562"/>
    <w:rsid w:val="34D746C4"/>
    <w:rsid w:val="35411821"/>
    <w:rsid w:val="35AF49C2"/>
    <w:rsid w:val="35B1470D"/>
    <w:rsid w:val="36090261"/>
    <w:rsid w:val="360E0A21"/>
    <w:rsid w:val="36BF3237"/>
    <w:rsid w:val="374B6518"/>
    <w:rsid w:val="37984D85"/>
    <w:rsid w:val="37DE3D29"/>
    <w:rsid w:val="37F44E86"/>
    <w:rsid w:val="380A4A95"/>
    <w:rsid w:val="38415FDC"/>
    <w:rsid w:val="384565EA"/>
    <w:rsid w:val="38A86C4D"/>
    <w:rsid w:val="39AE797C"/>
    <w:rsid w:val="39E66E3B"/>
    <w:rsid w:val="3AEF3DCA"/>
    <w:rsid w:val="3AF46B46"/>
    <w:rsid w:val="3B053500"/>
    <w:rsid w:val="3CFE6F8A"/>
    <w:rsid w:val="3D3560AA"/>
    <w:rsid w:val="3DB9470C"/>
    <w:rsid w:val="3DDC47DD"/>
    <w:rsid w:val="3F7C36C3"/>
    <w:rsid w:val="3FD633C9"/>
    <w:rsid w:val="40442804"/>
    <w:rsid w:val="404E7263"/>
    <w:rsid w:val="40731583"/>
    <w:rsid w:val="40A20BE4"/>
    <w:rsid w:val="40DE086C"/>
    <w:rsid w:val="40F86A09"/>
    <w:rsid w:val="415B4687"/>
    <w:rsid w:val="41725811"/>
    <w:rsid w:val="41A970CC"/>
    <w:rsid w:val="41B76415"/>
    <w:rsid w:val="4277177F"/>
    <w:rsid w:val="42B47379"/>
    <w:rsid w:val="43920486"/>
    <w:rsid w:val="444915A0"/>
    <w:rsid w:val="44C84360"/>
    <w:rsid w:val="44FF20C1"/>
    <w:rsid w:val="453A6210"/>
    <w:rsid w:val="45E20A3A"/>
    <w:rsid w:val="46344CDD"/>
    <w:rsid w:val="46BE36AC"/>
    <w:rsid w:val="47D827AB"/>
    <w:rsid w:val="47F67274"/>
    <w:rsid w:val="48DA1D66"/>
    <w:rsid w:val="48DA5DBD"/>
    <w:rsid w:val="48FA6F51"/>
    <w:rsid w:val="495A6EFE"/>
    <w:rsid w:val="499248EA"/>
    <w:rsid w:val="4A2A30AE"/>
    <w:rsid w:val="4A2C2648"/>
    <w:rsid w:val="4AAF7D6F"/>
    <w:rsid w:val="4B0435C5"/>
    <w:rsid w:val="4B50680B"/>
    <w:rsid w:val="4BE428AA"/>
    <w:rsid w:val="4BF76C86"/>
    <w:rsid w:val="4C8864F9"/>
    <w:rsid w:val="4C9A09B1"/>
    <w:rsid w:val="4D6E2F78"/>
    <w:rsid w:val="4D7923FB"/>
    <w:rsid w:val="4D901140"/>
    <w:rsid w:val="4E155D44"/>
    <w:rsid w:val="4F1633A3"/>
    <w:rsid w:val="4F39249D"/>
    <w:rsid w:val="4F3D0E54"/>
    <w:rsid w:val="4F9D6E74"/>
    <w:rsid w:val="500D78D5"/>
    <w:rsid w:val="508475BC"/>
    <w:rsid w:val="50C65ACD"/>
    <w:rsid w:val="51940B5B"/>
    <w:rsid w:val="519E67E6"/>
    <w:rsid w:val="51C77EF6"/>
    <w:rsid w:val="53CE03E9"/>
    <w:rsid w:val="53DE6C0E"/>
    <w:rsid w:val="54696CE1"/>
    <w:rsid w:val="54BA402F"/>
    <w:rsid w:val="55B34320"/>
    <w:rsid w:val="55B54A38"/>
    <w:rsid w:val="56564C5E"/>
    <w:rsid w:val="577F3F4E"/>
    <w:rsid w:val="582412DA"/>
    <w:rsid w:val="583416BF"/>
    <w:rsid w:val="58BB4441"/>
    <w:rsid w:val="59745DBA"/>
    <w:rsid w:val="5A0B5707"/>
    <w:rsid w:val="5A5B4884"/>
    <w:rsid w:val="5ACF2310"/>
    <w:rsid w:val="5B9B7485"/>
    <w:rsid w:val="5C1219E1"/>
    <w:rsid w:val="5C266B99"/>
    <w:rsid w:val="5C735EB5"/>
    <w:rsid w:val="5CEA03E7"/>
    <w:rsid w:val="5D1061EB"/>
    <w:rsid w:val="5D242E5C"/>
    <w:rsid w:val="5E104A00"/>
    <w:rsid w:val="5E337FF2"/>
    <w:rsid w:val="5F427294"/>
    <w:rsid w:val="5F8E7A85"/>
    <w:rsid w:val="5FA2111A"/>
    <w:rsid w:val="62316557"/>
    <w:rsid w:val="635035F8"/>
    <w:rsid w:val="644D16E1"/>
    <w:rsid w:val="649B2A1E"/>
    <w:rsid w:val="65142556"/>
    <w:rsid w:val="657D4D9C"/>
    <w:rsid w:val="6598698C"/>
    <w:rsid w:val="65F23B4E"/>
    <w:rsid w:val="66197F7C"/>
    <w:rsid w:val="67506EB5"/>
    <w:rsid w:val="682B15F5"/>
    <w:rsid w:val="6848469A"/>
    <w:rsid w:val="68C552ED"/>
    <w:rsid w:val="69021FA8"/>
    <w:rsid w:val="69D8067A"/>
    <w:rsid w:val="6A484E25"/>
    <w:rsid w:val="6ACA583A"/>
    <w:rsid w:val="6B0D3978"/>
    <w:rsid w:val="6B721029"/>
    <w:rsid w:val="6B8253BB"/>
    <w:rsid w:val="6BA77929"/>
    <w:rsid w:val="6BB85C11"/>
    <w:rsid w:val="6C33190E"/>
    <w:rsid w:val="6C5B1204"/>
    <w:rsid w:val="6CAB79E7"/>
    <w:rsid w:val="6D0843F7"/>
    <w:rsid w:val="6D0A639A"/>
    <w:rsid w:val="6D9D14E0"/>
    <w:rsid w:val="6DF125F1"/>
    <w:rsid w:val="6E182D60"/>
    <w:rsid w:val="6E544C9A"/>
    <w:rsid w:val="6EE47F43"/>
    <w:rsid w:val="6F2614AD"/>
    <w:rsid w:val="70020185"/>
    <w:rsid w:val="70B043A7"/>
    <w:rsid w:val="71B3084E"/>
    <w:rsid w:val="7220417A"/>
    <w:rsid w:val="728D737B"/>
    <w:rsid w:val="72C41CD9"/>
    <w:rsid w:val="735741DD"/>
    <w:rsid w:val="73C55AA5"/>
    <w:rsid w:val="73F01E02"/>
    <w:rsid w:val="74475AB6"/>
    <w:rsid w:val="74575C64"/>
    <w:rsid w:val="74C552BF"/>
    <w:rsid w:val="74ED166E"/>
    <w:rsid w:val="75137AE9"/>
    <w:rsid w:val="75151C58"/>
    <w:rsid w:val="751853F4"/>
    <w:rsid w:val="75226272"/>
    <w:rsid w:val="75387844"/>
    <w:rsid w:val="75EA3234"/>
    <w:rsid w:val="76723F34"/>
    <w:rsid w:val="78510C48"/>
    <w:rsid w:val="78952907"/>
    <w:rsid w:val="78A032D6"/>
    <w:rsid w:val="790B0857"/>
    <w:rsid w:val="79C63670"/>
    <w:rsid w:val="7A713DCE"/>
    <w:rsid w:val="7A9449F1"/>
    <w:rsid w:val="7A9905B0"/>
    <w:rsid w:val="7BBA7205"/>
    <w:rsid w:val="7C06244A"/>
    <w:rsid w:val="7D9D293A"/>
    <w:rsid w:val="7DA83814"/>
    <w:rsid w:val="7E1E2589"/>
    <w:rsid w:val="7E81400A"/>
    <w:rsid w:val="7EF91208"/>
    <w:rsid w:val="7F127AA7"/>
    <w:rsid w:val="7F8C2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600" w:lineRule="exact"/>
      <w:ind w:firstLine="560" w:firstLineChars="200"/>
      <w:jc w:val="both"/>
    </w:pPr>
    <w:rPr>
      <w:rFonts w:eastAsia="仿宋" w:asciiTheme="minorHAnsi" w:hAnsiTheme="minorHAnsi" w:cstheme="minorBidi"/>
      <w:kern w:val="2"/>
      <w:sz w:val="28"/>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rFonts w:eastAsia="宋体"/>
      <w:b/>
      <w:kern w:val="44"/>
      <w:sz w:val="30"/>
    </w:rPr>
  </w:style>
  <w:style w:type="paragraph" w:styleId="4">
    <w:name w:val="heading 2"/>
    <w:basedOn w:val="1"/>
    <w:next w:val="1"/>
    <w:link w:val="24"/>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3"/>
    <w:basedOn w:val="1"/>
    <w:next w:val="1"/>
    <w:autoRedefine/>
    <w:qFormat/>
    <w:uiPriority w:val="0"/>
    <w:pPr>
      <w:keepNext/>
      <w:keepLines/>
      <w:spacing w:before="260" w:after="260" w:line="415" w:lineRule="auto"/>
      <w:outlineLvl w:val="2"/>
    </w:pPr>
    <w:rPr>
      <w:rFonts w:ascii="黑体" w:hAnsi="Times New Roman" w:eastAsia="黑体" w:cs="Times New Roman"/>
      <w:b/>
      <w:szCs w:val="20"/>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1"/>
    <w:autoRedefine/>
    <w:qFormat/>
    <w:uiPriority w:val="0"/>
    <w:pPr>
      <w:jc w:val="left"/>
    </w:pPr>
  </w:style>
  <w:style w:type="paragraph" w:styleId="6">
    <w:name w:val="Body Text"/>
    <w:basedOn w:val="1"/>
    <w:next w:val="7"/>
    <w:autoRedefine/>
    <w:qFormat/>
    <w:uiPriority w:val="99"/>
    <w:pPr>
      <w:spacing w:after="120"/>
    </w:pPr>
  </w:style>
  <w:style w:type="paragraph" w:styleId="7">
    <w:name w:val="Title"/>
    <w:basedOn w:val="1"/>
    <w:next w:val="1"/>
    <w:autoRedefine/>
    <w:qFormat/>
    <w:uiPriority w:val="0"/>
    <w:pPr>
      <w:spacing w:after="300"/>
      <w:contextualSpacing/>
      <w:jc w:val="center"/>
    </w:pPr>
    <w:rPr>
      <w:rFonts w:ascii="黑体" w:hAnsi="黑体" w:eastAsia="黑体"/>
      <w:spacing w:val="5"/>
      <w:kern w:val="28"/>
      <w:sz w:val="56"/>
      <w:szCs w:val="52"/>
    </w:rPr>
  </w:style>
  <w:style w:type="paragraph" w:styleId="8">
    <w:name w:val="Balloon Text"/>
    <w:basedOn w:val="1"/>
    <w:link w:val="29"/>
    <w:autoRedefine/>
    <w:qFormat/>
    <w:uiPriority w:val="0"/>
    <w:rPr>
      <w:sz w:val="18"/>
      <w:szCs w:val="18"/>
    </w:rPr>
  </w:style>
  <w:style w:type="paragraph" w:styleId="9">
    <w:name w:val="footer"/>
    <w:basedOn w:val="1"/>
    <w:link w:val="19"/>
    <w:autoRedefine/>
    <w:qFormat/>
    <w:uiPriority w:val="0"/>
    <w:pPr>
      <w:tabs>
        <w:tab w:val="center" w:pos="4153"/>
        <w:tab w:val="right" w:pos="8306"/>
      </w:tabs>
      <w:snapToGrid w:val="0"/>
      <w:jc w:val="left"/>
    </w:pPr>
    <w:rPr>
      <w:sz w:val="18"/>
      <w:szCs w:val="18"/>
    </w:rPr>
  </w:style>
  <w:style w:type="paragraph" w:styleId="10">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annotation subject"/>
    <w:basedOn w:val="5"/>
    <w:next w:val="5"/>
    <w:link w:val="22"/>
    <w:autoRedefine/>
    <w:qFormat/>
    <w:uiPriority w:val="0"/>
    <w:rPr>
      <w:b/>
      <w:bCs/>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basedOn w:val="15"/>
    <w:autoRedefine/>
    <w:qFormat/>
    <w:uiPriority w:val="0"/>
    <w:rPr>
      <w:sz w:val="21"/>
      <w:szCs w:val="21"/>
    </w:rPr>
  </w:style>
  <w:style w:type="character" w:customStyle="1" w:styleId="18">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19">
    <w:name w:val="页脚 字符"/>
    <w:basedOn w:val="15"/>
    <w:link w:val="9"/>
    <w:autoRedefine/>
    <w:qFormat/>
    <w:uiPriority w:val="0"/>
    <w:rPr>
      <w:rFonts w:asciiTheme="minorHAnsi" w:hAnsiTheme="minorHAnsi" w:eastAsiaTheme="minorEastAsia" w:cstheme="minorBidi"/>
      <w:kern w:val="2"/>
      <w:sz w:val="18"/>
      <w:szCs w:val="18"/>
    </w:rPr>
  </w:style>
  <w:style w:type="paragraph" w:styleId="20">
    <w:name w:val="List Paragraph"/>
    <w:basedOn w:val="1"/>
    <w:autoRedefine/>
    <w:qFormat/>
    <w:uiPriority w:val="34"/>
    <w:pPr>
      <w:ind w:firstLine="420"/>
    </w:pPr>
  </w:style>
  <w:style w:type="character" w:customStyle="1" w:styleId="21">
    <w:name w:val="批注文字 字符"/>
    <w:basedOn w:val="15"/>
    <w:link w:val="5"/>
    <w:autoRedefine/>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2"/>
    <w:autoRedefine/>
    <w:qFormat/>
    <w:uiPriority w:val="0"/>
    <w:rPr>
      <w:rFonts w:asciiTheme="minorHAnsi" w:hAnsiTheme="minorHAnsi" w:eastAsiaTheme="minorEastAsia" w:cstheme="minorBidi"/>
      <w:b/>
      <w:bCs/>
      <w:kern w:val="2"/>
      <w:sz w:val="21"/>
      <w:szCs w:val="24"/>
    </w:rPr>
  </w:style>
  <w:style w:type="paragraph" w:customStyle="1" w:styleId="23">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4">
    <w:name w:val="标题 2 字符"/>
    <w:basedOn w:val="15"/>
    <w:link w:val="4"/>
    <w:autoRedefine/>
    <w:qFormat/>
    <w:uiPriority w:val="9"/>
    <w:rPr>
      <w:rFonts w:asciiTheme="majorHAnsi" w:hAnsiTheme="majorHAnsi" w:eastAsiaTheme="majorEastAsia" w:cstheme="majorBidi"/>
      <w:b/>
      <w:bCs/>
      <w:kern w:val="2"/>
      <w:sz w:val="32"/>
      <w:szCs w:val="32"/>
    </w:rPr>
  </w:style>
  <w:style w:type="character" w:customStyle="1" w:styleId="25">
    <w:name w:val="font31"/>
    <w:basedOn w:val="15"/>
    <w:autoRedefine/>
    <w:qFormat/>
    <w:uiPriority w:val="0"/>
    <w:rPr>
      <w:rFonts w:hint="eastAsia" w:ascii="宋体" w:hAnsi="宋体" w:eastAsia="宋体" w:cs="宋体"/>
      <w:color w:val="000000"/>
      <w:sz w:val="21"/>
      <w:szCs w:val="21"/>
      <w:u w:val="none"/>
    </w:rPr>
  </w:style>
  <w:style w:type="character" w:customStyle="1" w:styleId="26">
    <w:name w:val="font51"/>
    <w:basedOn w:val="15"/>
    <w:autoRedefine/>
    <w:qFormat/>
    <w:uiPriority w:val="0"/>
    <w:rPr>
      <w:rFonts w:hint="eastAsia" w:ascii="宋体" w:hAnsi="宋体" w:eastAsia="宋体" w:cs="宋体"/>
      <w:color w:val="FF0000"/>
      <w:sz w:val="21"/>
      <w:szCs w:val="21"/>
      <w:u w:val="none"/>
    </w:rPr>
  </w:style>
  <w:style w:type="character" w:customStyle="1" w:styleId="27">
    <w:name w:val="font21"/>
    <w:basedOn w:val="15"/>
    <w:autoRedefine/>
    <w:qFormat/>
    <w:uiPriority w:val="0"/>
    <w:rPr>
      <w:rFonts w:hint="eastAsia" w:ascii="宋体" w:hAnsi="宋体" w:eastAsia="宋体" w:cs="宋体"/>
      <w:color w:val="000000"/>
      <w:sz w:val="21"/>
      <w:szCs w:val="21"/>
      <w:u w:val="none"/>
    </w:rPr>
  </w:style>
  <w:style w:type="character" w:customStyle="1" w:styleId="28">
    <w:name w:val="font11"/>
    <w:basedOn w:val="15"/>
    <w:autoRedefine/>
    <w:qFormat/>
    <w:uiPriority w:val="0"/>
    <w:rPr>
      <w:rFonts w:hint="eastAsia" w:ascii="宋体" w:hAnsi="宋体" w:eastAsia="宋体" w:cs="宋体"/>
      <w:color w:val="000000"/>
      <w:sz w:val="21"/>
      <w:szCs w:val="21"/>
      <w:u w:val="none"/>
    </w:rPr>
  </w:style>
  <w:style w:type="character" w:customStyle="1" w:styleId="29">
    <w:name w:val="批注框文本 字符"/>
    <w:basedOn w:val="15"/>
    <w:link w:val="8"/>
    <w:autoRedefine/>
    <w:qFormat/>
    <w:uiPriority w:val="0"/>
    <w:rPr>
      <w:rFonts w:eastAsia="仿宋" w:asciiTheme="minorHAnsi" w:hAnsiTheme="minorHAnsi" w:cstheme="minorBidi"/>
      <w:kern w:val="2"/>
      <w:sz w:val="18"/>
      <w:szCs w:val="18"/>
    </w:rPr>
  </w:style>
  <w:style w:type="paragraph" w:customStyle="1" w:styleId="30">
    <w:name w:val="修订2"/>
    <w:autoRedefine/>
    <w:hidden/>
    <w:unhideWhenUsed/>
    <w:qFormat/>
    <w:uiPriority w:val="99"/>
    <w:rPr>
      <w:rFonts w:eastAsia="仿宋" w:asciiTheme="minorHAnsi" w:hAnsiTheme="minorHAnsi" w:cstheme="minorBidi"/>
      <w:kern w:val="2"/>
      <w:sz w:val="28"/>
      <w:szCs w:val="24"/>
      <w:lang w:val="en-US" w:eastAsia="zh-CN" w:bidi="ar-SA"/>
    </w:rPr>
  </w:style>
  <w:style w:type="paragraph" w:customStyle="1" w:styleId="31">
    <w:name w:val="修订3"/>
    <w:autoRedefine/>
    <w:hidden/>
    <w:unhideWhenUsed/>
    <w:qFormat/>
    <w:uiPriority w:val="99"/>
    <w:rPr>
      <w:rFonts w:eastAsia="仿宋" w:asciiTheme="minorHAnsi" w:hAnsiTheme="minorHAnsi" w:cstheme="minorBidi"/>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4756</Words>
  <Characters>4842</Characters>
  <Lines>29</Lines>
  <Paragraphs>8</Paragraphs>
  <TotalTime>35</TotalTime>
  <ScaleCrop>false</ScaleCrop>
  <LinksUpToDate>false</LinksUpToDate>
  <CharactersWithSpaces>4868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2024-04-09T10:34:00Z</dcterms:created>
  <dc:creator>一张网</dc:creator>
  <cp:lastModifiedBy>风晓得美</cp:lastModifiedBy>
  <dcterms:modified xsi:type="dcterms:W3CDTF">2024-06-03T07:31:03Z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89282A14C04141489481DF1BC142A693_13</vt:lpwstr>
  </property>
</Properties>
</file>