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ascii="宋体" w:hAnsi="宋体" w:eastAsia="宋体" w:cs="宋体"/>
          <w:b/>
          <w:bCs/>
          <w:sz w:val="36"/>
          <w:szCs w:val="36"/>
        </w:rPr>
      </w:pPr>
      <w:r>
        <w:rPr>
          <w:rFonts w:hint="eastAsia" w:ascii="宋体" w:hAnsi="宋体" w:eastAsia="宋体" w:cs="宋体"/>
          <w:b/>
          <w:bCs/>
          <w:sz w:val="30"/>
          <w:szCs w:val="30"/>
          <w:lang w:val="en-US" w:eastAsia="zh-CN"/>
        </w:rPr>
        <w:t>附件：</w:t>
      </w:r>
    </w:p>
    <w:p>
      <w:pPr>
        <w:jc w:val="center"/>
        <w:rPr>
          <w:rFonts w:ascii="宋体" w:hAnsi="宋体" w:eastAsia="宋体" w:cs="宋体"/>
          <w:sz w:val="24"/>
          <w:szCs w:val="24"/>
        </w:rPr>
      </w:pPr>
      <w:r>
        <w:rPr>
          <w:rFonts w:hint="eastAsia" w:ascii="宋体" w:hAnsi="宋体" w:eastAsia="宋体" w:cs="宋体"/>
          <w:b/>
          <w:bCs/>
          <w:sz w:val="36"/>
          <w:szCs w:val="36"/>
          <w:lang w:eastAsia="zh-CN"/>
        </w:rPr>
        <w:t>广东新天河宾馆有限公司综合维修改造造价咨询服务零星采购项目技术规范书</w:t>
      </w:r>
    </w:p>
    <w:p>
      <w:pPr>
        <w:numPr>
          <w:ilvl w:val="0"/>
          <w:numId w:val="0"/>
        </w:numPr>
        <w:ind w:left="0" w:leftChars="0" w:firstLine="602" w:firstLineChars="200"/>
        <w:jc w:val="both"/>
        <w:rPr>
          <w:rFonts w:hint="eastAsia" w:ascii="宋体" w:hAnsi="宋体" w:eastAsia="宋体" w:cs="宋体"/>
          <w:b/>
          <w:bCs/>
          <w:sz w:val="30"/>
          <w:szCs w:val="30"/>
        </w:rPr>
      </w:pPr>
      <w:r>
        <w:rPr>
          <w:rFonts w:hint="eastAsia" w:ascii="宋体" w:hAnsi="宋体" w:eastAsia="宋体" w:cs="宋体"/>
          <w:b/>
          <w:bCs/>
          <w:sz w:val="30"/>
          <w:szCs w:val="30"/>
          <w:lang w:eastAsia="zh-CN"/>
        </w:rPr>
        <w:t>一、</w:t>
      </w:r>
      <w:r>
        <w:rPr>
          <w:rFonts w:hint="eastAsia" w:ascii="宋体" w:hAnsi="宋体" w:eastAsia="宋体" w:cs="宋体"/>
          <w:b/>
          <w:bCs/>
          <w:sz w:val="30"/>
          <w:szCs w:val="30"/>
        </w:rPr>
        <w:t>工程概况</w:t>
      </w:r>
    </w:p>
    <w:p>
      <w:pPr>
        <w:adjustRightInd w:val="0"/>
        <w:snapToGrid w:val="0"/>
        <w:spacing w:line="360" w:lineRule="auto"/>
        <w:ind w:firstLine="600" w:firstLineChars="200"/>
        <w:outlineLvl w:val="0"/>
        <w:rPr>
          <w:b/>
          <w:color w:val="000000"/>
          <w:sz w:val="28"/>
          <w:szCs w:val="28"/>
          <w:u w:val="none"/>
        </w:rPr>
      </w:pPr>
      <w:r>
        <w:rPr>
          <w:rFonts w:hint="eastAsia" w:ascii="宋体" w:hAnsi="宋体" w:eastAsia="宋体" w:cs="宋体"/>
          <w:sz w:val="30"/>
          <w:szCs w:val="30"/>
        </w:rPr>
        <w:t>本技术规范书适用于</w:t>
      </w:r>
      <w:r>
        <w:rPr>
          <w:rFonts w:hint="eastAsia" w:ascii="宋体" w:hAnsi="宋体" w:eastAsia="宋体" w:cs="宋体"/>
          <w:sz w:val="30"/>
          <w:szCs w:val="30"/>
          <w:u w:val="none"/>
          <w:lang w:eastAsia="zh-CN"/>
        </w:rPr>
        <w:t>广东新天河宾馆有限公司综合维修改造造价咨询服务零星采购项目，</w:t>
      </w:r>
      <w:r>
        <w:rPr>
          <w:rFonts w:hint="eastAsia" w:ascii="宋体" w:hAnsi="宋体" w:cs="宋体"/>
          <w:sz w:val="30"/>
          <w:szCs w:val="30"/>
          <w:u w:val="none"/>
          <w:lang w:eastAsia="zh-CN"/>
        </w:rPr>
        <w:t>项目有效期为中标通知书发布</w:t>
      </w:r>
      <w:bookmarkStart w:id="0" w:name="_GoBack"/>
      <w:bookmarkEnd w:id="0"/>
      <w:r>
        <w:rPr>
          <w:rFonts w:hint="eastAsia" w:ascii="宋体" w:hAnsi="宋体" w:eastAsia="宋体" w:cs="宋体"/>
          <w:sz w:val="30"/>
          <w:szCs w:val="30"/>
          <w:highlight w:val="none"/>
        </w:rPr>
        <w:t>后</w:t>
      </w:r>
      <w:r>
        <w:rPr>
          <w:rFonts w:hint="eastAsia" w:ascii="宋体" w:hAnsi="宋体" w:eastAsia="宋体" w:cs="宋体"/>
          <w:sz w:val="30"/>
          <w:szCs w:val="30"/>
          <w:lang w:val="en-US" w:eastAsia="zh-CN"/>
        </w:rPr>
        <w:t>6个月</w:t>
      </w:r>
      <w:r>
        <w:rPr>
          <w:rFonts w:hint="eastAsia" w:ascii="宋体" w:hAnsi="宋体" w:eastAsia="宋体" w:cs="宋体"/>
          <w:sz w:val="30"/>
          <w:szCs w:val="30"/>
          <w:u w:val="none"/>
          <w:lang w:eastAsia="zh-CN"/>
        </w:rPr>
        <w:t>。工作内容包括：</w:t>
      </w:r>
      <w:r>
        <w:rPr>
          <w:rFonts w:hint="eastAsia" w:ascii="宋体" w:hAnsi="宋体" w:eastAsia="宋体" w:cs="Times New Roman"/>
          <w:color w:val="000000"/>
          <w:sz w:val="28"/>
          <w:szCs w:val="28"/>
          <w:u w:val="none"/>
          <w:lang w:val="en-US" w:eastAsia="zh-CN"/>
        </w:rPr>
        <w:t>新天河宾馆所辖范围内所有综合维修改造工作（包括但不限于房屋装修改造、墙面维修、屋面防水维修、地面维修、外墙维修、门窗维修、外墙防水、吊顶维修、道路维修、其他附属设施设备维修及改造等）的造价咨询服务。</w:t>
      </w:r>
    </w:p>
    <w:p>
      <w:pPr>
        <w:numPr>
          <w:ilvl w:val="0"/>
          <w:numId w:val="0"/>
        </w:numPr>
        <w:ind w:left="0" w:leftChars="0" w:firstLine="602" w:firstLineChars="200"/>
        <w:jc w:val="both"/>
        <w:rPr>
          <w:rFonts w:hint="eastAsia" w:ascii="宋体" w:hAnsi="宋体" w:eastAsia="宋体" w:cs="宋体"/>
          <w:sz w:val="30"/>
          <w:szCs w:val="30"/>
          <w:lang w:val="en-US" w:eastAsia="zh-CN"/>
        </w:rPr>
      </w:pPr>
      <w:r>
        <w:rPr>
          <w:rFonts w:hint="eastAsia" w:ascii="宋体" w:hAnsi="宋体" w:eastAsia="宋体" w:cs="宋体"/>
          <w:b/>
          <w:bCs/>
          <w:sz w:val="30"/>
          <w:szCs w:val="30"/>
        </w:rPr>
        <w:t>二、主要</w:t>
      </w:r>
      <w:r>
        <w:rPr>
          <w:rFonts w:hint="eastAsia" w:ascii="宋体" w:hAnsi="宋体" w:eastAsia="宋体" w:cs="宋体"/>
          <w:b/>
          <w:bCs/>
          <w:sz w:val="30"/>
          <w:szCs w:val="30"/>
          <w:lang w:eastAsia="zh-CN"/>
        </w:rPr>
        <w:t>服务</w:t>
      </w:r>
      <w:r>
        <w:rPr>
          <w:rFonts w:hint="eastAsia" w:ascii="宋体" w:hAnsi="宋体" w:eastAsia="宋体" w:cs="宋体"/>
          <w:b/>
          <w:bCs/>
          <w:sz w:val="30"/>
          <w:szCs w:val="30"/>
        </w:rPr>
        <w:t>内容</w:t>
      </w:r>
      <w:r>
        <w:rPr>
          <w:rFonts w:hint="eastAsia" w:ascii="宋体" w:hAnsi="宋体" w:eastAsia="宋体" w:cs="宋体"/>
          <w:sz w:val="30"/>
          <w:szCs w:val="30"/>
        </w:rPr>
        <w:br w:type="textWrapping"/>
      </w:r>
      <w:r>
        <w:rPr>
          <w:rFonts w:hint="eastAsia" w:ascii="宋体" w:hAnsi="宋体" w:eastAsia="宋体" w:cs="宋体"/>
          <w:sz w:val="30"/>
          <w:szCs w:val="30"/>
          <w:lang w:val="en-US" w:eastAsia="zh-CN"/>
        </w:rPr>
        <w:t xml:space="preserve">   本项目的</w:t>
      </w:r>
      <w:r>
        <w:rPr>
          <w:rFonts w:hint="eastAsia" w:ascii="宋体" w:hAnsi="宋体" w:eastAsia="宋体" w:cs="宋体"/>
          <w:sz w:val="30"/>
          <w:szCs w:val="30"/>
        </w:rPr>
        <w:t>主要</w:t>
      </w:r>
      <w:r>
        <w:rPr>
          <w:rFonts w:hint="eastAsia" w:ascii="宋体" w:hAnsi="宋体" w:eastAsia="宋体" w:cs="宋体"/>
          <w:sz w:val="30"/>
          <w:szCs w:val="30"/>
          <w:lang w:eastAsia="zh-CN"/>
        </w:rPr>
        <w:t>工作</w:t>
      </w:r>
      <w:r>
        <w:rPr>
          <w:rFonts w:hint="eastAsia" w:ascii="宋体" w:hAnsi="宋体" w:eastAsia="宋体" w:cs="宋体"/>
          <w:sz w:val="30"/>
          <w:szCs w:val="30"/>
        </w:rPr>
        <w:t>内容包括：</w:t>
      </w:r>
      <w:r>
        <w:rPr>
          <w:rFonts w:hint="eastAsia" w:ascii="宋体" w:hAnsi="宋体" w:eastAsia="宋体" w:cs="宋体"/>
          <w:sz w:val="30"/>
          <w:szCs w:val="30"/>
        </w:rPr>
        <w:br w:type="textWrapping"/>
      </w:r>
      <w:r>
        <w:rPr>
          <w:rFonts w:hint="eastAsia" w:ascii="宋体" w:hAnsi="宋体" w:eastAsia="宋体" w:cs="宋体"/>
          <w:sz w:val="30"/>
          <w:szCs w:val="30"/>
          <w:lang w:val="en-US" w:eastAsia="zh-CN"/>
        </w:rPr>
        <w:t xml:space="preserve">    （一）</w:t>
      </w:r>
      <w:r>
        <w:rPr>
          <w:rFonts w:hint="eastAsia" w:ascii="宋体" w:hAnsi="宋体" w:eastAsia="宋体" w:cs="宋体"/>
          <w:sz w:val="30"/>
          <w:szCs w:val="30"/>
          <w:u w:val="none"/>
          <w:lang w:eastAsia="zh-CN"/>
        </w:rPr>
        <w:t>对施工单位提供的工程或修理项目的报价表，按照造价标准进行审核，并出具正式审核意见。</w:t>
      </w:r>
    </w:p>
    <w:p>
      <w:pPr>
        <w:numPr>
          <w:ilvl w:val="0"/>
          <w:numId w:val="0"/>
        </w:numPr>
        <w:ind w:left="0" w:leftChars="0" w:firstLine="600" w:firstLineChars="200"/>
        <w:jc w:val="both"/>
        <w:rPr>
          <w:rFonts w:hint="eastAsia" w:ascii="宋体" w:hAnsi="宋体" w:eastAsia="宋体" w:cs="宋体"/>
          <w:sz w:val="30"/>
          <w:szCs w:val="30"/>
          <w:lang w:eastAsia="zh-CN"/>
        </w:rPr>
      </w:pPr>
      <w:r>
        <w:rPr>
          <w:rFonts w:hint="eastAsia" w:ascii="宋体" w:hAnsi="宋体" w:eastAsia="宋体" w:cs="宋体"/>
          <w:sz w:val="30"/>
          <w:szCs w:val="30"/>
          <w:lang w:val="en-US" w:eastAsia="zh-CN"/>
        </w:rPr>
        <w:t>（二）对超过15万元以上的单个工程或修理项目，要求出具正式结算报告</w:t>
      </w:r>
      <w:r>
        <w:rPr>
          <w:rFonts w:hint="eastAsia" w:ascii="宋体" w:hAnsi="宋体" w:eastAsia="宋体" w:cs="宋体"/>
          <w:sz w:val="30"/>
          <w:szCs w:val="30"/>
          <w:lang w:eastAsia="zh-CN"/>
        </w:rPr>
        <w:t>。</w:t>
      </w:r>
    </w:p>
    <w:p>
      <w:pPr>
        <w:numPr>
          <w:ilvl w:val="0"/>
          <w:numId w:val="0"/>
        </w:numPr>
        <w:ind w:firstLine="602" w:firstLineChars="200"/>
        <w:jc w:val="both"/>
        <w:rPr>
          <w:rFonts w:hint="eastAsia" w:ascii="宋体" w:hAnsi="宋体" w:eastAsia="宋体" w:cs="宋体"/>
          <w:b/>
          <w:bCs/>
          <w:sz w:val="30"/>
          <w:szCs w:val="30"/>
        </w:rPr>
      </w:pPr>
      <w:r>
        <w:rPr>
          <w:rFonts w:hint="eastAsia" w:ascii="宋体" w:hAnsi="宋体" w:eastAsia="宋体" w:cs="宋体"/>
          <w:b/>
          <w:bCs/>
          <w:sz w:val="30"/>
          <w:szCs w:val="30"/>
          <w:lang w:eastAsia="zh-CN"/>
        </w:rPr>
        <w:t>三、</w:t>
      </w:r>
      <w:r>
        <w:rPr>
          <w:rFonts w:hint="eastAsia" w:ascii="宋体" w:hAnsi="宋体" w:eastAsia="宋体" w:cs="宋体"/>
          <w:b/>
          <w:bCs/>
          <w:sz w:val="30"/>
          <w:szCs w:val="30"/>
        </w:rPr>
        <w:t>标准及规范</w:t>
      </w:r>
    </w:p>
    <w:p>
      <w:pPr>
        <w:keepNext w:val="0"/>
        <w:keepLines w:val="0"/>
        <w:pageBreakBefore w:val="0"/>
        <w:kinsoku/>
        <w:wordWrap/>
        <w:overflowPunct/>
        <w:topLinePunct w:val="0"/>
        <w:autoSpaceDE/>
        <w:autoSpaceDN/>
        <w:bidi w:val="0"/>
        <w:snapToGrid/>
        <w:spacing w:line="360" w:lineRule="auto"/>
        <w:ind w:firstLine="600" w:firstLineChars="200"/>
        <w:rPr>
          <w:rFonts w:hint="default" w:ascii="宋体" w:hAnsi="宋体" w:eastAsia="黑体"/>
          <w:color w:val="auto"/>
          <w:sz w:val="28"/>
          <w:szCs w:val="28"/>
          <w:lang w:val="en-US" w:eastAsia="zh-CN"/>
        </w:rPr>
      </w:pPr>
      <w:r>
        <w:rPr>
          <w:rFonts w:hint="eastAsia" w:ascii="宋体" w:hAnsi="宋体" w:eastAsia="宋体" w:cs="宋体"/>
          <w:sz w:val="30"/>
          <w:szCs w:val="30"/>
          <w:lang w:eastAsia="zh-CN"/>
        </w:rPr>
        <w:t>（一）</w:t>
      </w:r>
      <w:r>
        <w:rPr>
          <w:rFonts w:hint="eastAsia" w:ascii="宋体" w:hAnsi="宋体" w:eastAsia="宋体" w:cs="宋体"/>
          <w:sz w:val="30"/>
          <w:szCs w:val="30"/>
        </w:rPr>
        <w:t>凡与本工程有关现行国家、部委、行业、南方电网公司颁发的法律、法规、标准、规程和规范，均是本工程质量标准的依据。</w:t>
      </w:r>
      <w:r>
        <w:rPr>
          <w:rFonts w:hint="eastAsia" w:ascii="宋体" w:hAnsi="宋体" w:eastAsia="宋体" w:cs="宋体"/>
          <w:sz w:val="30"/>
          <w:szCs w:val="30"/>
          <w:highlight w:val="none"/>
        </w:rPr>
        <w:t>本合同执行期</w:t>
      </w:r>
      <w:r>
        <w:rPr>
          <w:rFonts w:hint="eastAsia" w:ascii="宋体" w:hAnsi="宋体" w:eastAsia="宋体" w:cs="宋体"/>
          <w:sz w:val="30"/>
          <w:szCs w:val="30"/>
        </w:rPr>
        <w:t>间如国家、部委、行业、南方电网公司颁发的法律、法规和规范有差异时，以标准较高的为准。</w:t>
      </w:r>
      <w:r>
        <w:rPr>
          <w:rFonts w:hint="eastAsia" w:ascii="宋体" w:hAnsi="宋体" w:eastAsia="宋体" w:cs="宋体"/>
          <w:sz w:val="30"/>
          <w:szCs w:val="30"/>
        </w:rPr>
        <w:br w:type="textWrapping"/>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（二）如未能达到国际和国内最新标准时，投标方应确保所选用的设备和材料符合最新的国际、国内标准，并提供采用的国际、国内标准、规范和所应用的最新版本的有关技术依据资料。</w:t>
      </w:r>
      <w:r>
        <w:rPr>
          <w:rFonts w:hint="eastAsia" w:ascii="宋体" w:hAnsi="宋体" w:eastAsia="宋体" w:cs="宋体"/>
          <w:sz w:val="30"/>
          <w:szCs w:val="30"/>
        </w:rPr>
        <w:br w:type="textWrapping"/>
      </w:r>
      <w:r>
        <w:rPr>
          <w:rFonts w:hint="eastAsia" w:ascii="宋体" w:hAnsi="宋体" w:eastAsia="宋体" w:cs="宋体"/>
          <w:b/>
          <w:bCs/>
          <w:color w:val="auto"/>
          <w:sz w:val="30"/>
          <w:szCs w:val="30"/>
          <w:lang w:val="en-US" w:eastAsia="zh-CN"/>
        </w:rPr>
        <w:t xml:space="preserve">   四、服务计费标准</w:t>
      </w:r>
    </w:p>
    <w:p>
      <w:pPr>
        <w:keepNext w:val="0"/>
        <w:keepLines w:val="0"/>
        <w:pageBreakBefore w:val="0"/>
        <w:kinsoku/>
        <w:wordWrap/>
        <w:overflowPunct/>
        <w:topLinePunct w:val="0"/>
        <w:bidi w:val="0"/>
        <w:adjustRightInd/>
        <w:snapToGrid/>
        <w:spacing w:line="360" w:lineRule="auto"/>
        <w:ind w:firstLine="560" w:firstLineChars="200"/>
        <w:jc w:val="left"/>
        <w:rPr>
          <w:rFonts w:hint="eastAsia" w:ascii="宋体" w:hAnsi="宋体" w:cs="宋体"/>
          <w:color w:val="auto"/>
          <w:sz w:val="28"/>
          <w:szCs w:val="28"/>
          <w:highlight w:val="none"/>
          <w:u w:val="none"/>
          <w:lang w:val="en-US" w:eastAsia="zh-CN"/>
        </w:rPr>
      </w:pPr>
      <w:r>
        <w:rPr>
          <w:rFonts w:hint="eastAsia" w:ascii="宋体" w:hAnsi="宋体" w:cs="宋体"/>
          <w:color w:val="auto"/>
          <w:sz w:val="28"/>
          <w:szCs w:val="28"/>
          <w:highlight w:val="none"/>
          <w:u w:val="none"/>
          <w:lang w:val="en-US" w:eastAsia="zh-CN"/>
        </w:rPr>
        <w:t>本项目服务报酬计算方法：</w:t>
      </w:r>
    </w:p>
    <w:p>
      <w:pPr>
        <w:keepNext w:val="0"/>
        <w:keepLines w:val="0"/>
        <w:pageBreakBefore w:val="0"/>
        <w:kinsoku/>
        <w:wordWrap/>
        <w:overflowPunct/>
        <w:topLinePunct w:val="0"/>
        <w:bidi w:val="0"/>
        <w:adjustRightInd/>
        <w:snapToGrid/>
        <w:spacing w:line="360" w:lineRule="auto"/>
        <w:ind w:firstLine="560" w:firstLineChars="200"/>
        <w:jc w:val="left"/>
        <w:rPr>
          <w:rFonts w:hint="eastAsia" w:ascii="宋体" w:hAnsi="宋体" w:eastAsia="宋体" w:cs="宋体"/>
          <w:color w:val="auto"/>
          <w:sz w:val="28"/>
          <w:szCs w:val="28"/>
          <w:highlight w:val="none"/>
          <w:u w:val="none"/>
          <w:lang w:val="en-US" w:eastAsia="zh-CN"/>
        </w:rPr>
      </w:pPr>
      <w:r>
        <w:rPr>
          <w:rFonts w:hint="eastAsia" w:ascii="宋体" w:hAnsi="宋体" w:cs="宋体"/>
          <w:color w:val="auto"/>
          <w:sz w:val="28"/>
          <w:szCs w:val="28"/>
          <w:highlight w:val="none"/>
          <w:u w:val="none"/>
          <w:lang w:val="en-US" w:eastAsia="zh-CN"/>
        </w:rPr>
        <w:t>1.每个项目完成后按照以下标准结算：</w:t>
      </w:r>
    </w:p>
    <w:tbl>
      <w:tblPr>
        <w:tblStyle w:val="4"/>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915"/>
        <w:gridCol w:w="4515"/>
        <w:gridCol w:w="1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noWrap w:val="0"/>
            <w:vAlign w:val="top"/>
          </w:tcPr>
          <w:p>
            <w:pPr>
              <w:keepNext w:val="0"/>
              <w:keepLines w:val="0"/>
              <w:pageBreakBefore w:val="0"/>
              <w:kinsoku/>
              <w:wordWrap/>
              <w:overflowPunct/>
              <w:topLinePunct w:val="0"/>
              <w:bidi w:val="0"/>
              <w:adjustRightInd/>
              <w:snapToGrid/>
              <w:spacing w:line="340" w:lineRule="exact"/>
              <w:jc w:val="left"/>
              <w:rPr>
                <w:rFonts w:hint="eastAsia" w:ascii="宋体" w:hAnsi="宋体" w:eastAsia="宋体" w:cs="宋体"/>
                <w:color w:val="auto"/>
                <w:kern w:val="2"/>
                <w:sz w:val="21"/>
                <w:szCs w:val="21"/>
                <w:highlight w:val="none"/>
                <w:u w:val="none"/>
                <w:vertAlign w:val="baseline"/>
                <w:lang w:val="en-US" w:eastAsia="zh-CN"/>
              </w:rPr>
            </w:pPr>
            <w:r>
              <w:rPr>
                <w:rFonts w:hint="eastAsia" w:ascii="宋体" w:hAnsi="宋体" w:eastAsia="宋体" w:cs="宋体"/>
                <w:color w:val="auto"/>
                <w:kern w:val="2"/>
                <w:sz w:val="21"/>
                <w:szCs w:val="21"/>
                <w:highlight w:val="none"/>
                <w:u w:val="none"/>
                <w:vertAlign w:val="baseline"/>
                <w:lang w:val="en-US" w:eastAsia="zh-CN"/>
              </w:rPr>
              <w:t>序号</w:t>
            </w:r>
          </w:p>
        </w:tc>
        <w:tc>
          <w:tcPr>
            <w:tcW w:w="1915" w:type="dxa"/>
            <w:noWrap w:val="0"/>
            <w:vAlign w:val="top"/>
          </w:tcPr>
          <w:p>
            <w:pPr>
              <w:keepNext w:val="0"/>
              <w:keepLines w:val="0"/>
              <w:pageBreakBefore w:val="0"/>
              <w:kinsoku/>
              <w:wordWrap/>
              <w:overflowPunct/>
              <w:topLinePunct w:val="0"/>
              <w:bidi w:val="0"/>
              <w:adjustRightInd/>
              <w:snapToGrid/>
              <w:spacing w:line="340" w:lineRule="exact"/>
              <w:ind w:firstLine="630" w:firstLineChars="300"/>
              <w:jc w:val="left"/>
              <w:rPr>
                <w:rFonts w:hint="eastAsia" w:ascii="宋体" w:hAnsi="宋体" w:eastAsia="宋体" w:cs="宋体"/>
                <w:color w:val="auto"/>
                <w:kern w:val="2"/>
                <w:sz w:val="21"/>
                <w:szCs w:val="21"/>
                <w:highlight w:val="none"/>
                <w:u w:val="none"/>
                <w:vertAlign w:val="baseline"/>
                <w:lang w:val="en-US" w:eastAsia="zh-CN"/>
              </w:rPr>
            </w:pPr>
            <w:r>
              <w:rPr>
                <w:rFonts w:hint="eastAsia" w:ascii="宋体" w:hAnsi="宋体" w:cs="宋体"/>
                <w:color w:val="auto"/>
                <w:kern w:val="2"/>
                <w:sz w:val="21"/>
                <w:szCs w:val="21"/>
                <w:highlight w:val="none"/>
                <w:u w:val="none"/>
                <w:vertAlign w:val="baseline"/>
                <w:lang w:val="en-US" w:eastAsia="zh-CN"/>
              </w:rPr>
              <w:t>类型</w:t>
            </w:r>
          </w:p>
        </w:tc>
        <w:tc>
          <w:tcPr>
            <w:tcW w:w="4515" w:type="dxa"/>
            <w:noWrap w:val="0"/>
            <w:vAlign w:val="top"/>
          </w:tcPr>
          <w:p>
            <w:pPr>
              <w:keepNext w:val="0"/>
              <w:keepLines w:val="0"/>
              <w:pageBreakBefore w:val="0"/>
              <w:kinsoku/>
              <w:wordWrap/>
              <w:overflowPunct/>
              <w:topLinePunct w:val="0"/>
              <w:bidi w:val="0"/>
              <w:adjustRightInd/>
              <w:snapToGrid/>
              <w:spacing w:line="340" w:lineRule="exact"/>
              <w:ind w:firstLine="1260" w:firstLineChars="600"/>
              <w:jc w:val="left"/>
              <w:rPr>
                <w:rFonts w:hint="eastAsia" w:ascii="宋体" w:hAnsi="宋体" w:eastAsia="宋体" w:cs="宋体"/>
                <w:color w:val="auto"/>
                <w:kern w:val="2"/>
                <w:sz w:val="21"/>
                <w:szCs w:val="21"/>
                <w:highlight w:val="none"/>
                <w:u w:val="none"/>
                <w:vertAlign w:val="baseline"/>
                <w:lang w:val="en-US" w:eastAsia="zh-CN"/>
              </w:rPr>
            </w:pPr>
            <w:r>
              <w:rPr>
                <w:rFonts w:hint="eastAsia" w:ascii="宋体" w:hAnsi="宋体" w:cs="宋体"/>
                <w:color w:val="auto"/>
                <w:kern w:val="2"/>
                <w:sz w:val="21"/>
                <w:szCs w:val="21"/>
                <w:highlight w:val="none"/>
                <w:u w:val="none"/>
                <w:vertAlign w:val="baseline"/>
                <w:lang w:val="en-US" w:eastAsia="zh-CN"/>
              </w:rPr>
              <w:t>咨询服务取费标准</w:t>
            </w:r>
          </w:p>
        </w:tc>
        <w:tc>
          <w:tcPr>
            <w:tcW w:w="1230" w:type="dxa"/>
            <w:noWrap w:val="0"/>
            <w:vAlign w:val="top"/>
          </w:tcPr>
          <w:p>
            <w:pPr>
              <w:keepNext w:val="0"/>
              <w:keepLines w:val="0"/>
              <w:pageBreakBefore w:val="0"/>
              <w:kinsoku/>
              <w:wordWrap/>
              <w:overflowPunct/>
              <w:topLinePunct w:val="0"/>
              <w:bidi w:val="0"/>
              <w:adjustRightInd/>
              <w:snapToGrid/>
              <w:spacing w:line="340" w:lineRule="exact"/>
              <w:ind w:firstLine="420" w:firstLineChars="200"/>
              <w:jc w:val="left"/>
              <w:rPr>
                <w:rFonts w:hint="eastAsia" w:ascii="宋体" w:hAnsi="宋体" w:eastAsia="宋体" w:cs="宋体"/>
                <w:color w:val="auto"/>
                <w:kern w:val="2"/>
                <w:sz w:val="21"/>
                <w:szCs w:val="21"/>
                <w:highlight w:val="none"/>
                <w:u w:val="none"/>
                <w:vertAlign w:val="baseline"/>
                <w:lang w:val="en-US" w:eastAsia="zh-CN"/>
              </w:rPr>
            </w:pPr>
            <w:r>
              <w:rPr>
                <w:rFonts w:hint="eastAsia" w:ascii="宋体" w:hAnsi="宋体" w:eastAsia="宋体" w:cs="宋体"/>
                <w:color w:val="auto"/>
                <w:kern w:val="2"/>
                <w:sz w:val="21"/>
                <w:szCs w:val="21"/>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noWrap w:val="0"/>
            <w:vAlign w:val="center"/>
          </w:tcPr>
          <w:p>
            <w:pPr>
              <w:keepNext w:val="0"/>
              <w:keepLines w:val="0"/>
              <w:pageBreakBefore w:val="0"/>
              <w:kinsoku/>
              <w:wordWrap/>
              <w:overflowPunct/>
              <w:topLinePunct w:val="0"/>
              <w:bidi w:val="0"/>
              <w:adjustRightInd/>
              <w:snapToGrid/>
              <w:spacing w:line="340" w:lineRule="exact"/>
              <w:jc w:val="center"/>
              <w:rPr>
                <w:rFonts w:hint="default" w:ascii="宋体" w:hAnsi="宋体" w:eastAsia="宋体" w:cs="宋体"/>
                <w:color w:val="auto"/>
                <w:kern w:val="2"/>
                <w:sz w:val="21"/>
                <w:szCs w:val="21"/>
                <w:highlight w:val="none"/>
                <w:u w:val="none"/>
                <w:vertAlign w:val="baseline"/>
                <w:lang w:val="en-US" w:eastAsia="zh-CN"/>
              </w:rPr>
            </w:pPr>
            <w:r>
              <w:rPr>
                <w:rFonts w:hint="eastAsia" w:ascii="宋体" w:hAnsi="宋体" w:eastAsia="宋体" w:cs="宋体"/>
                <w:color w:val="auto"/>
                <w:kern w:val="2"/>
                <w:sz w:val="21"/>
                <w:szCs w:val="21"/>
                <w:highlight w:val="none"/>
                <w:u w:val="none"/>
                <w:vertAlign w:val="baseline"/>
                <w:lang w:val="en-US" w:eastAsia="zh-CN"/>
              </w:rPr>
              <w:t>1</w:t>
            </w:r>
          </w:p>
        </w:tc>
        <w:tc>
          <w:tcPr>
            <w:tcW w:w="1915" w:type="dxa"/>
            <w:noWrap w:val="0"/>
            <w:vAlign w:val="center"/>
          </w:tcPr>
          <w:p>
            <w:pPr>
              <w:keepNext w:val="0"/>
              <w:keepLines w:val="0"/>
              <w:pageBreakBefore w:val="0"/>
              <w:kinsoku/>
              <w:wordWrap/>
              <w:overflowPunct/>
              <w:topLinePunct w:val="0"/>
              <w:bidi w:val="0"/>
              <w:adjustRightInd/>
              <w:snapToGrid/>
              <w:spacing w:line="340" w:lineRule="exact"/>
              <w:jc w:val="both"/>
              <w:rPr>
                <w:rFonts w:hint="default" w:ascii="宋体" w:hAnsi="宋体" w:eastAsia="宋体" w:cs="宋体"/>
                <w:color w:val="auto"/>
                <w:kern w:val="2"/>
                <w:sz w:val="21"/>
                <w:szCs w:val="21"/>
                <w:highlight w:val="none"/>
                <w:u w:val="none"/>
                <w:vertAlign w:val="baseline"/>
                <w:lang w:val="en-US" w:eastAsia="zh-CN"/>
              </w:rPr>
            </w:pPr>
            <w:r>
              <w:rPr>
                <w:rFonts w:hint="eastAsia" w:ascii="宋体" w:hAnsi="宋体" w:cs="宋体"/>
                <w:color w:val="auto"/>
                <w:kern w:val="2"/>
                <w:sz w:val="21"/>
                <w:szCs w:val="21"/>
                <w:highlight w:val="none"/>
                <w:u w:val="none"/>
                <w:vertAlign w:val="baseline"/>
                <w:lang w:val="en-US" w:eastAsia="zh-CN"/>
              </w:rPr>
              <w:t>单个工程或修理项目送审金额超过15万元（不含）</w:t>
            </w:r>
          </w:p>
        </w:tc>
        <w:tc>
          <w:tcPr>
            <w:tcW w:w="4515" w:type="dxa"/>
            <w:noWrap w:val="0"/>
            <w:vAlign w:val="center"/>
          </w:tcPr>
          <w:p>
            <w:pPr>
              <w:keepNext w:val="0"/>
              <w:keepLines w:val="0"/>
              <w:pageBreakBefore w:val="0"/>
              <w:kinsoku/>
              <w:wordWrap/>
              <w:overflowPunct/>
              <w:topLinePunct w:val="0"/>
              <w:bidi w:val="0"/>
              <w:adjustRightInd/>
              <w:snapToGrid/>
              <w:spacing w:line="340" w:lineRule="exact"/>
              <w:jc w:val="both"/>
              <w:rPr>
                <w:rFonts w:hint="eastAsia" w:ascii="宋体" w:hAnsi="宋体" w:eastAsia="宋体" w:cs="宋体"/>
                <w:color w:val="auto"/>
                <w:kern w:val="2"/>
                <w:sz w:val="21"/>
                <w:szCs w:val="21"/>
                <w:highlight w:val="none"/>
                <w:u w:val="none"/>
                <w:lang w:val="en-US" w:eastAsia="zh-CN"/>
              </w:rPr>
            </w:pPr>
            <w:r>
              <w:rPr>
                <w:rFonts w:hint="eastAsia" w:ascii="宋体" w:hAnsi="宋体" w:cs="宋体"/>
                <w:color w:val="auto"/>
                <w:kern w:val="2"/>
                <w:sz w:val="21"/>
                <w:szCs w:val="21"/>
                <w:highlight w:val="none"/>
                <w:u w:val="none"/>
                <w:lang w:val="en-US" w:eastAsia="zh-CN"/>
              </w:rPr>
              <w:t>项目造价咨询服务</w:t>
            </w:r>
            <w:r>
              <w:rPr>
                <w:rFonts w:hint="eastAsia" w:ascii="宋体" w:hAnsi="宋体" w:eastAsia="宋体" w:cs="宋体"/>
                <w:color w:val="auto"/>
                <w:kern w:val="2"/>
                <w:sz w:val="21"/>
                <w:szCs w:val="21"/>
                <w:highlight w:val="none"/>
                <w:u w:val="none"/>
                <w:lang w:val="en-US" w:eastAsia="zh-CN"/>
              </w:rPr>
              <w:t>费用=</w:t>
            </w:r>
            <w:r>
              <w:rPr>
                <w:rFonts w:hint="eastAsia" w:ascii="宋体" w:hAnsi="宋体" w:cs="宋体"/>
                <w:color w:val="auto"/>
                <w:kern w:val="2"/>
                <w:sz w:val="21"/>
                <w:szCs w:val="21"/>
                <w:highlight w:val="none"/>
                <w:u w:val="none"/>
                <w:lang w:val="en-US" w:eastAsia="zh-CN"/>
              </w:rPr>
              <w:t>项目送审金额</w:t>
            </w:r>
            <w:r>
              <w:rPr>
                <w:rFonts w:hint="eastAsia" w:ascii="宋体" w:hAnsi="宋体" w:eastAsia="宋体" w:cs="宋体"/>
                <w:color w:val="auto"/>
                <w:kern w:val="2"/>
                <w:sz w:val="21"/>
                <w:szCs w:val="21"/>
                <w:highlight w:val="none"/>
                <w:u w:val="none"/>
                <w:lang w:val="en-US" w:eastAsia="zh-CN"/>
              </w:rPr>
              <w:t>×</w:t>
            </w:r>
            <w:r>
              <w:rPr>
                <w:rFonts w:hint="eastAsia" w:ascii="宋体" w:hAnsi="宋体" w:cs="宋体"/>
                <w:color w:val="auto"/>
                <w:kern w:val="2"/>
                <w:sz w:val="21"/>
                <w:szCs w:val="21"/>
                <w:highlight w:val="none"/>
                <w:u w:val="none"/>
                <w:lang w:val="en-US" w:eastAsia="zh-CN"/>
              </w:rPr>
              <w:t>0.4%</w:t>
            </w:r>
          </w:p>
          <w:p>
            <w:pPr>
              <w:keepNext w:val="0"/>
              <w:keepLines w:val="0"/>
              <w:pageBreakBefore w:val="0"/>
              <w:kinsoku/>
              <w:wordWrap/>
              <w:overflowPunct/>
              <w:topLinePunct w:val="0"/>
              <w:bidi w:val="0"/>
              <w:adjustRightInd/>
              <w:snapToGrid/>
              <w:spacing w:line="340" w:lineRule="exact"/>
              <w:jc w:val="both"/>
              <w:rPr>
                <w:rFonts w:hint="eastAsia" w:ascii="宋体" w:hAnsi="宋体" w:eastAsia="宋体" w:cs="宋体"/>
                <w:color w:val="auto"/>
                <w:kern w:val="2"/>
                <w:sz w:val="21"/>
                <w:szCs w:val="21"/>
                <w:highlight w:val="none"/>
                <w:u w:val="none"/>
                <w:vertAlign w:val="baseline"/>
                <w:lang w:val="en-US" w:eastAsia="zh-CN"/>
              </w:rPr>
            </w:pPr>
          </w:p>
        </w:tc>
        <w:tc>
          <w:tcPr>
            <w:tcW w:w="1230" w:type="dxa"/>
            <w:noWrap w:val="0"/>
            <w:vAlign w:val="center"/>
          </w:tcPr>
          <w:p>
            <w:pPr>
              <w:keepNext w:val="0"/>
              <w:keepLines w:val="0"/>
              <w:pageBreakBefore w:val="0"/>
              <w:kinsoku/>
              <w:wordWrap/>
              <w:overflowPunct/>
              <w:topLinePunct w:val="0"/>
              <w:bidi w:val="0"/>
              <w:adjustRightInd/>
              <w:snapToGrid/>
              <w:spacing w:line="340" w:lineRule="exact"/>
              <w:jc w:val="center"/>
              <w:rPr>
                <w:rFonts w:hint="eastAsia" w:ascii="宋体" w:hAnsi="宋体" w:eastAsia="宋体" w:cs="宋体"/>
                <w:color w:val="auto"/>
                <w:kern w:val="2"/>
                <w:sz w:val="21"/>
                <w:szCs w:val="21"/>
                <w:highlight w:val="none"/>
                <w:u w:val="none"/>
                <w:lang w:val="en-US" w:eastAsia="zh-CN"/>
              </w:rPr>
            </w:pPr>
            <w:r>
              <w:rPr>
                <w:rFonts w:hint="eastAsia" w:ascii="宋体" w:hAnsi="宋体" w:eastAsia="宋体" w:cs="宋体"/>
                <w:color w:val="auto"/>
                <w:kern w:val="2"/>
                <w:sz w:val="21"/>
                <w:szCs w:val="21"/>
                <w:highlight w:val="none"/>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noWrap w:val="0"/>
            <w:vAlign w:val="center"/>
          </w:tcPr>
          <w:p>
            <w:pPr>
              <w:keepNext w:val="0"/>
              <w:keepLines w:val="0"/>
              <w:pageBreakBefore w:val="0"/>
              <w:kinsoku/>
              <w:wordWrap/>
              <w:overflowPunct/>
              <w:topLinePunct w:val="0"/>
              <w:bidi w:val="0"/>
              <w:adjustRightInd/>
              <w:snapToGrid/>
              <w:spacing w:line="340" w:lineRule="exact"/>
              <w:jc w:val="center"/>
              <w:rPr>
                <w:rFonts w:hint="default" w:ascii="宋体" w:hAnsi="宋体" w:eastAsia="宋体" w:cs="宋体"/>
                <w:color w:val="auto"/>
                <w:kern w:val="2"/>
                <w:sz w:val="21"/>
                <w:szCs w:val="21"/>
                <w:highlight w:val="none"/>
                <w:u w:val="none"/>
                <w:vertAlign w:val="baseline"/>
                <w:lang w:val="en-US" w:eastAsia="zh-CN"/>
              </w:rPr>
            </w:pPr>
            <w:r>
              <w:rPr>
                <w:rFonts w:hint="eastAsia" w:ascii="宋体" w:hAnsi="宋体" w:eastAsia="宋体" w:cs="宋体"/>
                <w:color w:val="auto"/>
                <w:kern w:val="2"/>
                <w:sz w:val="21"/>
                <w:szCs w:val="21"/>
                <w:highlight w:val="none"/>
                <w:u w:val="none"/>
                <w:vertAlign w:val="baseline"/>
                <w:lang w:val="en-US" w:eastAsia="zh-CN"/>
              </w:rPr>
              <w:t>2</w:t>
            </w:r>
          </w:p>
        </w:tc>
        <w:tc>
          <w:tcPr>
            <w:tcW w:w="1915" w:type="dxa"/>
            <w:noWrap w:val="0"/>
            <w:vAlign w:val="center"/>
          </w:tcPr>
          <w:p>
            <w:pPr>
              <w:keepNext w:val="0"/>
              <w:keepLines w:val="0"/>
              <w:pageBreakBefore w:val="0"/>
              <w:kinsoku/>
              <w:wordWrap/>
              <w:overflowPunct/>
              <w:topLinePunct w:val="0"/>
              <w:bidi w:val="0"/>
              <w:adjustRightInd/>
              <w:snapToGrid/>
              <w:spacing w:line="340" w:lineRule="exact"/>
              <w:jc w:val="both"/>
              <w:rPr>
                <w:rFonts w:hint="default" w:ascii="宋体" w:hAnsi="宋体" w:eastAsia="宋体" w:cs="宋体"/>
                <w:color w:val="auto"/>
                <w:kern w:val="2"/>
                <w:sz w:val="21"/>
                <w:szCs w:val="21"/>
                <w:highlight w:val="none"/>
                <w:u w:val="none"/>
                <w:vertAlign w:val="baseline"/>
                <w:lang w:val="en-US" w:eastAsia="zh-CN"/>
              </w:rPr>
            </w:pPr>
            <w:r>
              <w:rPr>
                <w:rFonts w:hint="eastAsia" w:ascii="宋体" w:hAnsi="宋体" w:cs="宋体"/>
                <w:color w:val="auto"/>
                <w:kern w:val="2"/>
                <w:sz w:val="21"/>
                <w:szCs w:val="21"/>
                <w:highlight w:val="none"/>
                <w:u w:val="none"/>
                <w:vertAlign w:val="baseline"/>
                <w:lang w:val="en-US" w:eastAsia="zh-CN"/>
              </w:rPr>
              <w:t>单个工程或修理项目送审金额0.6万元（不含）至15万元</w:t>
            </w:r>
          </w:p>
        </w:tc>
        <w:tc>
          <w:tcPr>
            <w:tcW w:w="4515" w:type="dxa"/>
            <w:noWrap w:val="0"/>
            <w:vAlign w:val="center"/>
          </w:tcPr>
          <w:p>
            <w:pPr>
              <w:keepNext w:val="0"/>
              <w:keepLines w:val="0"/>
              <w:pageBreakBefore w:val="0"/>
              <w:kinsoku/>
              <w:wordWrap/>
              <w:overflowPunct/>
              <w:topLinePunct w:val="0"/>
              <w:bidi w:val="0"/>
              <w:adjustRightInd/>
              <w:snapToGrid/>
              <w:spacing w:line="340" w:lineRule="exact"/>
              <w:jc w:val="both"/>
              <w:rPr>
                <w:rFonts w:hint="default" w:ascii="宋体" w:hAnsi="宋体" w:eastAsia="宋体" w:cs="宋体"/>
                <w:color w:val="auto"/>
                <w:kern w:val="2"/>
                <w:sz w:val="21"/>
                <w:szCs w:val="21"/>
                <w:highlight w:val="none"/>
                <w:u w:val="none"/>
                <w:vertAlign w:val="baseline"/>
                <w:lang w:val="en-US" w:eastAsia="zh-CN"/>
              </w:rPr>
            </w:pPr>
            <w:r>
              <w:rPr>
                <w:rFonts w:hint="eastAsia" w:ascii="宋体" w:hAnsi="宋体" w:cs="宋体"/>
                <w:color w:val="auto"/>
                <w:kern w:val="2"/>
                <w:sz w:val="21"/>
                <w:szCs w:val="21"/>
                <w:highlight w:val="none"/>
                <w:u w:val="none"/>
                <w:vertAlign w:val="baseline"/>
                <w:lang w:val="en-US" w:eastAsia="zh-CN"/>
              </w:rPr>
              <w:t>每个项目</w:t>
            </w:r>
            <w:r>
              <w:rPr>
                <w:rFonts w:hint="eastAsia" w:ascii="宋体" w:hAnsi="宋体" w:cs="宋体"/>
                <w:color w:val="auto"/>
                <w:kern w:val="2"/>
                <w:sz w:val="21"/>
                <w:szCs w:val="21"/>
                <w:highlight w:val="none"/>
                <w:u w:val="none"/>
                <w:lang w:val="en-US" w:eastAsia="zh-CN"/>
              </w:rPr>
              <w:t>造价咨询服务</w:t>
            </w:r>
            <w:r>
              <w:rPr>
                <w:rFonts w:hint="eastAsia" w:ascii="宋体" w:hAnsi="宋体" w:eastAsia="宋体" w:cs="宋体"/>
                <w:color w:val="auto"/>
                <w:kern w:val="2"/>
                <w:sz w:val="21"/>
                <w:szCs w:val="21"/>
                <w:highlight w:val="none"/>
                <w:u w:val="none"/>
                <w:lang w:val="en-US" w:eastAsia="zh-CN"/>
              </w:rPr>
              <w:t>费</w:t>
            </w:r>
            <w:r>
              <w:rPr>
                <w:rFonts w:hint="eastAsia" w:ascii="宋体" w:hAnsi="宋体" w:cs="宋体"/>
                <w:color w:val="auto"/>
                <w:kern w:val="2"/>
                <w:sz w:val="21"/>
                <w:szCs w:val="21"/>
                <w:highlight w:val="none"/>
                <w:u w:val="none"/>
                <w:vertAlign w:val="baseline"/>
                <w:lang w:val="en-US" w:eastAsia="zh-CN"/>
              </w:rPr>
              <w:t>固定为600元</w:t>
            </w:r>
          </w:p>
        </w:tc>
        <w:tc>
          <w:tcPr>
            <w:tcW w:w="1230" w:type="dxa"/>
            <w:noWrap w:val="0"/>
            <w:vAlign w:val="center"/>
          </w:tcPr>
          <w:p>
            <w:pPr>
              <w:keepNext w:val="0"/>
              <w:keepLines w:val="0"/>
              <w:pageBreakBefore w:val="0"/>
              <w:kinsoku/>
              <w:wordWrap/>
              <w:overflowPunct/>
              <w:topLinePunct w:val="0"/>
              <w:bidi w:val="0"/>
              <w:adjustRightInd/>
              <w:snapToGrid/>
              <w:spacing w:line="340" w:lineRule="exact"/>
              <w:jc w:val="center"/>
              <w:rPr>
                <w:rFonts w:hint="eastAsia" w:ascii="宋体" w:hAnsi="宋体" w:eastAsia="宋体" w:cs="宋体"/>
                <w:color w:val="auto"/>
                <w:kern w:val="2"/>
                <w:sz w:val="21"/>
                <w:szCs w:val="21"/>
                <w:highlight w:val="none"/>
                <w:u w:val="none"/>
                <w:lang w:val="en-US" w:eastAsia="zh-CN"/>
              </w:rPr>
            </w:pPr>
            <w:r>
              <w:rPr>
                <w:rFonts w:hint="eastAsia" w:ascii="宋体" w:hAnsi="宋体" w:eastAsia="宋体" w:cs="宋体"/>
                <w:color w:val="auto"/>
                <w:kern w:val="2"/>
                <w:sz w:val="21"/>
                <w:szCs w:val="21"/>
                <w:highlight w:val="none"/>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trPr>
        <w:tc>
          <w:tcPr>
            <w:tcW w:w="699" w:type="dxa"/>
            <w:noWrap w:val="0"/>
            <w:vAlign w:val="center"/>
          </w:tcPr>
          <w:p>
            <w:pPr>
              <w:keepNext w:val="0"/>
              <w:keepLines w:val="0"/>
              <w:pageBreakBefore w:val="0"/>
              <w:kinsoku/>
              <w:wordWrap/>
              <w:overflowPunct/>
              <w:topLinePunct w:val="0"/>
              <w:bidi w:val="0"/>
              <w:adjustRightInd/>
              <w:snapToGrid/>
              <w:spacing w:line="340" w:lineRule="exact"/>
              <w:jc w:val="center"/>
              <w:rPr>
                <w:rFonts w:hint="default" w:ascii="宋体" w:hAnsi="宋体" w:eastAsia="宋体" w:cs="宋体"/>
                <w:color w:val="auto"/>
                <w:kern w:val="2"/>
                <w:sz w:val="21"/>
                <w:szCs w:val="21"/>
                <w:highlight w:val="none"/>
                <w:u w:val="none"/>
                <w:vertAlign w:val="baseline"/>
                <w:lang w:val="en-US" w:eastAsia="zh-CN"/>
              </w:rPr>
            </w:pPr>
            <w:r>
              <w:rPr>
                <w:rFonts w:hint="eastAsia" w:ascii="宋体" w:hAnsi="宋体" w:eastAsia="宋体" w:cs="宋体"/>
                <w:color w:val="auto"/>
                <w:kern w:val="2"/>
                <w:sz w:val="21"/>
                <w:szCs w:val="21"/>
                <w:highlight w:val="none"/>
                <w:u w:val="none"/>
                <w:vertAlign w:val="baseline"/>
                <w:lang w:val="en-US" w:eastAsia="zh-CN"/>
              </w:rPr>
              <w:t>3</w:t>
            </w:r>
          </w:p>
        </w:tc>
        <w:tc>
          <w:tcPr>
            <w:tcW w:w="1915" w:type="dxa"/>
            <w:noWrap w:val="0"/>
            <w:vAlign w:val="center"/>
          </w:tcPr>
          <w:p>
            <w:pPr>
              <w:keepNext w:val="0"/>
              <w:keepLines w:val="0"/>
              <w:pageBreakBefore w:val="0"/>
              <w:kinsoku/>
              <w:wordWrap/>
              <w:overflowPunct/>
              <w:topLinePunct w:val="0"/>
              <w:bidi w:val="0"/>
              <w:adjustRightInd/>
              <w:snapToGrid/>
              <w:spacing w:line="340" w:lineRule="exact"/>
              <w:jc w:val="both"/>
              <w:rPr>
                <w:rFonts w:hint="eastAsia" w:ascii="宋体" w:hAnsi="宋体" w:eastAsia="宋体" w:cs="宋体"/>
                <w:color w:val="auto"/>
                <w:kern w:val="2"/>
                <w:sz w:val="21"/>
                <w:szCs w:val="21"/>
                <w:highlight w:val="none"/>
                <w:u w:val="none"/>
                <w:vertAlign w:val="baseline"/>
                <w:lang w:val="en-US" w:eastAsia="zh-CN"/>
              </w:rPr>
            </w:pPr>
            <w:r>
              <w:rPr>
                <w:rFonts w:hint="eastAsia" w:ascii="宋体" w:hAnsi="宋体" w:cs="宋体"/>
                <w:color w:val="auto"/>
                <w:kern w:val="2"/>
                <w:sz w:val="21"/>
                <w:szCs w:val="21"/>
                <w:highlight w:val="none"/>
                <w:u w:val="none"/>
                <w:vertAlign w:val="baseline"/>
                <w:lang w:val="en-US" w:eastAsia="zh-CN"/>
              </w:rPr>
              <w:t>单个工程或修理项目送审金额0.6万以下</w:t>
            </w:r>
          </w:p>
        </w:tc>
        <w:tc>
          <w:tcPr>
            <w:tcW w:w="4515" w:type="dxa"/>
            <w:noWrap w:val="0"/>
            <w:vAlign w:val="center"/>
          </w:tcPr>
          <w:p>
            <w:pPr>
              <w:rPr>
                <w:sz w:val="21"/>
                <w:szCs w:val="21"/>
              </w:rPr>
            </w:pPr>
          </w:p>
          <w:p>
            <w:pPr>
              <w:rPr>
                <w:rFonts w:hint="eastAsia" w:ascii="宋体" w:hAnsi="宋体" w:eastAsia="宋体" w:cs="宋体"/>
                <w:color w:val="auto"/>
                <w:kern w:val="2"/>
                <w:sz w:val="21"/>
                <w:szCs w:val="21"/>
                <w:highlight w:val="none"/>
                <w:u w:val="none"/>
                <w:vertAlign w:val="baseline"/>
                <w:lang w:val="en-US" w:eastAsia="zh-CN"/>
              </w:rPr>
            </w:pPr>
            <w:r>
              <w:rPr>
                <w:rFonts w:hint="eastAsia" w:ascii="宋体" w:hAnsi="宋体" w:cs="宋体"/>
                <w:color w:val="auto"/>
                <w:kern w:val="2"/>
                <w:sz w:val="21"/>
                <w:szCs w:val="21"/>
                <w:highlight w:val="none"/>
                <w:u w:val="none"/>
                <w:vertAlign w:val="baseline"/>
                <w:lang w:val="en-US" w:eastAsia="zh-CN"/>
              </w:rPr>
              <w:t>每个项目</w:t>
            </w:r>
            <w:r>
              <w:rPr>
                <w:rFonts w:hint="eastAsia" w:ascii="宋体" w:hAnsi="宋体" w:cs="宋体"/>
                <w:color w:val="auto"/>
                <w:kern w:val="2"/>
                <w:sz w:val="21"/>
                <w:szCs w:val="21"/>
                <w:highlight w:val="none"/>
                <w:u w:val="none"/>
                <w:lang w:val="en-US" w:eastAsia="zh-CN"/>
              </w:rPr>
              <w:t>造价咨询服务</w:t>
            </w:r>
            <w:r>
              <w:rPr>
                <w:rFonts w:hint="eastAsia" w:ascii="宋体" w:hAnsi="宋体" w:eastAsia="宋体" w:cs="宋体"/>
                <w:color w:val="auto"/>
                <w:kern w:val="2"/>
                <w:sz w:val="21"/>
                <w:szCs w:val="21"/>
                <w:highlight w:val="none"/>
                <w:u w:val="none"/>
                <w:lang w:val="en-US" w:eastAsia="zh-CN"/>
              </w:rPr>
              <w:t>费</w:t>
            </w:r>
            <w:r>
              <w:rPr>
                <w:rFonts w:hint="eastAsia" w:ascii="宋体" w:hAnsi="宋体" w:cs="宋体"/>
                <w:color w:val="auto"/>
                <w:kern w:val="2"/>
                <w:sz w:val="21"/>
                <w:szCs w:val="21"/>
                <w:highlight w:val="none"/>
                <w:u w:val="none"/>
                <w:vertAlign w:val="baseline"/>
                <w:lang w:val="en-US" w:eastAsia="zh-CN"/>
              </w:rPr>
              <w:t>固定为300元</w:t>
            </w:r>
          </w:p>
        </w:tc>
        <w:tc>
          <w:tcPr>
            <w:tcW w:w="1230" w:type="dxa"/>
            <w:noWrap w:val="0"/>
            <w:vAlign w:val="center"/>
          </w:tcPr>
          <w:p>
            <w:pPr>
              <w:jc w:val="center"/>
              <w:rPr>
                <w:sz w:val="21"/>
                <w:szCs w:val="21"/>
              </w:rPr>
            </w:pPr>
          </w:p>
          <w:p>
            <w:pPr>
              <w:numPr>
                <w:ilvl w:val="0"/>
                <w:numId w:val="0"/>
              </w:numPr>
              <w:spacing w:line="340" w:lineRule="exact"/>
              <w:jc w:val="center"/>
              <w:rPr>
                <w:rFonts w:hint="eastAsia" w:ascii="宋体" w:hAnsi="宋体" w:eastAsia="宋体" w:cs="宋体"/>
                <w:color w:val="auto"/>
                <w:kern w:val="2"/>
                <w:sz w:val="21"/>
                <w:szCs w:val="21"/>
                <w:highlight w:val="none"/>
                <w:u w:val="none"/>
                <w:lang w:val="en-US" w:eastAsia="zh-CN"/>
              </w:rPr>
            </w:pPr>
            <w:r>
              <w:rPr>
                <w:rFonts w:hint="eastAsia" w:ascii="宋体" w:hAnsi="宋体" w:eastAsia="宋体" w:cs="宋体"/>
                <w:color w:val="auto"/>
                <w:kern w:val="2"/>
                <w:sz w:val="21"/>
                <w:szCs w:val="21"/>
                <w:highlight w:val="none"/>
                <w:u w:val="none"/>
                <w:lang w:val="en-US" w:eastAsia="zh-CN"/>
              </w:rPr>
              <w:t>/</w:t>
            </w:r>
          </w:p>
          <w:p>
            <w:pPr>
              <w:numPr>
                <w:ilvl w:val="0"/>
                <w:numId w:val="0"/>
              </w:numPr>
              <w:spacing w:line="340" w:lineRule="exact"/>
              <w:jc w:val="center"/>
              <w:rPr>
                <w:rFonts w:hint="default" w:ascii="宋体" w:hAnsi="宋体" w:eastAsia="宋体" w:cs="宋体"/>
                <w:color w:val="auto"/>
                <w:sz w:val="21"/>
                <w:szCs w:val="21"/>
                <w:highlight w:val="none"/>
                <w:u w:val="none"/>
                <w:lang w:val="en-US" w:eastAsia="zh-CN"/>
              </w:rPr>
            </w:pPr>
          </w:p>
        </w:tc>
      </w:tr>
    </w:tbl>
    <w:p>
      <w:pPr>
        <w:numPr>
          <w:ilvl w:val="0"/>
          <w:numId w:val="0"/>
        </w:numPr>
        <w:ind w:firstLine="600" w:firstLineChars="200"/>
        <w:jc w:val="both"/>
        <w:rPr>
          <w:rFonts w:hint="default" w:ascii="宋体" w:hAnsi="宋体" w:eastAsia="宋体" w:cs="宋体"/>
          <w:sz w:val="30"/>
          <w:szCs w:val="30"/>
          <w:lang w:val="en-US" w:eastAsia="zh-CN"/>
        </w:rPr>
      </w:pPr>
      <w:r>
        <w:rPr>
          <w:rFonts w:hint="eastAsia" w:ascii="宋体" w:hAnsi="宋体" w:eastAsia="宋体" w:cs="宋体"/>
          <w:sz w:val="30"/>
          <w:szCs w:val="30"/>
          <w:lang w:val="en-US" w:eastAsia="zh-CN"/>
        </w:rPr>
        <w:t>2.最终结算金额=所有项目咨询服务费累加值</w:t>
      </w:r>
      <w:r>
        <w:rPr>
          <w:rFonts w:hint="default" w:ascii="Arial" w:hAnsi="Arial" w:eastAsia="宋体" w:cs="Arial"/>
          <w:sz w:val="30"/>
          <w:szCs w:val="30"/>
          <w:lang w:val="en-US" w:eastAsia="zh-CN"/>
        </w:rPr>
        <w:t>×</w:t>
      </w:r>
      <w:r>
        <w:rPr>
          <w:rFonts w:hint="eastAsia" w:ascii="宋体" w:hAnsi="宋体" w:eastAsia="宋体" w:cs="宋体"/>
          <w:sz w:val="30"/>
          <w:szCs w:val="30"/>
          <w:lang w:val="en-US" w:eastAsia="zh-CN"/>
        </w:rPr>
        <w:t>（1-投标下浮率）</w:t>
      </w:r>
    </w:p>
    <w:p>
      <w:r>
        <w:rPr>
          <w:rFonts w:hint="eastAsia" w:ascii="宋体" w:hAnsi="宋体" w:eastAsia="宋体" w:cs="宋体"/>
          <w:b/>
          <w:bCs/>
          <w:sz w:val="30"/>
          <w:szCs w:val="30"/>
          <w:lang w:val="en-US" w:eastAsia="zh-CN"/>
        </w:rPr>
        <w:t>五</w:t>
      </w:r>
      <w:r>
        <w:rPr>
          <w:rFonts w:hint="eastAsia" w:ascii="宋体" w:hAnsi="宋体" w:eastAsia="宋体" w:cs="宋体"/>
          <w:b/>
          <w:bCs/>
          <w:sz w:val="30"/>
          <w:szCs w:val="30"/>
        </w:rPr>
        <w:t>、服务要求</w:t>
      </w:r>
      <w:r>
        <w:rPr>
          <w:rFonts w:hint="eastAsia" w:ascii="宋体" w:hAnsi="宋体" w:eastAsia="宋体" w:cs="宋体"/>
          <w:sz w:val="30"/>
          <w:szCs w:val="30"/>
        </w:rPr>
        <w:br w:type="textWrapping"/>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（一）质量要求</w:t>
      </w:r>
      <w:r>
        <w:rPr>
          <w:rFonts w:hint="eastAsia" w:ascii="宋体" w:hAnsi="宋体" w:eastAsia="宋体" w:cs="宋体"/>
          <w:sz w:val="30"/>
          <w:szCs w:val="30"/>
        </w:rPr>
        <w:br w:type="textWrapping"/>
      </w:r>
      <w:r>
        <w:rPr>
          <w:rFonts w:hint="eastAsia" w:ascii="宋体" w:hAnsi="宋体" w:eastAsia="宋体" w:cs="宋体"/>
          <w:sz w:val="30"/>
          <w:szCs w:val="30"/>
          <w:lang w:val="en-US" w:eastAsia="zh-CN"/>
        </w:rPr>
        <w:t xml:space="preserve">    乙方出具的正式</w:t>
      </w:r>
      <w:r>
        <w:rPr>
          <w:rFonts w:hint="eastAsia" w:ascii="宋体" w:hAnsi="宋体" w:eastAsia="宋体" w:cs="宋体"/>
          <w:sz w:val="30"/>
          <w:szCs w:val="30"/>
          <w:lang w:eastAsia="zh-CN"/>
        </w:rPr>
        <w:t>造价咨询报告和审核意见必须符合政府和南方电网公司的造价管理规范要求。</w:t>
      </w:r>
      <w:r>
        <w:rPr>
          <w:rFonts w:hint="eastAsia" w:ascii="宋体" w:hAnsi="宋体" w:eastAsia="宋体" w:cs="宋体"/>
          <w:sz w:val="30"/>
          <w:szCs w:val="30"/>
        </w:rPr>
        <w:br w:type="textWrapping"/>
      </w:r>
      <w:r>
        <w:rPr>
          <w:rFonts w:hint="eastAsia" w:ascii="宋体" w:hAnsi="宋体" w:eastAsia="宋体" w:cs="宋体"/>
          <w:sz w:val="30"/>
          <w:szCs w:val="30"/>
          <w:lang w:val="en-US" w:eastAsia="zh-CN"/>
        </w:rPr>
        <w:t xml:space="preserve">    （二）管控要求</w:t>
      </w:r>
      <w:r>
        <w:rPr>
          <w:rFonts w:hint="eastAsia" w:ascii="宋体" w:hAnsi="宋体" w:eastAsia="宋体" w:cs="宋体"/>
          <w:sz w:val="30"/>
          <w:szCs w:val="30"/>
        </w:rPr>
        <w:br w:type="textWrapping"/>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1．</w:t>
      </w:r>
      <w:r>
        <w:rPr>
          <w:rFonts w:hint="eastAsia" w:ascii="宋体" w:hAnsi="宋体" w:eastAsia="宋体" w:cs="宋体"/>
          <w:sz w:val="30"/>
          <w:szCs w:val="30"/>
          <w:lang w:eastAsia="zh-CN"/>
        </w:rPr>
        <w:t>乙方</w:t>
      </w:r>
      <w:r>
        <w:rPr>
          <w:rFonts w:hint="eastAsia" w:ascii="宋体" w:hAnsi="宋体" w:eastAsia="宋体" w:cs="宋体"/>
          <w:sz w:val="30"/>
          <w:szCs w:val="30"/>
        </w:rPr>
        <w:t>在接到</w:t>
      </w:r>
      <w:r>
        <w:rPr>
          <w:rFonts w:hint="eastAsia" w:ascii="宋体" w:hAnsi="宋体" w:eastAsia="宋体" w:cs="宋体"/>
          <w:sz w:val="30"/>
          <w:szCs w:val="30"/>
          <w:lang w:eastAsia="zh-CN"/>
        </w:rPr>
        <w:t>甲方造价咨询</w:t>
      </w:r>
      <w:r>
        <w:rPr>
          <w:rFonts w:hint="eastAsia" w:ascii="宋体" w:hAnsi="宋体" w:eastAsia="宋体" w:cs="宋体"/>
          <w:sz w:val="30"/>
          <w:szCs w:val="30"/>
        </w:rPr>
        <w:t>委托后，应在10个工作日</w:t>
      </w:r>
      <w:r>
        <w:rPr>
          <w:rFonts w:hint="eastAsia" w:ascii="宋体" w:hAnsi="宋体" w:eastAsia="宋体" w:cs="宋体"/>
          <w:sz w:val="30"/>
          <w:szCs w:val="30"/>
          <w:lang w:eastAsia="zh-CN"/>
        </w:rPr>
        <w:t>出具正式审核意见或正式结算报告</w:t>
      </w:r>
      <w:r>
        <w:rPr>
          <w:rFonts w:hint="eastAsia" w:ascii="宋体" w:hAnsi="宋体" w:eastAsia="宋体" w:cs="宋体"/>
          <w:sz w:val="30"/>
          <w:szCs w:val="30"/>
          <w:lang w:val="en-US" w:eastAsia="zh-CN"/>
        </w:rPr>
        <w:t>，电子版资料包括正式签字盖章PDF版及可编辑word、excle电子版，正式签字盖章纸质版材料应在接到委托函15个工作日内邮递给甲方。</w:t>
      </w:r>
      <w:r>
        <w:rPr>
          <w:rFonts w:hint="eastAsia" w:ascii="宋体" w:hAnsi="宋体" w:eastAsia="宋体" w:cs="宋体"/>
          <w:sz w:val="30"/>
          <w:szCs w:val="30"/>
        </w:rPr>
        <w:br w:type="textWrapping"/>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2．针对应急抢修项目，</w:t>
      </w:r>
      <w:r>
        <w:rPr>
          <w:rFonts w:hint="eastAsia" w:ascii="宋体" w:hAnsi="宋体" w:eastAsia="宋体" w:cs="宋体"/>
          <w:sz w:val="30"/>
          <w:szCs w:val="30"/>
          <w:lang w:eastAsia="zh-CN"/>
        </w:rPr>
        <w:t>乙方</w:t>
      </w:r>
      <w:r>
        <w:rPr>
          <w:rFonts w:hint="eastAsia" w:ascii="宋体" w:hAnsi="宋体" w:eastAsia="宋体" w:cs="宋体"/>
          <w:sz w:val="30"/>
          <w:szCs w:val="30"/>
        </w:rPr>
        <w:t>应</w:t>
      </w:r>
      <w:r>
        <w:rPr>
          <w:rFonts w:hint="eastAsia" w:ascii="宋体" w:hAnsi="宋体" w:eastAsia="宋体" w:cs="宋体"/>
          <w:sz w:val="30"/>
          <w:szCs w:val="30"/>
          <w:lang w:eastAsia="zh-CN"/>
        </w:rPr>
        <w:t>积极</w:t>
      </w:r>
      <w:r>
        <w:rPr>
          <w:rFonts w:hint="eastAsia" w:ascii="宋体" w:hAnsi="宋体" w:eastAsia="宋体" w:cs="宋体"/>
          <w:sz w:val="30"/>
          <w:szCs w:val="30"/>
        </w:rPr>
        <w:t>配合</w:t>
      </w:r>
      <w:r>
        <w:rPr>
          <w:rFonts w:hint="eastAsia" w:ascii="宋体" w:hAnsi="宋体" w:eastAsia="宋体" w:cs="宋体"/>
          <w:sz w:val="30"/>
          <w:szCs w:val="30"/>
          <w:lang w:eastAsia="zh-CN"/>
        </w:rPr>
        <w:t>甲方工作进度要求</w:t>
      </w:r>
      <w:r>
        <w:rPr>
          <w:rFonts w:hint="eastAsia" w:ascii="宋体" w:hAnsi="宋体" w:eastAsia="宋体" w:cs="宋体"/>
          <w:sz w:val="30"/>
          <w:szCs w:val="30"/>
        </w:rPr>
        <w:t>。</w:t>
      </w:r>
      <w:r>
        <w:rPr>
          <w:rFonts w:hint="eastAsia" w:ascii="宋体" w:hAnsi="宋体" w:eastAsia="宋体" w:cs="宋体"/>
          <w:sz w:val="30"/>
          <w:szCs w:val="30"/>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3"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9094D"/>
    <w:rsid w:val="006E17ED"/>
    <w:rsid w:val="00C81648"/>
    <w:rsid w:val="00D92236"/>
    <w:rsid w:val="011F60B0"/>
    <w:rsid w:val="01393F9F"/>
    <w:rsid w:val="015F54A5"/>
    <w:rsid w:val="017F79F0"/>
    <w:rsid w:val="01997EBC"/>
    <w:rsid w:val="01D25D35"/>
    <w:rsid w:val="01EB5AA7"/>
    <w:rsid w:val="020F3366"/>
    <w:rsid w:val="022D3195"/>
    <w:rsid w:val="024002F8"/>
    <w:rsid w:val="028F2DA9"/>
    <w:rsid w:val="02C70339"/>
    <w:rsid w:val="036705A7"/>
    <w:rsid w:val="03747ECE"/>
    <w:rsid w:val="03AB3C6F"/>
    <w:rsid w:val="03E52831"/>
    <w:rsid w:val="03E56D30"/>
    <w:rsid w:val="04040ED2"/>
    <w:rsid w:val="04221AE8"/>
    <w:rsid w:val="04721098"/>
    <w:rsid w:val="049346C8"/>
    <w:rsid w:val="04C1398F"/>
    <w:rsid w:val="04EA08BE"/>
    <w:rsid w:val="050B112D"/>
    <w:rsid w:val="0531722A"/>
    <w:rsid w:val="055A6BEE"/>
    <w:rsid w:val="05857428"/>
    <w:rsid w:val="05C47F99"/>
    <w:rsid w:val="05C816FB"/>
    <w:rsid w:val="05D1752B"/>
    <w:rsid w:val="05D41D27"/>
    <w:rsid w:val="05D52949"/>
    <w:rsid w:val="05ED55B6"/>
    <w:rsid w:val="060E7822"/>
    <w:rsid w:val="06701185"/>
    <w:rsid w:val="069671F7"/>
    <w:rsid w:val="06E16463"/>
    <w:rsid w:val="074612E6"/>
    <w:rsid w:val="07570741"/>
    <w:rsid w:val="07DD11A3"/>
    <w:rsid w:val="07DE22DF"/>
    <w:rsid w:val="07FF23EF"/>
    <w:rsid w:val="08023400"/>
    <w:rsid w:val="08357CA6"/>
    <w:rsid w:val="083E0DFA"/>
    <w:rsid w:val="085E3DA6"/>
    <w:rsid w:val="086426CB"/>
    <w:rsid w:val="088A3283"/>
    <w:rsid w:val="088D6FD4"/>
    <w:rsid w:val="08A7274D"/>
    <w:rsid w:val="08AE3565"/>
    <w:rsid w:val="09684916"/>
    <w:rsid w:val="098F05E0"/>
    <w:rsid w:val="09D03150"/>
    <w:rsid w:val="0A3E0037"/>
    <w:rsid w:val="0A8D0164"/>
    <w:rsid w:val="0AC704E4"/>
    <w:rsid w:val="0B511FF5"/>
    <w:rsid w:val="0B757CBC"/>
    <w:rsid w:val="0B9B5676"/>
    <w:rsid w:val="0BA03D54"/>
    <w:rsid w:val="0BBC64F5"/>
    <w:rsid w:val="0BEE1144"/>
    <w:rsid w:val="0BF37A5B"/>
    <w:rsid w:val="0C0F35BA"/>
    <w:rsid w:val="0C320E82"/>
    <w:rsid w:val="0C4F773C"/>
    <w:rsid w:val="0C66196F"/>
    <w:rsid w:val="0C793EB3"/>
    <w:rsid w:val="0C82010E"/>
    <w:rsid w:val="0CB32565"/>
    <w:rsid w:val="0CCC5929"/>
    <w:rsid w:val="0CD86067"/>
    <w:rsid w:val="0CED4F5A"/>
    <w:rsid w:val="0D744878"/>
    <w:rsid w:val="0D7D510F"/>
    <w:rsid w:val="0DBE661F"/>
    <w:rsid w:val="0DF72767"/>
    <w:rsid w:val="0E800EC4"/>
    <w:rsid w:val="0EAC728B"/>
    <w:rsid w:val="0EB063F8"/>
    <w:rsid w:val="0F112505"/>
    <w:rsid w:val="0F64706F"/>
    <w:rsid w:val="0F6756EB"/>
    <w:rsid w:val="0F9F3F4D"/>
    <w:rsid w:val="0FA645E9"/>
    <w:rsid w:val="0FD76FB6"/>
    <w:rsid w:val="0FF44822"/>
    <w:rsid w:val="109752D3"/>
    <w:rsid w:val="10B113BE"/>
    <w:rsid w:val="10B17E70"/>
    <w:rsid w:val="10C309B1"/>
    <w:rsid w:val="10E54B3C"/>
    <w:rsid w:val="11024509"/>
    <w:rsid w:val="112F7445"/>
    <w:rsid w:val="11587DF2"/>
    <w:rsid w:val="11787FF2"/>
    <w:rsid w:val="118421FE"/>
    <w:rsid w:val="118772D1"/>
    <w:rsid w:val="1199579C"/>
    <w:rsid w:val="11F87BC4"/>
    <w:rsid w:val="12293AF4"/>
    <w:rsid w:val="12446116"/>
    <w:rsid w:val="126256DC"/>
    <w:rsid w:val="1270598B"/>
    <w:rsid w:val="12794306"/>
    <w:rsid w:val="12C354AD"/>
    <w:rsid w:val="12CE00F5"/>
    <w:rsid w:val="13047609"/>
    <w:rsid w:val="1314504E"/>
    <w:rsid w:val="13397788"/>
    <w:rsid w:val="13454668"/>
    <w:rsid w:val="13674612"/>
    <w:rsid w:val="13686DCC"/>
    <w:rsid w:val="13973F6D"/>
    <w:rsid w:val="13F5669C"/>
    <w:rsid w:val="13F636AC"/>
    <w:rsid w:val="14181292"/>
    <w:rsid w:val="143A7365"/>
    <w:rsid w:val="144C2526"/>
    <w:rsid w:val="148252F9"/>
    <w:rsid w:val="14AF1CB7"/>
    <w:rsid w:val="14BF376B"/>
    <w:rsid w:val="14C40BDF"/>
    <w:rsid w:val="14E36004"/>
    <w:rsid w:val="15101618"/>
    <w:rsid w:val="15551BE7"/>
    <w:rsid w:val="15930985"/>
    <w:rsid w:val="15EB6C68"/>
    <w:rsid w:val="15ED59D1"/>
    <w:rsid w:val="163440EC"/>
    <w:rsid w:val="16A64451"/>
    <w:rsid w:val="16D64530"/>
    <w:rsid w:val="16DF32CD"/>
    <w:rsid w:val="16E32EFF"/>
    <w:rsid w:val="174F6569"/>
    <w:rsid w:val="175D7EC3"/>
    <w:rsid w:val="176851B3"/>
    <w:rsid w:val="176B42ED"/>
    <w:rsid w:val="17843447"/>
    <w:rsid w:val="18DC54F5"/>
    <w:rsid w:val="18EA3759"/>
    <w:rsid w:val="191078D4"/>
    <w:rsid w:val="1943278C"/>
    <w:rsid w:val="19614AAC"/>
    <w:rsid w:val="197547C8"/>
    <w:rsid w:val="19961388"/>
    <w:rsid w:val="199801B0"/>
    <w:rsid w:val="19E96867"/>
    <w:rsid w:val="1A080859"/>
    <w:rsid w:val="1A4338EA"/>
    <w:rsid w:val="1A481754"/>
    <w:rsid w:val="1A50683C"/>
    <w:rsid w:val="1A673E18"/>
    <w:rsid w:val="1A7456B2"/>
    <w:rsid w:val="1A96538F"/>
    <w:rsid w:val="1A9E24D5"/>
    <w:rsid w:val="1AA06F24"/>
    <w:rsid w:val="1B2C6AEB"/>
    <w:rsid w:val="1BD833A5"/>
    <w:rsid w:val="1BF45ECA"/>
    <w:rsid w:val="1C2F1853"/>
    <w:rsid w:val="1C3F0421"/>
    <w:rsid w:val="1C567F0C"/>
    <w:rsid w:val="1CCB6BF7"/>
    <w:rsid w:val="1CF568C4"/>
    <w:rsid w:val="1D2E6A5C"/>
    <w:rsid w:val="1D4A4763"/>
    <w:rsid w:val="1D5030D8"/>
    <w:rsid w:val="1D6056F4"/>
    <w:rsid w:val="1D6A11CF"/>
    <w:rsid w:val="1DAA021B"/>
    <w:rsid w:val="1DDB58B1"/>
    <w:rsid w:val="1E0D5680"/>
    <w:rsid w:val="1E6054A0"/>
    <w:rsid w:val="1E6F62EE"/>
    <w:rsid w:val="1E74088D"/>
    <w:rsid w:val="1E8F1C3C"/>
    <w:rsid w:val="1EA27624"/>
    <w:rsid w:val="1EA8118B"/>
    <w:rsid w:val="1ECB11E9"/>
    <w:rsid w:val="1EF77E5D"/>
    <w:rsid w:val="1F040300"/>
    <w:rsid w:val="1F5574A9"/>
    <w:rsid w:val="1F7A0A90"/>
    <w:rsid w:val="1F847211"/>
    <w:rsid w:val="1F862AAF"/>
    <w:rsid w:val="1F955EB8"/>
    <w:rsid w:val="1FC91271"/>
    <w:rsid w:val="1FDD3D15"/>
    <w:rsid w:val="2000627B"/>
    <w:rsid w:val="20440135"/>
    <w:rsid w:val="205D4499"/>
    <w:rsid w:val="207E74F2"/>
    <w:rsid w:val="20893B72"/>
    <w:rsid w:val="20AE071E"/>
    <w:rsid w:val="20D161BB"/>
    <w:rsid w:val="215262F0"/>
    <w:rsid w:val="21993BA0"/>
    <w:rsid w:val="21FA4A72"/>
    <w:rsid w:val="222C2937"/>
    <w:rsid w:val="222C3FBC"/>
    <w:rsid w:val="22A569F6"/>
    <w:rsid w:val="22AB78DC"/>
    <w:rsid w:val="2307262E"/>
    <w:rsid w:val="231E31DE"/>
    <w:rsid w:val="23253DC7"/>
    <w:rsid w:val="239B61D2"/>
    <w:rsid w:val="23BD6136"/>
    <w:rsid w:val="23F9313C"/>
    <w:rsid w:val="24011D2B"/>
    <w:rsid w:val="248D07AC"/>
    <w:rsid w:val="24AE4F7D"/>
    <w:rsid w:val="24D4627C"/>
    <w:rsid w:val="251A517D"/>
    <w:rsid w:val="252E3C02"/>
    <w:rsid w:val="252E3C1D"/>
    <w:rsid w:val="254D5583"/>
    <w:rsid w:val="255A39C6"/>
    <w:rsid w:val="256428EA"/>
    <w:rsid w:val="25987545"/>
    <w:rsid w:val="259B688B"/>
    <w:rsid w:val="25D55F50"/>
    <w:rsid w:val="25FA2D6D"/>
    <w:rsid w:val="25FC3E8B"/>
    <w:rsid w:val="26361C58"/>
    <w:rsid w:val="265427B1"/>
    <w:rsid w:val="26865E92"/>
    <w:rsid w:val="26BE499D"/>
    <w:rsid w:val="26D45C42"/>
    <w:rsid w:val="26DF2643"/>
    <w:rsid w:val="27303435"/>
    <w:rsid w:val="274B6640"/>
    <w:rsid w:val="2778547B"/>
    <w:rsid w:val="27DE1F64"/>
    <w:rsid w:val="28021A8E"/>
    <w:rsid w:val="280511F0"/>
    <w:rsid w:val="280A3034"/>
    <w:rsid w:val="28A31818"/>
    <w:rsid w:val="28C229A2"/>
    <w:rsid w:val="29432ABC"/>
    <w:rsid w:val="294C1591"/>
    <w:rsid w:val="29593D24"/>
    <w:rsid w:val="29C33DFB"/>
    <w:rsid w:val="29F47505"/>
    <w:rsid w:val="29F6452E"/>
    <w:rsid w:val="2A1E3701"/>
    <w:rsid w:val="2A5439D4"/>
    <w:rsid w:val="2A7419DD"/>
    <w:rsid w:val="2A7719ED"/>
    <w:rsid w:val="2A8451E0"/>
    <w:rsid w:val="2A993E07"/>
    <w:rsid w:val="2AA333DA"/>
    <w:rsid w:val="2B0B6C37"/>
    <w:rsid w:val="2B626B10"/>
    <w:rsid w:val="2B757496"/>
    <w:rsid w:val="2BB1711B"/>
    <w:rsid w:val="2BB50F6A"/>
    <w:rsid w:val="2BCF6B1E"/>
    <w:rsid w:val="2C1501D8"/>
    <w:rsid w:val="2C1665C1"/>
    <w:rsid w:val="2C546CC1"/>
    <w:rsid w:val="2C5D6BA4"/>
    <w:rsid w:val="2C712815"/>
    <w:rsid w:val="2C966705"/>
    <w:rsid w:val="2D6E7CD3"/>
    <w:rsid w:val="2D96668E"/>
    <w:rsid w:val="2DA96269"/>
    <w:rsid w:val="2DDA1814"/>
    <w:rsid w:val="2DE93F3B"/>
    <w:rsid w:val="2DF51832"/>
    <w:rsid w:val="2DFB4C79"/>
    <w:rsid w:val="2E033CDA"/>
    <w:rsid w:val="2E0D1014"/>
    <w:rsid w:val="2E127BC4"/>
    <w:rsid w:val="2EE9510B"/>
    <w:rsid w:val="2F395307"/>
    <w:rsid w:val="2F520428"/>
    <w:rsid w:val="2F592BAB"/>
    <w:rsid w:val="2FB60ECC"/>
    <w:rsid w:val="30091AE0"/>
    <w:rsid w:val="302C1D10"/>
    <w:rsid w:val="302F466F"/>
    <w:rsid w:val="306513F7"/>
    <w:rsid w:val="308C27F5"/>
    <w:rsid w:val="30946CCF"/>
    <w:rsid w:val="311D5EAF"/>
    <w:rsid w:val="31476829"/>
    <w:rsid w:val="315B4790"/>
    <w:rsid w:val="32327529"/>
    <w:rsid w:val="32556F2E"/>
    <w:rsid w:val="32FF19CE"/>
    <w:rsid w:val="331047D9"/>
    <w:rsid w:val="33A62A74"/>
    <w:rsid w:val="33AF192F"/>
    <w:rsid w:val="33C3143C"/>
    <w:rsid w:val="33DD7D15"/>
    <w:rsid w:val="33EA6480"/>
    <w:rsid w:val="340174B5"/>
    <w:rsid w:val="34030F46"/>
    <w:rsid w:val="340861F8"/>
    <w:rsid w:val="343067FD"/>
    <w:rsid w:val="34332E1A"/>
    <w:rsid w:val="348C6688"/>
    <w:rsid w:val="34B83897"/>
    <w:rsid w:val="34D81245"/>
    <w:rsid w:val="34FB0B54"/>
    <w:rsid w:val="35033B1D"/>
    <w:rsid w:val="3509285C"/>
    <w:rsid w:val="350A1E91"/>
    <w:rsid w:val="35287BB9"/>
    <w:rsid w:val="355E3023"/>
    <w:rsid w:val="358806EB"/>
    <w:rsid w:val="358D0F95"/>
    <w:rsid w:val="358D37DD"/>
    <w:rsid w:val="359F1B9F"/>
    <w:rsid w:val="35C9326E"/>
    <w:rsid w:val="36264C42"/>
    <w:rsid w:val="362974D4"/>
    <w:rsid w:val="369014C0"/>
    <w:rsid w:val="369911FB"/>
    <w:rsid w:val="369E6B6C"/>
    <w:rsid w:val="36B00EEF"/>
    <w:rsid w:val="36CA367C"/>
    <w:rsid w:val="36DD59C5"/>
    <w:rsid w:val="370D7F60"/>
    <w:rsid w:val="374F7207"/>
    <w:rsid w:val="379702A2"/>
    <w:rsid w:val="379B4E61"/>
    <w:rsid w:val="37E651E0"/>
    <w:rsid w:val="37FA7644"/>
    <w:rsid w:val="380525BB"/>
    <w:rsid w:val="38436695"/>
    <w:rsid w:val="386332FA"/>
    <w:rsid w:val="38B3600A"/>
    <w:rsid w:val="38B95F09"/>
    <w:rsid w:val="38C50FE6"/>
    <w:rsid w:val="391E111F"/>
    <w:rsid w:val="39402466"/>
    <w:rsid w:val="395C6373"/>
    <w:rsid w:val="396B4FE2"/>
    <w:rsid w:val="399F413B"/>
    <w:rsid w:val="39B179D7"/>
    <w:rsid w:val="39C27A75"/>
    <w:rsid w:val="39C82A18"/>
    <w:rsid w:val="39E860C7"/>
    <w:rsid w:val="39F75D1A"/>
    <w:rsid w:val="39FC6ED9"/>
    <w:rsid w:val="3A9C47ED"/>
    <w:rsid w:val="3AA543D3"/>
    <w:rsid w:val="3AB41B33"/>
    <w:rsid w:val="3AEC0149"/>
    <w:rsid w:val="3B07218E"/>
    <w:rsid w:val="3B074917"/>
    <w:rsid w:val="3BC959E8"/>
    <w:rsid w:val="3C0159E2"/>
    <w:rsid w:val="3C3936CE"/>
    <w:rsid w:val="3C874B67"/>
    <w:rsid w:val="3C935FB3"/>
    <w:rsid w:val="3CA23F32"/>
    <w:rsid w:val="3D2C6F69"/>
    <w:rsid w:val="3D401FBF"/>
    <w:rsid w:val="3D5A03A5"/>
    <w:rsid w:val="3D8A2CB1"/>
    <w:rsid w:val="3D910935"/>
    <w:rsid w:val="3D9F0A34"/>
    <w:rsid w:val="3DDD6D3A"/>
    <w:rsid w:val="3E491B74"/>
    <w:rsid w:val="3E4A4163"/>
    <w:rsid w:val="3EDD1E82"/>
    <w:rsid w:val="3EF06066"/>
    <w:rsid w:val="3F271A43"/>
    <w:rsid w:val="3F34135C"/>
    <w:rsid w:val="3F6C3825"/>
    <w:rsid w:val="3F83688B"/>
    <w:rsid w:val="3F8B1238"/>
    <w:rsid w:val="3FB47B95"/>
    <w:rsid w:val="4002362B"/>
    <w:rsid w:val="402900FE"/>
    <w:rsid w:val="40340523"/>
    <w:rsid w:val="4056560C"/>
    <w:rsid w:val="40F37635"/>
    <w:rsid w:val="41311380"/>
    <w:rsid w:val="4174152B"/>
    <w:rsid w:val="418E33DC"/>
    <w:rsid w:val="419F009E"/>
    <w:rsid w:val="41AC0217"/>
    <w:rsid w:val="41AD3EA9"/>
    <w:rsid w:val="41E70758"/>
    <w:rsid w:val="420D0D9C"/>
    <w:rsid w:val="424C2A54"/>
    <w:rsid w:val="426540BC"/>
    <w:rsid w:val="42726BE4"/>
    <w:rsid w:val="42777DFB"/>
    <w:rsid w:val="429202A6"/>
    <w:rsid w:val="42B67A93"/>
    <w:rsid w:val="433A4BD0"/>
    <w:rsid w:val="436863AC"/>
    <w:rsid w:val="4388199E"/>
    <w:rsid w:val="43941B56"/>
    <w:rsid w:val="43AB040A"/>
    <w:rsid w:val="440F724B"/>
    <w:rsid w:val="44236CD4"/>
    <w:rsid w:val="44853A15"/>
    <w:rsid w:val="44AC5D18"/>
    <w:rsid w:val="44C73B78"/>
    <w:rsid w:val="44CE356B"/>
    <w:rsid w:val="4537596F"/>
    <w:rsid w:val="453F0882"/>
    <w:rsid w:val="455349DC"/>
    <w:rsid w:val="455D4D34"/>
    <w:rsid w:val="45D051AA"/>
    <w:rsid w:val="460C5D51"/>
    <w:rsid w:val="46174509"/>
    <w:rsid w:val="463F50BD"/>
    <w:rsid w:val="46BF5F4D"/>
    <w:rsid w:val="46D41E65"/>
    <w:rsid w:val="47193C6D"/>
    <w:rsid w:val="47420E96"/>
    <w:rsid w:val="474D0A12"/>
    <w:rsid w:val="474D45B9"/>
    <w:rsid w:val="474F6986"/>
    <w:rsid w:val="476300BA"/>
    <w:rsid w:val="4764290F"/>
    <w:rsid w:val="477D08A1"/>
    <w:rsid w:val="479E7DAE"/>
    <w:rsid w:val="47D967E2"/>
    <w:rsid w:val="4821782E"/>
    <w:rsid w:val="483E2471"/>
    <w:rsid w:val="483F0B2C"/>
    <w:rsid w:val="484645EA"/>
    <w:rsid w:val="4876318A"/>
    <w:rsid w:val="48DE0A63"/>
    <w:rsid w:val="48E80DCF"/>
    <w:rsid w:val="48FF4402"/>
    <w:rsid w:val="490C1584"/>
    <w:rsid w:val="490D6F87"/>
    <w:rsid w:val="49483448"/>
    <w:rsid w:val="494D0AC8"/>
    <w:rsid w:val="4981585D"/>
    <w:rsid w:val="49BE6774"/>
    <w:rsid w:val="4A233F81"/>
    <w:rsid w:val="4A444CB0"/>
    <w:rsid w:val="4A4A1516"/>
    <w:rsid w:val="4A58508C"/>
    <w:rsid w:val="4A891ED1"/>
    <w:rsid w:val="4AC05B13"/>
    <w:rsid w:val="4AC2716E"/>
    <w:rsid w:val="4B6374A3"/>
    <w:rsid w:val="4B785F4C"/>
    <w:rsid w:val="4BA026A0"/>
    <w:rsid w:val="4BB87346"/>
    <w:rsid w:val="4BC47295"/>
    <w:rsid w:val="4BD024EC"/>
    <w:rsid w:val="4BD34E7F"/>
    <w:rsid w:val="4C097D4B"/>
    <w:rsid w:val="4C1C267B"/>
    <w:rsid w:val="4C500275"/>
    <w:rsid w:val="4CAE6A6F"/>
    <w:rsid w:val="4CD06C9F"/>
    <w:rsid w:val="4CEC2165"/>
    <w:rsid w:val="4D4C4147"/>
    <w:rsid w:val="4DB87B82"/>
    <w:rsid w:val="4E15043A"/>
    <w:rsid w:val="4E2110C2"/>
    <w:rsid w:val="4E3748B6"/>
    <w:rsid w:val="4E6572EB"/>
    <w:rsid w:val="4E6E4B17"/>
    <w:rsid w:val="4E7B64A0"/>
    <w:rsid w:val="4EB67B78"/>
    <w:rsid w:val="4EFE5EDB"/>
    <w:rsid w:val="4F823D38"/>
    <w:rsid w:val="4F8872FB"/>
    <w:rsid w:val="4F9F2172"/>
    <w:rsid w:val="4FAC6B2A"/>
    <w:rsid w:val="4FB96EC5"/>
    <w:rsid w:val="4FC2057C"/>
    <w:rsid w:val="4FCB3C5F"/>
    <w:rsid w:val="500D5736"/>
    <w:rsid w:val="502C735E"/>
    <w:rsid w:val="502E3913"/>
    <w:rsid w:val="5033326C"/>
    <w:rsid w:val="504B6541"/>
    <w:rsid w:val="50680B8D"/>
    <w:rsid w:val="50723BE5"/>
    <w:rsid w:val="50B55570"/>
    <w:rsid w:val="50C610B6"/>
    <w:rsid w:val="50C747E3"/>
    <w:rsid w:val="50D34296"/>
    <w:rsid w:val="50F732AC"/>
    <w:rsid w:val="50F96962"/>
    <w:rsid w:val="514418DA"/>
    <w:rsid w:val="515D2250"/>
    <w:rsid w:val="517763E3"/>
    <w:rsid w:val="51961CEB"/>
    <w:rsid w:val="519E7BFD"/>
    <w:rsid w:val="51C30530"/>
    <w:rsid w:val="51E42615"/>
    <w:rsid w:val="51EA0DF7"/>
    <w:rsid w:val="51F47E8D"/>
    <w:rsid w:val="523556AD"/>
    <w:rsid w:val="524B67A2"/>
    <w:rsid w:val="52A516B4"/>
    <w:rsid w:val="52B27660"/>
    <w:rsid w:val="53244703"/>
    <w:rsid w:val="532F2DDE"/>
    <w:rsid w:val="53713D5D"/>
    <w:rsid w:val="5399665D"/>
    <w:rsid w:val="53AF4242"/>
    <w:rsid w:val="53BF50C2"/>
    <w:rsid w:val="543D1439"/>
    <w:rsid w:val="547B52E4"/>
    <w:rsid w:val="547C676C"/>
    <w:rsid w:val="54DC5499"/>
    <w:rsid w:val="552C4E4F"/>
    <w:rsid w:val="553F0457"/>
    <w:rsid w:val="55487412"/>
    <w:rsid w:val="555C24F8"/>
    <w:rsid w:val="55806411"/>
    <w:rsid w:val="558822D7"/>
    <w:rsid w:val="5590568B"/>
    <w:rsid w:val="559B0DA7"/>
    <w:rsid w:val="559B1808"/>
    <w:rsid w:val="559B72C7"/>
    <w:rsid w:val="55A9498C"/>
    <w:rsid w:val="55FD3E07"/>
    <w:rsid w:val="563F071E"/>
    <w:rsid w:val="5671484D"/>
    <w:rsid w:val="569C0D48"/>
    <w:rsid w:val="56AE275C"/>
    <w:rsid w:val="56CD39CD"/>
    <w:rsid w:val="56E11C10"/>
    <w:rsid w:val="57150BF1"/>
    <w:rsid w:val="57233094"/>
    <w:rsid w:val="572E5892"/>
    <w:rsid w:val="574D18FB"/>
    <w:rsid w:val="576A0FE1"/>
    <w:rsid w:val="57D64956"/>
    <w:rsid w:val="580206A7"/>
    <w:rsid w:val="581558FC"/>
    <w:rsid w:val="589346F4"/>
    <w:rsid w:val="58B03A05"/>
    <w:rsid w:val="58B41CC2"/>
    <w:rsid w:val="58C5709A"/>
    <w:rsid w:val="58E205CA"/>
    <w:rsid w:val="58F9242F"/>
    <w:rsid w:val="595C25E5"/>
    <w:rsid w:val="5973385A"/>
    <w:rsid w:val="5992235A"/>
    <w:rsid w:val="59B966C3"/>
    <w:rsid w:val="59C15426"/>
    <w:rsid w:val="59D83505"/>
    <w:rsid w:val="59F705C0"/>
    <w:rsid w:val="5A036FAB"/>
    <w:rsid w:val="5A1B1E31"/>
    <w:rsid w:val="5A447250"/>
    <w:rsid w:val="5A822B0C"/>
    <w:rsid w:val="5A953AFC"/>
    <w:rsid w:val="5A9A78CD"/>
    <w:rsid w:val="5ADB71B1"/>
    <w:rsid w:val="5AE55B16"/>
    <w:rsid w:val="5AE81CF3"/>
    <w:rsid w:val="5B054529"/>
    <w:rsid w:val="5B1A04F0"/>
    <w:rsid w:val="5B20208B"/>
    <w:rsid w:val="5B23131E"/>
    <w:rsid w:val="5B2815CE"/>
    <w:rsid w:val="5B380A83"/>
    <w:rsid w:val="5B3C5F7F"/>
    <w:rsid w:val="5B972A33"/>
    <w:rsid w:val="5C2934AC"/>
    <w:rsid w:val="5C3A148E"/>
    <w:rsid w:val="5C5137D5"/>
    <w:rsid w:val="5C6120F5"/>
    <w:rsid w:val="5C74429D"/>
    <w:rsid w:val="5C7A3D8F"/>
    <w:rsid w:val="5C944C99"/>
    <w:rsid w:val="5C9B105F"/>
    <w:rsid w:val="5CAF5C8C"/>
    <w:rsid w:val="5CCE30A3"/>
    <w:rsid w:val="5CF84F62"/>
    <w:rsid w:val="5D0561FE"/>
    <w:rsid w:val="5D60759A"/>
    <w:rsid w:val="5D6556A7"/>
    <w:rsid w:val="5D855EFE"/>
    <w:rsid w:val="5E3F60EF"/>
    <w:rsid w:val="5E425F3E"/>
    <w:rsid w:val="5E665B80"/>
    <w:rsid w:val="5EA7130B"/>
    <w:rsid w:val="5ED947E2"/>
    <w:rsid w:val="5F4012C6"/>
    <w:rsid w:val="5F4459E7"/>
    <w:rsid w:val="5F52523E"/>
    <w:rsid w:val="5F79039F"/>
    <w:rsid w:val="5FCB3D9D"/>
    <w:rsid w:val="5FEE302E"/>
    <w:rsid w:val="600C1073"/>
    <w:rsid w:val="604374A1"/>
    <w:rsid w:val="60552A92"/>
    <w:rsid w:val="60770F7B"/>
    <w:rsid w:val="60D3651B"/>
    <w:rsid w:val="614A53A0"/>
    <w:rsid w:val="61CE2CBB"/>
    <w:rsid w:val="61F02166"/>
    <w:rsid w:val="61F02609"/>
    <w:rsid w:val="61F80344"/>
    <w:rsid w:val="622405E9"/>
    <w:rsid w:val="622F2020"/>
    <w:rsid w:val="62337436"/>
    <w:rsid w:val="624C78A5"/>
    <w:rsid w:val="625553C2"/>
    <w:rsid w:val="626F2406"/>
    <w:rsid w:val="62815818"/>
    <w:rsid w:val="62874D9B"/>
    <w:rsid w:val="62BC5EC0"/>
    <w:rsid w:val="62D00010"/>
    <w:rsid w:val="62F42273"/>
    <w:rsid w:val="633815AF"/>
    <w:rsid w:val="633A3BC2"/>
    <w:rsid w:val="633F2379"/>
    <w:rsid w:val="63507E0F"/>
    <w:rsid w:val="637C374B"/>
    <w:rsid w:val="63A94E4C"/>
    <w:rsid w:val="63DA5339"/>
    <w:rsid w:val="63F94236"/>
    <w:rsid w:val="64E2315D"/>
    <w:rsid w:val="64F35477"/>
    <w:rsid w:val="65636897"/>
    <w:rsid w:val="65703F1A"/>
    <w:rsid w:val="65752825"/>
    <w:rsid w:val="657831D2"/>
    <w:rsid w:val="657F29DD"/>
    <w:rsid w:val="659018A7"/>
    <w:rsid w:val="65BC53FD"/>
    <w:rsid w:val="65CF249B"/>
    <w:rsid w:val="65E843DA"/>
    <w:rsid w:val="65F517A0"/>
    <w:rsid w:val="65FD6B0E"/>
    <w:rsid w:val="66064FE5"/>
    <w:rsid w:val="66924793"/>
    <w:rsid w:val="66BE63DA"/>
    <w:rsid w:val="67055679"/>
    <w:rsid w:val="676B2714"/>
    <w:rsid w:val="67CB7F3D"/>
    <w:rsid w:val="67E01216"/>
    <w:rsid w:val="67E25E58"/>
    <w:rsid w:val="68393B19"/>
    <w:rsid w:val="68467C0A"/>
    <w:rsid w:val="688F123D"/>
    <w:rsid w:val="68DB5FF8"/>
    <w:rsid w:val="68F845DE"/>
    <w:rsid w:val="69466312"/>
    <w:rsid w:val="695E3C53"/>
    <w:rsid w:val="696F4D90"/>
    <w:rsid w:val="69867379"/>
    <w:rsid w:val="699A4E2B"/>
    <w:rsid w:val="69BC0C8E"/>
    <w:rsid w:val="69C66836"/>
    <w:rsid w:val="6A147384"/>
    <w:rsid w:val="6A2F15D1"/>
    <w:rsid w:val="6A414FC6"/>
    <w:rsid w:val="6A7A3DD9"/>
    <w:rsid w:val="6AC468CE"/>
    <w:rsid w:val="6AE970A1"/>
    <w:rsid w:val="6B3A6682"/>
    <w:rsid w:val="6B3E7839"/>
    <w:rsid w:val="6B8647FB"/>
    <w:rsid w:val="6BAF35AE"/>
    <w:rsid w:val="6BB50010"/>
    <w:rsid w:val="6BE2122B"/>
    <w:rsid w:val="6BE6513D"/>
    <w:rsid w:val="6BF512A7"/>
    <w:rsid w:val="6C0512BE"/>
    <w:rsid w:val="6C1778C5"/>
    <w:rsid w:val="6C521302"/>
    <w:rsid w:val="6C7B3586"/>
    <w:rsid w:val="6C961A6B"/>
    <w:rsid w:val="6D136FC2"/>
    <w:rsid w:val="6D1D7F74"/>
    <w:rsid w:val="6D202D0D"/>
    <w:rsid w:val="6D6606D8"/>
    <w:rsid w:val="6D77613A"/>
    <w:rsid w:val="6D8958FA"/>
    <w:rsid w:val="6D9562D7"/>
    <w:rsid w:val="6DB56601"/>
    <w:rsid w:val="6DC246E8"/>
    <w:rsid w:val="6DD66CF5"/>
    <w:rsid w:val="6DE552C5"/>
    <w:rsid w:val="6F25670C"/>
    <w:rsid w:val="6F3757D1"/>
    <w:rsid w:val="6F91171C"/>
    <w:rsid w:val="6F9C2445"/>
    <w:rsid w:val="6FA23CD1"/>
    <w:rsid w:val="6FA71214"/>
    <w:rsid w:val="6FB4769C"/>
    <w:rsid w:val="6FCF4EAB"/>
    <w:rsid w:val="704354BE"/>
    <w:rsid w:val="704C7CB7"/>
    <w:rsid w:val="70D63874"/>
    <w:rsid w:val="70E73886"/>
    <w:rsid w:val="70EC63D2"/>
    <w:rsid w:val="717549B1"/>
    <w:rsid w:val="719715F2"/>
    <w:rsid w:val="71DE2888"/>
    <w:rsid w:val="71E258CD"/>
    <w:rsid w:val="720226CD"/>
    <w:rsid w:val="72696B51"/>
    <w:rsid w:val="72D90470"/>
    <w:rsid w:val="72F26ACC"/>
    <w:rsid w:val="733C577D"/>
    <w:rsid w:val="73482B2B"/>
    <w:rsid w:val="73957DE5"/>
    <w:rsid w:val="73CA5087"/>
    <w:rsid w:val="73FF2D49"/>
    <w:rsid w:val="74022555"/>
    <w:rsid w:val="742120D3"/>
    <w:rsid w:val="74886559"/>
    <w:rsid w:val="748A7304"/>
    <w:rsid w:val="74CF746E"/>
    <w:rsid w:val="74F56BAA"/>
    <w:rsid w:val="74FF5B15"/>
    <w:rsid w:val="75126621"/>
    <w:rsid w:val="75860B2C"/>
    <w:rsid w:val="76273506"/>
    <w:rsid w:val="763C30D9"/>
    <w:rsid w:val="76750DF6"/>
    <w:rsid w:val="767773F7"/>
    <w:rsid w:val="76D93F69"/>
    <w:rsid w:val="76E043B5"/>
    <w:rsid w:val="770E4B2D"/>
    <w:rsid w:val="771237E1"/>
    <w:rsid w:val="77140207"/>
    <w:rsid w:val="772A304F"/>
    <w:rsid w:val="775E7E34"/>
    <w:rsid w:val="77795658"/>
    <w:rsid w:val="77953530"/>
    <w:rsid w:val="78990640"/>
    <w:rsid w:val="78AC27EB"/>
    <w:rsid w:val="78DD354C"/>
    <w:rsid w:val="790670E0"/>
    <w:rsid w:val="792C232F"/>
    <w:rsid w:val="79357910"/>
    <w:rsid w:val="79951ADB"/>
    <w:rsid w:val="7AA85836"/>
    <w:rsid w:val="7AB90A8C"/>
    <w:rsid w:val="7B577359"/>
    <w:rsid w:val="7B826D95"/>
    <w:rsid w:val="7BAE7A59"/>
    <w:rsid w:val="7BB32EAC"/>
    <w:rsid w:val="7BBD0D9E"/>
    <w:rsid w:val="7BC654AE"/>
    <w:rsid w:val="7BC87C8D"/>
    <w:rsid w:val="7C206FA4"/>
    <w:rsid w:val="7C3072D4"/>
    <w:rsid w:val="7C642234"/>
    <w:rsid w:val="7C986628"/>
    <w:rsid w:val="7CA06EF1"/>
    <w:rsid w:val="7CFF05BA"/>
    <w:rsid w:val="7D69760D"/>
    <w:rsid w:val="7D6B3C73"/>
    <w:rsid w:val="7D6E1948"/>
    <w:rsid w:val="7D78574F"/>
    <w:rsid w:val="7D9E72F7"/>
    <w:rsid w:val="7DAE4711"/>
    <w:rsid w:val="7DD0575A"/>
    <w:rsid w:val="7E002665"/>
    <w:rsid w:val="7E10444F"/>
    <w:rsid w:val="7E1F644C"/>
    <w:rsid w:val="7E332E4D"/>
    <w:rsid w:val="7E4556ED"/>
    <w:rsid w:val="7E4E497E"/>
    <w:rsid w:val="7E9E6530"/>
    <w:rsid w:val="7EA448E8"/>
    <w:rsid w:val="7EA8720B"/>
    <w:rsid w:val="7F2C7AC3"/>
    <w:rsid w:val="7F340C10"/>
    <w:rsid w:val="7F6D7B39"/>
    <w:rsid w:val="7F775ADC"/>
    <w:rsid w:val="7F8E1C26"/>
    <w:rsid w:val="7F9512BF"/>
    <w:rsid w:val="7F9C70BB"/>
    <w:rsid w:val="7FBA142A"/>
    <w:rsid w:val="7FF376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unhideWhenUsed/>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2022-06-13T00:28:00Z</dcterms:created>
  <dc:creator>ehv_xthbg_tanyuanhua</dc:creator>
  <cp:lastModifiedBy>339B4F016BEB442595810334CF324CD3</cp:lastModifiedBy>
  <dcterms:modified xsi:type="dcterms:W3CDTF">2024-06-05T01:21:44Z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EC30AD4598024B4CB177CD92FDE7DB8F</vt:lpwstr>
  </property>
</Properties>
</file>