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snapToGrid w:val="0"/>
          <w:color w:val="auto"/>
          <w:spacing w:val="6"/>
          <w:sz w:val="52"/>
          <w:szCs w:val="52"/>
          <w:highlight w:val="none"/>
        </w:rPr>
      </w:pPr>
      <w:bookmarkStart w:id="0" w:name="_Toc523457210"/>
      <w:bookmarkStart w:id="1" w:name="_Toc518469481"/>
      <w:bookmarkStart w:id="2" w:name="_Toc518469161"/>
      <w:bookmarkStart w:id="3" w:name="_Toc515245363"/>
      <w:bookmarkStart w:id="4" w:name="_Toc13109367"/>
      <w:bookmarkStart w:id="5" w:name="_Toc518469334"/>
      <w:bookmarkStart w:id="6" w:name="_Toc518469731"/>
      <w:bookmarkStart w:id="7" w:name="_Toc523457356"/>
    </w:p>
    <w:p>
      <w:pPr>
        <w:jc w:val="center"/>
        <w:rPr>
          <w:rFonts w:hint="eastAsia"/>
          <w:b/>
          <w:snapToGrid w:val="0"/>
          <w:color w:val="auto"/>
          <w:spacing w:val="6"/>
          <w:sz w:val="52"/>
          <w:szCs w:val="52"/>
          <w:highlight w:val="none"/>
        </w:rPr>
      </w:pPr>
    </w:p>
    <w:p>
      <w:pPr>
        <w:jc w:val="center"/>
        <w:rPr>
          <w:rFonts w:ascii="宋体" w:hAnsi="宋体"/>
          <w:b/>
          <w:color w:val="auto"/>
          <w:sz w:val="44"/>
          <w:highlight w:val="none"/>
        </w:rPr>
      </w:pPr>
      <w:r>
        <w:rPr>
          <w:rFonts w:hint="eastAsia"/>
          <w:b/>
          <w:snapToGrid w:val="0"/>
          <w:color w:val="auto"/>
          <w:spacing w:val="6"/>
          <w:sz w:val="52"/>
          <w:szCs w:val="52"/>
          <w:highlight w:val="none"/>
        </w:rPr>
        <w:t>镇宁县江龙风电场100MW项目</w:t>
      </w:r>
      <w:r>
        <w:rPr>
          <w:rFonts w:hint="eastAsia"/>
          <w:b/>
          <w:snapToGrid w:val="0"/>
          <w:color w:val="auto"/>
          <w:spacing w:val="6"/>
          <w:sz w:val="52"/>
          <w:szCs w:val="52"/>
          <w:highlight w:val="none"/>
          <w:lang w:eastAsia="zh-CN"/>
        </w:rPr>
        <w:t>220kV</w:t>
      </w:r>
      <w:r>
        <w:rPr>
          <w:rFonts w:hint="eastAsia"/>
          <w:b/>
          <w:snapToGrid w:val="0"/>
          <w:color w:val="auto"/>
          <w:spacing w:val="6"/>
          <w:sz w:val="52"/>
          <w:szCs w:val="52"/>
          <w:highlight w:val="none"/>
        </w:rPr>
        <w:t>线路送出工程</w:t>
      </w:r>
    </w:p>
    <w:p>
      <w:pPr>
        <w:jc w:val="center"/>
        <w:rPr>
          <w:rFonts w:hint="eastAsia" w:ascii="宋体" w:hAnsi="宋体"/>
          <w:b/>
          <w:color w:val="auto"/>
          <w:sz w:val="48"/>
          <w:highlight w:val="none"/>
        </w:rPr>
      </w:pPr>
    </w:p>
    <w:p>
      <w:pPr>
        <w:spacing w:line="360" w:lineRule="auto"/>
        <w:jc w:val="center"/>
        <w:rPr>
          <w:rFonts w:hint="eastAsia" w:ascii="宋体" w:hAnsi="宋体"/>
          <w:b/>
          <w:color w:val="auto"/>
          <w:sz w:val="44"/>
          <w:highlight w:val="none"/>
        </w:rPr>
      </w:pPr>
    </w:p>
    <w:p>
      <w:pPr>
        <w:spacing w:line="360" w:lineRule="auto"/>
        <w:jc w:val="center"/>
        <w:rPr>
          <w:rFonts w:hint="eastAsia" w:ascii="宋体" w:hAnsi="宋体"/>
          <w:b/>
          <w:color w:val="auto"/>
          <w:sz w:val="44"/>
          <w:highlight w:val="none"/>
        </w:rPr>
      </w:pPr>
    </w:p>
    <w:p>
      <w:pPr>
        <w:ind w:firstLine="18" w:firstLineChars="4"/>
        <w:jc w:val="center"/>
        <w:rPr>
          <w:rFonts w:hint="eastAsia" w:ascii="宋体" w:hAnsi="宋体"/>
          <w:b/>
          <w:color w:val="auto"/>
          <w:sz w:val="48"/>
          <w:szCs w:val="48"/>
          <w:highlight w:val="none"/>
        </w:rPr>
      </w:pPr>
      <w:r>
        <w:rPr>
          <w:rFonts w:hint="eastAsia" w:ascii="宋体" w:hAnsi="宋体"/>
          <w:b/>
          <w:color w:val="auto"/>
          <w:sz w:val="44"/>
          <w:highlight w:val="none"/>
          <w:lang w:val="en-US" w:eastAsia="zh-CN"/>
        </w:rPr>
        <w:t>220</w:t>
      </w:r>
      <w:r>
        <w:rPr>
          <w:rFonts w:hint="eastAsia" w:ascii="宋体" w:hAnsi="宋体"/>
          <w:b/>
          <w:color w:val="auto"/>
          <w:sz w:val="44"/>
          <w:highlight w:val="none"/>
        </w:rPr>
        <w:t>kV计算机监控系统</w:t>
      </w:r>
    </w:p>
    <w:p>
      <w:pPr>
        <w:pStyle w:val="42"/>
        <w:spacing w:line="360" w:lineRule="auto"/>
        <w:rPr>
          <w:rFonts w:ascii="Times New Roman" w:hAnsi="Times New Roman" w:eastAsia="隶书"/>
          <w:snapToGrid w:val="0"/>
          <w:color w:val="auto"/>
          <w:kern w:val="0"/>
          <w:sz w:val="24"/>
          <w:highlight w:val="none"/>
        </w:rPr>
      </w:pPr>
    </w:p>
    <w:p>
      <w:pPr>
        <w:pStyle w:val="42"/>
        <w:spacing w:line="360" w:lineRule="auto"/>
        <w:jc w:val="center"/>
        <w:rPr>
          <w:rFonts w:ascii="Times New Roman" w:hAnsi="Times New Roman" w:eastAsia="隶书"/>
          <w:snapToGrid w:val="0"/>
          <w:color w:val="auto"/>
          <w:kern w:val="0"/>
          <w:sz w:val="24"/>
          <w:highlight w:val="none"/>
        </w:rPr>
      </w:pPr>
    </w:p>
    <w:p>
      <w:pPr>
        <w:spacing w:line="360" w:lineRule="auto"/>
        <w:jc w:val="center"/>
        <w:rPr>
          <w:rFonts w:eastAsia="黑体"/>
          <w:b/>
          <w:color w:val="auto"/>
          <w:sz w:val="52"/>
          <w:szCs w:val="52"/>
          <w:highlight w:val="none"/>
        </w:rPr>
      </w:pPr>
    </w:p>
    <w:p>
      <w:pPr>
        <w:spacing w:line="360" w:lineRule="auto"/>
        <w:jc w:val="center"/>
        <w:rPr>
          <w:rFonts w:eastAsia="黑体"/>
          <w:b/>
          <w:color w:val="auto"/>
          <w:sz w:val="52"/>
          <w:szCs w:val="52"/>
          <w:highlight w:val="none"/>
        </w:rPr>
      </w:pPr>
      <w:r>
        <w:rPr>
          <w:rFonts w:hint="eastAsia" w:eastAsia="黑体"/>
          <w:b/>
          <w:color w:val="auto"/>
          <w:sz w:val="52"/>
          <w:szCs w:val="52"/>
          <w:highlight w:val="none"/>
        </w:rPr>
        <w:t>招标文件</w:t>
      </w:r>
    </w:p>
    <w:p>
      <w:pPr>
        <w:spacing w:line="360" w:lineRule="auto"/>
        <w:jc w:val="center"/>
        <w:rPr>
          <w:rFonts w:eastAsia="黑体"/>
          <w:b/>
          <w:color w:val="auto"/>
          <w:sz w:val="72"/>
          <w:szCs w:val="72"/>
          <w:highlight w:val="none"/>
        </w:rPr>
      </w:pPr>
      <w:r>
        <w:rPr>
          <w:rFonts w:hint="eastAsia" w:eastAsia="隶书"/>
          <w:color w:val="auto"/>
          <w:sz w:val="52"/>
          <w:szCs w:val="52"/>
          <w:highlight w:val="none"/>
        </w:rPr>
        <w:t>（技术规范书）</w:t>
      </w:r>
    </w:p>
    <w:p>
      <w:pPr>
        <w:spacing w:line="440" w:lineRule="exact"/>
        <w:ind w:firstLine="960"/>
        <w:jc w:val="center"/>
        <w:rPr>
          <w:rFonts w:eastAsia="仿宋_GB2312"/>
          <w:color w:val="auto"/>
          <w:highlight w:val="none"/>
          <w:lang w:val="zh-CN"/>
        </w:rPr>
      </w:pPr>
    </w:p>
    <w:p>
      <w:pPr>
        <w:spacing w:line="440" w:lineRule="exact"/>
        <w:ind w:firstLine="735" w:firstLineChars="350"/>
        <w:rPr>
          <w:rFonts w:eastAsia="仿宋_GB2312"/>
          <w:color w:val="auto"/>
          <w:highlight w:val="none"/>
        </w:rPr>
      </w:pPr>
    </w:p>
    <w:p>
      <w:pPr>
        <w:spacing w:line="440" w:lineRule="exact"/>
        <w:ind w:firstLine="735" w:firstLineChars="350"/>
        <w:rPr>
          <w:rFonts w:eastAsia="仿宋_GB2312"/>
          <w:color w:val="auto"/>
          <w:highlight w:val="none"/>
        </w:rPr>
      </w:pPr>
    </w:p>
    <w:p>
      <w:pPr>
        <w:spacing w:line="440" w:lineRule="exact"/>
        <w:ind w:firstLine="735" w:firstLineChars="350"/>
        <w:rPr>
          <w:rFonts w:eastAsia="仿宋_GB2312"/>
          <w:color w:val="auto"/>
          <w:highlight w:val="none"/>
        </w:rPr>
      </w:pPr>
    </w:p>
    <w:p>
      <w:pPr>
        <w:spacing w:line="440" w:lineRule="exact"/>
        <w:ind w:firstLine="735" w:firstLineChars="350"/>
        <w:rPr>
          <w:rFonts w:eastAsia="仿宋_GB2312"/>
          <w:color w:val="auto"/>
          <w:highlight w:val="none"/>
        </w:rPr>
      </w:pPr>
    </w:p>
    <w:p>
      <w:pPr>
        <w:spacing w:line="440" w:lineRule="exact"/>
        <w:ind w:firstLine="735" w:firstLineChars="350"/>
        <w:rPr>
          <w:rFonts w:eastAsia="仿宋_GB2312"/>
          <w:color w:val="auto"/>
          <w:highlight w:val="none"/>
        </w:rPr>
      </w:pPr>
    </w:p>
    <w:bookmarkEnd w:id="0"/>
    <w:bookmarkEnd w:id="1"/>
    <w:bookmarkEnd w:id="2"/>
    <w:bookmarkEnd w:id="3"/>
    <w:bookmarkEnd w:id="4"/>
    <w:bookmarkEnd w:id="5"/>
    <w:bookmarkEnd w:id="6"/>
    <w:bookmarkEnd w:id="7"/>
    <w:p>
      <w:pPr>
        <w:spacing w:line="440" w:lineRule="exact"/>
        <w:jc w:val="center"/>
        <w:rPr>
          <w:color w:val="auto"/>
          <w:highlight w:val="none"/>
        </w:rPr>
        <w:sectPr>
          <w:pgSz w:w="11906" w:h="16838"/>
          <w:pgMar w:top="1247" w:right="1418" w:bottom="1247" w:left="1588" w:header="851" w:footer="992" w:gutter="0"/>
          <w:cols w:space="425" w:num="1"/>
          <w:docGrid w:type="lines" w:linePitch="312" w:charSpace="0"/>
        </w:sectPr>
      </w:pPr>
    </w:p>
    <w:p>
      <w:pPr>
        <w:spacing w:line="440" w:lineRule="exact"/>
        <w:jc w:val="center"/>
        <w:rPr>
          <w:color w:val="auto"/>
          <w:highlight w:val="none"/>
        </w:rPr>
      </w:pPr>
    </w:p>
    <w:p>
      <w:pPr>
        <w:spacing w:line="440" w:lineRule="exact"/>
        <w:jc w:val="center"/>
        <w:rPr>
          <w:rFonts w:eastAsia="仿宋_GB2312"/>
          <w:color w:val="auto"/>
          <w:sz w:val="36"/>
          <w:szCs w:val="36"/>
          <w:highlight w:val="none"/>
        </w:rPr>
      </w:pPr>
      <w:r>
        <w:rPr>
          <w:rFonts w:eastAsia="仿宋_GB2312"/>
          <w:b/>
          <w:bCs/>
          <w:color w:val="auto"/>
          <w:sz w:val="36"/>
          <w:szCs w:val="36"/>
          <w:highlight w:val="none"/>
        </w:rPr>
        <w:t>目  录</w:t>
      </w:r>
    </w:p>
    <w:p>
      <w:pPr>
        <w:pStyle w:val="56"/>
        <w:tabs>
          <w:tab w:val="right" w:leader="dot" w:pos="8306"/>
          <w:tab w:val="clear" w:pos="8890"/>
        </w:tabs>
        <w:rPr>
          <w:color w:val="auto"/>
        </w:rPr>
      </w:pPr>
      <w:r>
        <w:rPr>
          <w:rStyle w:val="140"/>
          <w:rFonts w:eastAsia="仿宋_GB2312"/>
          <w:bCs/>
          <w:caps/>
          <w:color w:val="auto"/>
          <w:kern w:val="0"/>
          <w:sz w:val="24"/>
          <w:highlight w:val="none"/>
        </w:rPr>
        <w:fldChar w:fldCharType="begin"/>
      </w:r>
      <w:r>
        <w:rPr>
          <w:rStyle w:val="140"/>
          <w:rFonts w:eastAsia="仿宋_GB2312"/>
          <w:bCs/>
          <w:caps/>
          <w:color w:val="auto"/>
          <w:kern w:val="0"/>
          <w:sz w:val="24"/>
          <w:highlight w:val="none"/>
        </w:rPr>
        <w:instrText xml:space="preserve"> TOC \o "1-2" \h \z \u </w:instrText>
      </w:r>
      <w:r>
        <w:rPr>
          <w:rStyle w:val="140"/>
          <w:rFonts w:eastAsia="仿宋_GB2312"/>
          <w:bCs/>
          <w:caps/>
          <w:color w:val="auto"/>
          <w:kern w:val="0"/>
          <w:sz w:val="24"/>
          <w:highlight w:val="none"/>
        </w:rPr>
        <w:fldChar w:fldCharType="separate"/>
      </w: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_Toc30796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1. 总则</w:t>
      </w:r>
      <w:r>
        <w:rPr>
          <w:color w:val="auto"/>
        </w:rPr>
        <w:tab/>
      </w:r>
      <w:r>
        <w:rPr>
          <w:color w:val="auto"/>
        </w:rPr>
        <w:fldChar w:fldCharType="begin"/>
      </w:r>
      <w:r>
        <w:rPr>
          <w:color w:val="auto"/>
        </w:rPr>
        <w:instrText xml:space="preserve"> PAGEREF _Toc30796 </w:instrText>
      </w:r>
      <w:r>
        <w:rPr>
          <w:color w:val="auto"/>
        </w:rPr>
        <w:fldChar w:fldCharType="separate"/>
      </w:r>
      <w:r>
        <w:rPr>
          <w:color w:val="auto"/>
        </w:rPr>
        <w:t>4</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_Toc16845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1.1 一般规定</w:t>
      </w:r>
      <w:r>
        <w:rPr>
          <w:color w:val="auto"/>
        </w:rPr>
        <w:tab/>
      </w:r>
      <w:r>
        <w:rPr>
          <w:color w:val="auto"/>
        </w:rPr>
        <w:fldChar w:fldCharType="begin"/>
      </w:r>
      <w:r>
        <w:rPr>
          <w:color w:val="auto"/>
        </w:rPr>
        <w:instrText xml:space="preserve"> PAGEREF _Toc16845 </w:instrText>
      </w:r>
      <w:r>
        <w:rPr>
          <w:color w:val="auto"/>
        </w:rPr>
        <w:fldChar w:fldCharType="separate"/>
      </w:r>
      <w:r>
        <w:rPr>
          <w:color w:val="auto"/>
        </w:rPr>
        <w:t>4</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_Toc7818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1.2 投标人工作范围</w:t>
      </w:r>
      <w:r>
        <w:rPr>
          <w:color w:val="auto"/>
        </w:rPr>
        <w:tab/>
      </w:r>
      <w:r>
        <w:rPr>
          <w:color w:val="auto"/>
        </w:rPr>
        <w:fldChar w:fldCharType="begin"/>
      </w:r>
      <w:r>
        <w:rPr>
          <w:color w:val="auto"/>
        </w:rPr>
        <w:instrText xml:space="preserve"> PAGEREF _Toc7818 </w:instrText>
      </w:r>
      <w:r>
        <w:rPr>
          <w:color w:val="auto"/>
        </w:rPr>
        <w:fldChar w:fldCharType="separate"/>
      </w:r>
      <w:r>
        <w:rPr>
          <w:color w:val="auto"/>
        </w:rPr>
        <w:t>4</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_Toc12995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1.3 招标人工作范围</w:t>
      </w:r>
      <w:r>
        <w:rPr>
          <w:color w:val="auto"/>
        </w:rPr>
        <w:tab/>
      </w:r>
      <w:r>
        <w:rPr>
          <w:color w:val="auto"/>
        </w:rPr>
        <w:fldChar w:fldCharType="begin"/>
      </w:r>
      <w:r>
        <w:rPr>
          <w:color w:val="auto"/>
        </w:rPr>
        <w:instrText xml:space="preserve"> PAGEREF _Toc12995 </w:instrText>
      </w:r>
      <w:r>
        <w:rPr>
          <w:color w:val="auto"/>
        </w:rPr>
        <w:fldChar w:fldCharType="separate"/>
      </w:r>
      <w:r>
        <w:rPr>
          <w:color w:val="auto"/>
        </w:rPr>
        <w:t>5</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_Toc13367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2. 适用标准</w:t>
      </w:r>
      <w:r>
        <w:rPr>
          <w:color w:val="auto"/>
        </w:rPr>
        <w:tab/>
      </w:r>
      <w:r>
        <w:rPr>
          <w:color w:val="auto"/>
        </w:rPr>
        <w:fldChar w:fldCharType="begin"/>
      </w:r>
      <w:r>
        <w:rPr>
          <w:color w:val="auto"/>
        </w:rPr>
        <w:instrText xml:space="preserve"> PAGEREF _Toc13367 </w:instrText>
      </w:r>
      <w:r>
        <w:rPr>
          <w:color w:val="auto"/>
        </w:rPr>
        <w:fldChar w:fldCharType="separate"/>
      </w:r>
      <w:r>
        <w:rPr>
          <w:color w:val="auto"/>
        </w:rPr>
        <w:t>5</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_Toc32049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3. 一般技术要求</w:t>
      </w:r>
      <w:r>
        <w:rPr>
          <w:color w:val="auto"/>
        </w:rPr>
        <w:tab/>
      </w:r>
      <w:r>
        <w:rPr>
          <w:color w:val="auto"/>
        </w:rPr>
        <w:fldChar w:fldCharType="begin"/>
      </w:r>
      <w:r>
        <w:rPr>
          <w:color w:val="auto"/>
        </w:rPr>
        <w:instrText xml:space="preserve"> PAGEREF _Toc32049 </w:instrText>
      </w:r>
      <w:r>
        <w:rPr>
          <w:color w:val="auto"/>
        </w:rPr>
        <w:fldChar w:fldCharType="separate"/>
      </w:r>
      <w:r>
        <w:rPr>
          <w:color w:val="auto"/>
        </w:rPr>
        <w:t>8</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_Toc25396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3.1 使用环境条件</w:t>
      </w:r>
      <w:r>
        <w:rPr>
          <w:color w:val="auto"/>
        </w:rPr>
        <w:tab/>
      </w:r>
      <w:r>
        <w:rPr>
          <w:color w:val="auto"/>
        </w:rPr>
        <w:fldChar w:fldCharType="begin"/>
      </w:r>
      <w:r>
        <w:rPr>
          <w:color w:val="auto"/>
        </w:rPr>
        <w:instrText xml:space="preserve"> PAGEREF _Toc25396 </w:instrText>
      </w:r>
      <w:r>
        <w:rPr>
          <w:color w:val="auto"/>
        </w:rPr>
        <w:fldChar w:fldCharType="separate"/>
      </w:r>
      <w:r>
        <w:rPr>
          <w:color w:val="auto"/>
        </w:rPr>
        <w:t>8</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_Toc13196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3.2 电源</w:t>
      </w:r>
      <w:r>
        <w:rPr>
          <w:color w:val="auto"/>
        </w:rPr>
        <w:tab/>
      </w:r>
      <w:r>
        <w:rPr>
          <w:color w:val="auto"/>
        </w:rPr>
        <w:fldChar w:fldCharType="begin"/>
      </w:r>
      <w:r>
        <w:rPr>
          <w:color w:val="auto"/>
        </w:rPr>
        <w:instrText xml:space="preserve"> PAGEREF _Toc13196 </w:instrText>
      </w:r>
      <w:r>
        <w:rPr>
          <w:color w:val="auto"/>
        </w:rPr>
        <w:fldChar w:fldCharType="separate"/>
      </w:r>
      <w:r>
        <w:rPr>
          <w:color w:val="auto"/>
        </w:rPr>
        <w:t>9</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_Toc11215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3.3 接地</w:t>
      </w:r>
      <w:r>
        <w:rPr>
          <w:color w:val="auto"/>
        </w:rPr>
        <w:tab/>
      </w:r>
      <w:r>
        <w:rPr>
          <w:color w:val="auto"/>
        </w:rPr>
        <w:fldChar w:fldCharType="begin"/>
      </w:r>
      <w:r>
        <w:rPr>
          <w:color w:val="auto"/>
        </w:rPr>
        <w:instrText xml:space="preserve"> PAGEREF _Toc11215 </w:instrText>
      </w:r>
      <w:r>
        <w:rPr>
          <w:color w:val="auto"/>
        </w:rPr>
        <w:fldChar w:fldCharType="separate"/>
      </w:r>
      <w:r>
        <w:rPr>
          <w:color w:val="auto"/>
        </w:rPr>
        <w:t>9</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_Toc30161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3.4 抗干扰</w:t>
      </w:r>
      <w:r>
        <w:rPr>
          <w:color w:val="auto"/>
        </w:rPr>
        <w:tab/>
      </w:r>
      <w:r>
        <w:rPr>
          <w:color w:val="auto"/>
        </w:rPr>
        <w:fldChar w:fldCharType="begin"/>
      </w:r>
      <w:r>
        <w:rPr>
          <w:color w:val="auto"/>
        </w:rPr>
        <w:instrText xml:space="preserve"> PAGEREF _Toc30161 </w:instrText>
      </w:r>
      <w:r>
        <w:rPr>
          <w:color w:val="auto"/>
        </w:rPr>
        <w:fldChar w:fldCharType="separate"/>
      </w:r>
      <w:r>
        <w:rPr>
          <w:color w:val="auto"/>
        </w:rPr>
        <w:t>10</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_Toc29527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4. 专用技术要求</w:t>
      </w:r>
      <w:r>
        <w:rPr>
          <w:color w:val="auto"/>
        </w:rPr>
        <w:tab/>
      </w:r>
      <w:r>
        <w:rPr>
          <w:color w:val="auto"/>
        </w:rPr>
        <w:fldChar w:fldCharType="begin"/>
      </w:r>
      <w:r>
        <w:rPr>
          <w:color w:val="auto"/>
        </w:rPr>
        <w:instrText xml:space="preserve"> PAGEREF _Toc29527 </w:instrText>
      </w:r>
      <w:r>
        <w:rPr>
          <w:color w:val="auto"/>
        </w:rPr>
        <w:fldChar w:fldCharType="separate"/>
      </w:r>
      <w:r>
        <w:rPr>
          <w:color w:val="auto"/>
        </w:rPr>
        <w:t>10</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_Toc19540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4.1 微机综合自动化系统结构</w:t>
      </w:r>
      <w:r>
        <w:rPr>
          <w:color w:val="auto"/>
        </w:rPr>
        <w:tab/>
      </w:r>
      <w:r>
        <w:rPr>
          <w:color w:val="auto"/>
        </w:rPr>
        <w:fldChar w:fldCharType="begin"/>
      </w:r>
      <w:r>
        <w:rPr>
          <w:color w:val="auto"/>
        </w:rPr>
        <w:instrText xml:space="preserve"> PAGEREF _Toc19540 </w:instrText>
      </w:r>
      <w:r>
        <w:rPr>
          <w:color w:val="auto"/>
        </w:rPr>
        <w:fldChar w:fldCharType="separate"/>
      </w:r>
      <w:r>
        <w:rPr>
          <w:color w:val="auto"/>
        </w:rPr>
        <w:t>10</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_Toc24609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4.2 监控系统技术要求</w:t>
      </w:r>
      <w:r>
        <w:rPr>
          <w:color w:val="auto"/>
        </w:rPr>
        <w:tab/>
      </w:r>
      <w:r>
        <w:rPr>
          <w:color w:val="auto"/>
        </w:rPr>
        <w:fldChar w:fldCharType="begin"/>
      </w:r>
      <w:r>
        <w:rPr>
          <w:color w:val="auto"/>
        </w:rPr>
        <w:instrText xml:space="preserve"> PAGEREF _Toc24609 </w:instrText>
      </w:r>
      <w:r>
        <w:rPr>
          <w:color w:val="auto"/>
        </w:rPr>
        <w:fldChar w:fldCharType="separate"/>
      </w:r>
      <w:r>
        <w:rPr>
          <w:color w:val="auto"/>
        </w:rPr>
        <w:t>14</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_Toc19994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4.3 主变微机保护技术要求</w:t>
      </w:r>
      <w:r>
        <w:rPr>
          <w:color w:val="auto"/>
        </w:rPr>
        <w:tab/>
      </w:r>
      <w:r>
        <w:rPr>
          <w:color w:val="auto"/>
        </w:rPr>
        <w:fldChar w:fldCharType="begin"/>
      </w:r>
      <w:r>
        <w:rPr>
          <w:color w:val="auto"/>
        </w:rPr>
        <w:instrText xml:space="preserve"> PAGEREF _Toc19994 </w:instrText>
      </w:r>
      <w:r>
        <w:rPr>
          <w:color w:val="auto"/>
        </w:rPr>
        <w:fldChar w:fldCharType="separate"/>
      </w:r>
      <w:r>
        <w:rPr>
          <w:color w:val="auto"/>
        </w:rPr>
        <w:t>33</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_Toc14081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4.4 母线微机保护技术要求</w:t>
      </w:r>
      <w:r>
        <w:rPr>
          <w:color w:val="auto"/>
        </w:rPr>
        <w:tab/>
      </w:r>
      <w:r>
        <w:rPr>
          <w:color w:val="auto"/>
        </w:rPr>
        <w:fldChar w:fldCharType="begin"/>
      </w:r>
      <w:r>
        <w:rPr>
          <w:color w:val="auto"/>
        </w:rPr>
        <w:instrText xml:space="preserve"> PAGEREF _Toc14081 </w:instrText>
      </w:r>
      <w:r>
        <w:rPr>
          <w:color w:val="auto"/>
        </w:rPr>
        <w:fldChar w:fldCharType="separate"/>
      </w:r>
      <w:r>
        <w:rPr>
          <w:color w:val="auto"/>
        </w:rPr>
        <w:t>38</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_Toc5893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4.5 频率电压紧急控制装置技术要求</w:t>
      </w:r>
      <w:r>
        <w:rPr>
          <w:color w:val="auto"/>
        </w:rPr>
        <w:tab/>
      </w:r>
      <w:r>
        <w:rPr>
          <w:color w:val="auto"/>
        </w:rPr>
        <w:fldChar w:fldCharType="begin"/>
      </w:r>
      <w:r>
        <w:rPr>
          <w:color w:val="auto"/>
        </w:rPr>
        <w:instrText xml:space="preserve"> PAGEREF _Toc5893 </w:instrText>
      </w:r>
      <w:r>
        <w:rPr>
          <w:color w:val="auto"/>
        </w:rPr>
        <w:fldChar w:fldCharType="separate"/>
      </w:r>
      <w:r>
        <w:rPr>
          <w:color w:val="auto"/>
        </w:rPr>
        <w:t>42</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_Toc19779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4.6 微机五防操作闭锁系统技术要求</w:t>
      </w:r>
      <w:r>
        <w:rPr>
          <w:color w:val="auto"/>
        </w:rPr>
        <w:tab/>
      </w:r>
      <w:r>
        <w:rPr>
          <w:color w:val="auto"/>
        </w:rPr>
        <w:fldChar w:fldCharType="begin"/>
      </w:r>
      <w:r>
        <w:rPr>
          <w:color w:val="auto"/>
        </w:rPr>
        <w:instrText xml:space="preserve"> PAGEREF _Toc19779 </w:instrText>
      </w:r>
      <w:r>
        <w:rPr>
          <w:color w:val="auto"/>
        </w:rPr>
        <w:fldChar w:fldCharType="separate"/>
      </w:r>
      <w:r>
        <w:rPr>
          <w:color w:val="auto"/>
        </w:rPr>
        <w:t>44</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_Toc29782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4.7 故障录波屏技术要求</w:t>
      </w:r>
      <w:r>
        <w:rPr>
          <w:color w:val="auto"/>
        </w:rPr>
        <w:tab/>
      </w:r>
      <w:r>
        <w:rPr>
          <w:color w:val="auto"/>
        </w:rPr>
        <w:fldChar w:fldCharType="begin"/>
      </w:r>
      <w:r>
        <w:rPr>
          <w:color w:val="auto"/>
        </w:rPr>
        <w:instrText xml:space="preserve"> PAGEREF _Toc29782 </w:instrText>
      </w:r>
      <w:r>
        <w:rPr>
          <w:color w:val="auto"/>
        </w:rPr>
        <w:fldChar w:fldCharType="separate"/>
      </w:r>
      <w:r>
        <w:rPr>
          <w:color w:val="auto"/>
        </w:rPr>
        <w:t>46</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_Toc31652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4.8 电能质量监测装置技术要求</w:t>
      </w:r>
      <w:r>
        <w:rPr>
          <w:color w:val="auto"/>
        </w:rPr>
        <w:tab/>
      </w:r>
      <w:r>
        <w:rPr>
          <w:color w:val="auto"/>
        </w:rPr>
        <w:fldChar w:fldCharType="begin"/>
      </w:r>
      <w:r>
        <w:rPr>
          <w:color w:val="auto"/>
        </w:rPr>
        <w:instrText xml:space="preserve"> PAGEREF _Toc31652 </w:instrText>
      </w:r>
      <w:r>
        <w:rPr>
          <w:color w:val="auto"/>
        </w:rPr>
        <w:fldChar w:fldCharType="separate"/>
      </w:r>
      <w:r>
        <w:rPr>
          <w:color w:val="auto"/>
        </w:rPr>
        <w:t>49</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_Toc8790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4.9 保护及故障信息处理子站技术要求</w:t>
      </w:r>
      <w:r>
        <w:rPr>
          <w:color w:val="auto"/>
        </w:rPr>
        <w:tab/>
      </w:r>
      <w:r>
        <w:rPr>
          <w:color w:val="auto"/>
        </w:rPr>
        <w:fldChar w:fldCharType="begin"/>
      </w:r>
      <w:r>
        <w:rPr>
          <w:color w:val="auto"/>
        </w:rPr>
        <w:instrText xml:space="preserve"> PAGEREF _Toc8790 </w:instrText>
      </w:r>
      <w:r>
        <w:rPr>
          <w:color w:val="auto"/>
        </w:rPr>
        <w:fldChar w:fldCharType="separate"/>
      </w:r>
      <w:r>
        <w:rPr>
          <w:color w:val="auto"/>
        </w:rPr>
        <w:t>51</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_Toc8669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4.10 同步相量测量装置技术要求</w:t>
      </w:r>
      <w:r>
        <w:rPr>
          <w:color w:val="auto"/>
        </w:rPr>
        <w:tab/>
      </w:r>
      <w:r>
        <w:rPr>
          <w:color w:val="auto"/>
        </w:rPr>
        <w:fldChar w:fldCharType="begin"/>
      </w:r>
      <w:r>
        <w:rPr>
          <w:color w:val="auto"/>
        </w:rPr>
        <w:instrText xml:space="preserve"> PAGEREF _Toc8669 </w:instrText>
      </w:r>
      <w:r>
        <w:rPr>
          <w:color w:val="auto"/>
        </w:rPr>
        <w:fldChar w:fldCharType="separate"/>
      </w:r>
      <w:r>
        <w:rPr>
          <w:color w:val="auto"/>
        </w:rPr>
        <w:t>54</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_Toc3105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4.11 组屏方案</w:t>
      </w:r>
      <w:r>
        <w:rPr>
          <w:color w:val="auto"/>
        </w:rPr>
        <w:tab/>
      </w:r>
      <w:r>
        <w:rPr>
          <w:color w:val="auto"/>
        </w:rPr>
        <w:fldChar w:fldCharType="begin"/>
      </w:r>
      <w:r>
        <w:rPr>
          <w:color w:val="auto"/>
        </w:rPr>
        <w:instrText xml:space="preserve"> PAGEREF _Toc3105 </w:instrText>
      </w:r>
      <w:r>
        <w:rPr>
          <w:color w:val="auto"/>
        </w:rPr>
        <w:fldChar w:fldCharType="separate"/>
      </w:r>
      <w:r>
        <w:rPr>
          <w:color w:val="auto"/>
        </w:rPr>
        <w:t>58</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_Toc1981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5. 屏体要求</w:t>
      </w:r>
      <w:r>
        <w:rPr>
          <w:color w:val="auto"/>
        </w:rPr>
        <w:tab/>
      </w:r>
      <w:r>
        <w:rPr>
          <w:color w:val="auto"/>
        </w:rPr>
        <w:fldChar w:fldCharType="begin"/>
      </w:r>
      <w:r>
        <w:rPr>
          <w:color w:val="auto"/>
        </w:rPr>
        <w:instrText xml:space="preserve"> PAGEREF _Toc1981 </w:instrText>
      </w:r>
      <w:r>
        <w:rPr>
          <w:color w:val="auto"/>
        </w:rPr>
        <w:fldChar w:fldCharType="separate"/>
      </w:r>
      <w:r>
        <w:rPr>
          <w:color w:val="auto"/>
        </w:rPr>
        <w:t>58</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_Toc18149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5.1 结构</w:t>
      </w:r>
      <w:r>
        <w:rPr>
          <w:color w:val="auto"/>
        </w:rPr>
        <w:tab/>
      </w:r>
      <w:r>
        <w:rPr>
          <w:color w:val="auto"/>
        </w:rPr>
        <w:fldChar w:fldCharType="begin"/>
      </w:r>
      <w:r>
        <w:rPr>
          <w:color w:val="auto"/>
        </w:rPr>
        <w:instrText xml:space="preserve"> PAGEREF _Toc18149 </w:instrText>
      </w:r>
      <w:r>
        <w:rPr>
          <w:color w:val="auto"/>
        </w:rPr>
        <w:fldChar w:fldCharType="separate"/>
      </w:r>
      <w:r>
        <w:rPr>
          <w:color w:val="auto"/>
        </w:rPr>
        <w:t>58</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_Toc4072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5.2 喷漆</w:t>
      </w:r>
      <w:r>
        <w:rPr>
          <w:color w:val="auto"/>
        </w:rPr>
        <w:tab/>
      </w:r>
      <w:r>
        <w:rPr>
          <w:color w:val="auto"/>
        </w:rPr>
        <w:fldChar w:fldCharType="begin"/>
      </w:r>
      <w:r>
        <w:rPr>
          <w:color w:val="auto"/>
        </w:rPr>
        <w:instrText xml:space="preserve"> PAGEREF _Toc4072 </w:instrText>
      </w:r>
      <w:r>
        <w:rPr>
          <w:color w:val="auto"/>
        </w:rPr>
        <w:fldChar w:fldCharType="separate"/>
      </w:r>
      <w:r>
        <w:rPr>
          <w:color w:val="auto"/>
        </w:rPr>
        <w:t>59</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_Toc3100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5.3 直流电源、自动开关配置及保护用直流电源</w:t>
      </w:r>
      <w:r>
        <w:rPr>
          <w:color w:val="auto"/>
        </w:rPr>
        <w:tab/>
      </w:r>
      <w:r>
        <w:rPr>
          <w:color w:val="auto"/>
        </w:rPr>
        <w:fldChar w:fldCharType="begin"/>
      </w:r>
      <w:r>
        <w:rPr>
          <w:color w:val="auto"/>
        </w:rPr>
        <w:instrText xml:space="preserve"> PAGEREF _Toc3100 </w:instrText>
      </w:r>
      <w:r>
        <w:rPr>
          <w:color w:val="auto"/>
        </w:rPr>
        <w:fldChar w:fldCharType="separate"/>
      </w:r>
      <w:r>
        <w:rPr>
          <w:color w:val="auto"/>
        </w:rPr>
        <w:t>59</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_Toc4532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5.4 屏柜的布线及端子</w:t>
      </w:r>
      <w:r>
        <w:rPr>
          <w:color w:val="auto"/>
        </w:rPr>
        <w:tab/>
      </w:r>
      <w:r>
        <w:rPr>
          <w:color w:val="auto"/>
        </w:rPr>
        <w:fldChar w:fldCharType="begin"/>
      </w:r>
      <w:r>
        <w:rPr>
          <w:color w:val="auto"/>
        </w:rPr>
        <w:instrText xml:space="preserve"> PAGEREF _Toc4532 </w:instrText>
      </w:r>
      <w:r>
        <w:rPr>
          <w:color w:val="auto"/>
        </w:rPr>
        <w:fldChar w:fldCharType="separate"/>
      </w:r>
      <w:r>
        <w:rPr>
          <w:color w:val="auto"/>
        </w:rPr>
        <w:t>59</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_Toc21125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5.5 运行的技术条件</w:t>
      </w:r>
      <w:r>
        <w:rPr>
          <w:color w:val="auto"/>
        </w:rPr>
        <w:tab/>
      </w:r>
      <w:r>
        <w:rPr>
          <w:color w:val="auto"/>
        </w:rPr>
        <w:fldChar w:fldCharType="begin"/>
      </w:r>
      <w:r>
        <w:rPr>
          <w:color w:val="auto"/>
        </w:rPr>
        <w:instrText xml:space="preserve"> PAGEREF _Toc21125 </w:instrText>
      </w:r>
      <w:r>
        <w:rPr>
          <w:color w:val="auto"/>
        </w:rPr>
        <w:fldChar w:fldCharType="separate"/>
      </w:r>
      <w:r>
        <w:rPr>
          <w:color w:val="auto"/>
        </w:rPr>
        <w:t>59</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_Toc6838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6. 设计联络会</w:t>
      </w:r>
      <w:r>
        <w:rPr>
          <w:color w:val="auto"/>
        </w:rPr>
        <w:tab/>
      </w:r>
      <w:r>
        <w:rPr>
          <w:color w:val="auto"/>
        </w:rPr>
        <w:fldChar w:fldCharType="begin"/>
      </w:r>
      <w:r>
        <w:rPr>
          <w:color w:val="auto"/>
        </w:rPr>
        <w:instrText xml:space="preserve"> PAGEREF _Toc6838 </w:instrText>
      </w:r>
      <w:r>
        <w:rPr>
          <w:color w:val="auto"/>
        </w:rPr>
        <w:fldChar w:fldCharType="separate"/>
      </w:r>
      <w:r>
        <w:rPr>
          <w:color w:val="auto"/>
        </w:rPr>
        <w:t>60</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_Toc25573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7. 技术服务和工厂培训</w:t>
      </w:r>
      <w:r>
        <w:rPr>
          <w:color w:val="auto"/>
        </w:rPr>
        <w:tab/>
      </w:r>
      <w:r>
        <w:rPr>
          <w:color w:val="auto"/>
        </w:rPr>
        <w:fldChar w:fldCharType="begin"/>
      </w:r>
      <w:r>
        <w:rPr>
          <w:color w:val="auto"/>
        </w:rPr>
        <w:instrText xml:space="preserve"> PAGEREF _Toc25573 </w:instrText>
      </w:r>
      <w:r>
        <w:rPr>
          <w:color w:val="auto"/>
        </w:rPr>
        <w:fldChar w:fldCharType="separate"/>
      </w:r>
      <w:r>
        <w:rPr>
          <w:color w:val="auto"/>
        </w:rPr>
        <w:t>60</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_Toc7683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7.1 项目管理</w:t>
      </w:r>
      <w:r>
        <w:rPr>
          <w:color w:val="auto"/>
        </w:rPr>
        <w:tab/>
      </w:r>
      <w:r>
        <w:rPr>
          <w:color w:val="auto"/>
        </w:rPr>
        <w:fldChar w:fldCharType="begin"/>
      </w:r>
      <w:r>
        <w:rPr>
          <w:color w:val="auto"/>
        </w:rPr>
        <w:instrText xml:space="preserve"> PAGEREF _Toc7683 </w:instrText>
      </w:r>
      <w:r>
        <w:rPr>
          <w:color w:val="auto"/>
        </w:rPr>
        <w:fldChar w:fldCharType="separate"/>
      </w:r>
      <w:r>
        <w:rPr>
          <w:color w:val="auto"/>
        </w:rPr>
        <w:t>60</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_Toc32217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7.2 技术文件</w:t>
      </w:r>
      <w:r>
        <w:rPr>
          <w:color w:val="auto"/>
        </w:rPr>
        <w:tab/>
      </w:r>
      <w:r>
        <w:rPr>
          <w:color w:val="auto"/>
        </w:rPr>
        <w:fldChar w:fldCharType="begin"/>
      </w:r>
      <w:r>
        <w:rPr>
          <w:color w:val="auto"/>
        </w:rPr>
        <w:instrText xml:space="preserve"> PAGEREF _Toc32217 </w:instrText>
      </w:r>
      <w:r>
        <w:rPr>
          <w:color w:val="auto"/>
        </w:rPr>
        <w:fldChar w:fldCharType="separate"/>
      </w:r>
      <w:r>
        <w:rPr>
          <w:color w:val="auto"/>
        </w:rPr>
        <w:t>60</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_Toc1587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7.3 技术服务</w:t>
      </w:r>
      <w:r>
        <w:rPr>
          <w:color w:val="auto"/>
        </w:rPr>
        <w:tab/>
      </w:r>
      <w:r>
        <w:rPr>
          <w:color w:val="auto"/>
        </w:rPr>
        <w:fldChar w:fldCharType="begin"/>
      </w:r>
      <w:r>
        <w:rPr>
          <w:color w:val="auto"/>
        </w:rPr>
        <w:instrText xml:space="preserve"> PAGEREF _Toc1587 </w:instrText>
      </w:r>
      <w:r>
        <w:rPr>
          <w:color w:val="auto"/>
        </w:rPr>
        <w:fldChar w:fldCharType="separate"/>
      </w:r>
      <w:r>
        <w:rPr>
          <w:color w:val="auto"/>
        </w:rPr>
        <w:t>61</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_Toc15942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7.4 工厂培训</w:t>
      </w:r>
      <w:r>
        <w:rPr>
          <w:color w:val="auto"/>
        </w:rPr>
        <w:tab/>
      </w:r>
      <w:r>
        <w:rPr>
          <w:color w:val="auto"/>
        </w:rPr>
        <w:fldChar w:fldCharType="begin"/>
      </w:r>
      <w:r>
        <w:rPr>
          <w:color w:val="auto"/>
        </w:rPr>
        <w:instrText xml:space="preserve"> PAGEREF _Toc15942 </w:instrText>
      </w:r>
      <w:r>
        <w:rPr>
          <w:color w:val="auto"/>
        </w:rPr>
        <w:fldChar w:fldCharType="separate"/>
      </w:r>
      <w:r>
        <w:rPr>
          <w:color w:val="auto"/>
        </w:rPr>
        <w:t>61</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_Toc2203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8. 质量保证和试验</w:t>
      </w:r>
      <w:r>
        <w:rPr>
          <w:color w:val="auto"/>
        </w:rPr>
        <w:tab/>
      </w:r>
      <w:r>
        <w:rPr>
          <w:color w:val="auto"/>
        </w:rPr>
        <w:fldChar w:fldCharType="begin"/>
      </w:r>
      <w:r>
        <w:rPr>
          <w:color w:val="auto"/>
        </w:rPr>
        <w:instrText xml:space="preserve"> PAGEREF _Toc2203 </w:instrText>
      </w:r>
      <w:r>
        <w:rPr>
          <w:color w:val="auto"/>
        </w:rPr>
        <w:fldChar w:fldCharType="separate"/>
      </w:r>
      <w:r>
        <w:rPr>
          <w:color w:val="auto"/>
        </w:rPr>
        <w:t>62</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_Toc24610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8.1 质量保证</w:t>
      </w:r>
      <w:r>
        <w:rPr>
          <w:color w:val="auto"/>
        </w:rPr>
        <w:tab/>
      </w:r>
      <w:r>
        <w:rPr>
          <w:color w:val="auto"/>
        </w:rPr>
        <w:fldChar w:fldCharType="begin"/>
      </w:r>
      <w:r>
        <w:rPr>
          <w:color w:val="auto"/>
        </w:rPr>
        <w:instrText xml:space="preserve"> PAGEREF _Toc24610 </w:instrText>
      </w:r>
      <w:r>
        <w:rPr>
          <w:color w:val="auto"/>
        </w:rPr>
        <w:fldChar w:fldCharType="separate"/>
      </w:r>
      <w:r>
        <w:rPr>
          <w:color w:val="auto"/>
        </w:rPr>
        <w:t>62</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_Toc19306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8.2 试验</w:t>
      </w:r>
      <w:r>
        <w:rPr>
          <w:color w:val="auto"/>
        </w:rPr>
        <w:tab/>
      </w:r>
      <w:r>
        <w:rPr>
          <w:color w:val="auto"/>
        </w:rPr>
        <w:fldChar w:fldCharType="begin"/>
      </w:r>
      <w:r>
        <w:rPr>
          <w:color w:val="auto"/>
        </w:rPr>
        <w:instrText xml:space="preserve"> PAGEREF _Toc19306 </w:instrText>
      </w:r>
      <w:r>
        <w:rPr>
          <w:color w:val="auto"/>
        </w:rPr>
        <w:fldChar w:fldCharType="separate"/>
      </w:r>
      <w:r>
        <w:rPr>
          <w:color w:val="auto"/>
        </w:rPr>
        <w:t>62</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_Toc13228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8.3 质保期</w:t>
      </w:r>
      <w:r>
        <w:rPr>
          <w:color w:val="auto"/>
        </w:rPr>
        <w:tab/>
      </w:r>
      <w:r>
        <w:rPr>
          <w:color w:val="auto"/>
        </w:rPr>
        <w:fldChar w:fldCharType="begin"/>
      </w:r>
      <w:r>
        <w:rPr>
          <w:color w:val="auto"/>
        </w:rPr>
        <w:instrText xml:space="preserve"> PAGEREF _Toc13228 </w:instrText>
      </w:r>
      <w:r>
        <w:rPr>
          <w:color w:val="auto"/>
        </w:rPr>
        <w:fldChar w:fldCharType="separate"/>
      </w:r>
      <w:r>
        <w:rPr>
          <w:color w:val="auto"/>
        </w:rPr>
        <w:t>62</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_Toc15747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9. 包装、运输和储存</w:t>
      </w:r>
      <w:r>
        <w:rPr>
          <w:color w:val="auto"/>
        </w:rPr>
        <w:tab/>
      </w:r>
      <w:r>
        <w:rPr>
          <w:color w:val="auto"/>
        </w:rPr>
        <w:fldChar w:fldCharType="begin"/>
      </w:r>
      <w:r>
        <w:rPr>
          <w:color w:val="auto"/>
        </w:rPr>
        <w:instrText xml:space="preserve"> PAGEREF _Toc15747 </w:instrText>
      </w:r>
      <w:r>
        <w:rPr>
          <w:color w:val="auto"/>
        </w:rPr>
        <w:fldChar w:fldCharType="separate"/>
      </w:r>
      <w:r>
        <w:rPr>
          <w:color w:val="auto"/>
        </w:rPr>
        <w:t>63</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_Toc21845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10. 其他</w:t>
      </w:r>
      <w:r>
        <w:rPr>
          <w:color w:val="auto"/>
        </w:rPr>
        <w:tab/>
      </w:r>
      <w:r>
        <w:rPr>
          <w:color w:val="auto"/>
        </w:rPr>
        <w:fldChar w:fldCharType="begin"/>
      </w:r>
      <w:r>
        <w:rPr>
          <w:color w:val="auto"/>
        </w:rPr>
        <w:instrText xml:space="preserve"> PAGEREF _Toc21845 </w:instrText>
      </w:r>
      <w:r>
        <w:rPr>
          <w:color w:val="auto"/>
        </w:rPr>
        <w:fldChar w:fldCharType="separate"/>
      </w:r>
      <w:r>
        <w:rPr>
          <w:color w:val="auto"/>
        </w:rPr>
        <w:t>63</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_Toc13899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11. 供货范围</w:t>
      </w:r>
      <w:r>
        <w:rPr>
          <w:color w:val="auto"/>
        </w:rPr>
        <w:tab/>
      </w:r>
      <w:r>
        <w:rPr>
          <w:color w:val="auto"/>
        </w:rPr>
        <w:fldChar w:fldCharType="begin"/>
      </w:r>
      <w:r>
        <w:rPr>
          <w:color w:val="auto"/>
        </w:rPr>
        <w:instrText xml:space="preserve"> PAGEREF _Toc13899 </w:instrText>
      </w:r>
      <w:r>
        <w:rPr>
          <w:color w:val="auto"/>
        </w:rPr>
        <w:fldChar w:fldCharType="separate"/>
      </w:r>
      <w:r>
        <w:rPr>
          <w:color w:val="auto"/>
        </w:rPr>
        <w:t>64</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_Toc219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11.1 设备供货范围</w:t>
      </w:r>
      <w:r>
        <w:rPr>
          <w:color w:val="auto"/>
        </w:rPr>
        <w:tab/>
      </w:r>
      <w:r>
        <w:rPr>
          <w:color w:val="auto"/>
        </w:rPr>
        <w:fldChar w:fldCharType="begin"/>
      </w:r>
      <w:r>
        <w:rPr>
          <w:color w:val="auto"/>
        </w:rPr>
        <w:instrText xml:space="preserve"> PAGEREF _Toc219 </w:instrText>
      </w:r>
      <w:r>
        <w:rPr>
          <w:color w:val="auto"/>
        </w:rPr>
        <w:fldChar w:fldCharType="separate"/>
      </w:r>
      <w:r>
        <w:rPr>
          <w:color w:val="auto"/>
        </w:rPr>
        <w:t>64</w:t>
      </w:r>
      <w:r>
        <w:rPr>
          <w:color w:val="auto"/>
        </w:rPr>
        <w:fldChar w:fldCharType="end"/>
      </w:r>
      <w:r>
        <w:rPr>
          <w:rFonts w:eastAsia="仿宋_GB2312"/>
          <w:bCs/>
          <w:caps/>
          <w:color w:val="auto"/>
          <w:kern w:val="0"/>
          <w:highlight w:val="none"/>
        </w:rPr>
        <w:fldChar w:fldCharType="end"/>
      </w:r>
    </w:p>
    <w:p>
      <w:pPr>
        <w:pStyle w:val="70"/>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_Toc25795 </w:instrText>
      </w:r>
      <w:r>
        <w:rPr>
          <w:rFonts w:eastAsia="仿宋_GB2312"/>
          <w:bCs/>
          <w:caps/>
          <w:color w:val="auto"/>
          <w:kern w:val="0"/>
          <w:highlight w:val="none"/>
        </w:rPr>
        <w:fldChar w:fldCharType="separate"/>
      </w:r>
      <w:r>
        <w:rPr>
          <w:rFonts w:hint="eastAsia" w:ascii="宋体" w:hAnsi="宋体" w:eastAsia="宋体" w:cs="宋体"/>
          <w:bCs w:val="0"/>
          <w:iCs/>
          <w:snapToGrid w:val="0"/>
          <w:color w:val="auto"/>
          <w:kern w:val="0"/>
          <w:szCs w:val="21"/>
          <w:highlight w:val="none"/>
          <w:lang w:bidi="en-US"/>
        </w:rPr>
        <w:t>11.2 备品备件及专用工具</w:t>
      </w:r>
      <w:r>
        <w:rPr>
          <w:color w:val="auto"/>
        </w:rPr>
        <w:tab/>
      </w:r>
      <w:r>
        <w:rPr>
          <w:color w:val="auto"/>
        </w:rPr>
        <w:fldChar w:fldCharType="begin"/>
      </w:r>
      <w:r>
        <w:rPr>
          <w:color w:val="auto"/>
        </w:rPr>
        <w:instrText xml:space="preserve"> PAGEREF _Toc25795 </w:instrText>
      </w:r>
      <w:r>
        <w:rPr>
          <w:color w:val="auto"/>
        </w:rPr>
        <w:fldChar w:fldCharType="separate"/>
      </w:r>
      <w:r>
        <w:rPr>
          <w:color w:val="auto"/>
        </w:rPr>
        <w:t>67</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_Toc2673 </w:instrText>
      </w:r>
      <w:r>
        <w:rPr>
          <w:rFonts w:eastAsia="仿宋_GB2312"/>
          <w:bCs/>
          <w:caps/>
          <w:color w:val="auto"/>
          <w:kern w:val="0"/>
          <w:highlight w:val="none"/>
        </w:rPr>
        <w:fldChar w:fldCharType="separate"/>
      </w:r>
      <w:r>
        <w:rPr>
          <w:rFonts w:hint="eastAsia" w:ascii="宋体" w:hAnsi="宋体" w:eastAsia="宋体" w:cs="宋体"/>
          <w:bCs/>
          <w:snapToGrid w:val="0"/>
          <w:color w:val="auto"/>
          <w:kern w:val="0"/>
          <w:szCs w:val="21"/>
          <w:highlight w:val="none"/>
        </w:rPr>
        <w:t>附录A 技术偏差表</w:t>
      </w:r>
      <w:r>
        <w:rPr>
          <w:color w:val="auto"/>
        </w:rPr>
        <w:tab/>
      </w:r>
      <w:r>
        <w:rPr>
          <w:color w:val="auto"/>
        </w:rPr>
        <w:fldChar w:fldCharType="begin"/>
      </w:r>
      <w:r>
        <w:rPr>
          <w:color w:val="auto"/>
        </w:rPr>
        <w:instrText xml:space="preserve"> PAGEREF _Toc2673 </w:instrText>
      </w:r>
      <w:r>
        <w:rPr>
          <w:color w:val="auto"/>
        </w:rPr>
        <w:fldChar w:fldCharType="separate"/>
      </w:r>
      <w:r>
        <w:rPr>
          <w:color w:val="auto"/>
        </w:rPr>
        <w:t>68</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_Toc4267 </w:instrText>
      </w:r>
      <w:r>
        <w:rPr>
          <w:rFonts w:eastAsia="仿宋_GB2312"/>
          <w:bCs/>
          <w:caps/>
          <w:color w:val="auto"/>
          <w:kern w:val="0"/>
          <w:highlight w:val="none"/>
        </w:rPr>
        <w:fldChar w:fldCharType="separate"/>
      </w:r>
      <w:r>
        <w:rPr>
          <w:rFonts w:hint="eastAsia" w:ascii="宋体" w:hAnsi="宋体" w:eastAsia="宋体" w:cs="宋体"/>
          <w:bCs w:val="0"/>
          <w:snapToGrid w:val="0"/>
          <w:color w:val="auto"/>
          <w:kern w:val="0"/>
          <w:szCs w:val="21"/>
          <w:highlight w:val="none"/>
        </w:rPr>
        <w:t xml:space="preserve">附图1  </w:t>
      </w:r>
      <w:r>
        <w:rPr>
          <w:rFonts w:hint="eastAsia" w:ascii="宋体" w:hAnsi="宋体" w:cs="宋体"/>
          <w:bCs w:val="0"/>
          <w:snapToGrid w:val="0"/>
          <w:color w:val="auto"/>
          <w:kern w:val="0"/>
          <w:szCs w:val="21"/>
          <w:highlight w:val="none"/>
          <w:lang w:eastAsia="zh-CN"/>
        </w:rPr>
        <w:t>变电站</w:t>
      </w:r>
      <w:r>
        <w:rPr>
          <w:rFonts w:hint="eastAsia" w:ascii="宋体" w:hAnsi="宋体" w:eastAsia="宋体" w:cs="宋体"/>
          <w:bCs w:val="0"/>
          <w:snapToGrid w:val="0"/>
          <w:color w:val="auto"/>
          <w:kern w:val="0"/>
          <w:szCs w:val="21"/>
          <w:highlight w:val="none"/>
        </w:rPr>
        <w:t>电气主接线图(见附图1）</w:t>
      </w:r>
      <w:r>
        <w:rPr>
          <w:color w:val="auto"/>
        </w:rPr>
        <w:tab/>
      </w:r>
      <w:r>
        <w:rPr>
          <w:color w:val="auto"/>
        </w:rPr>
        <w:fldChar w:fldCharType="begin"/>
      </w:r>
      <w:r>
        <w:rPr>
          <w:color w:val="auto"/>
        </w:rPr>
        <w:instrText xml:space="preserve"> PAGEREF _Toc4267 </w:instrText>
      </w:r>
      <w:r>
        <w:rPr>
          <w:color w:val="auto"/>
        </w:rPr>
        <w:fldChar w:fldCharType="separate"/>
      </w:r>
      <w:r>
        <w:rPr>
          <w:color w:val="auto"/>
        </w:rPr>
        <w:t>69</w:t>
      </w:r>
      <w:r>
        <w:rPr>
          <w:color w:val="auto"/>
        </w:rPr>
        <w:fldChar w:fldCharType="end"/>
      </w:r>
      <w:r>
        <w:rPr>
          <w:rFonts w:eastAsia="仿宋_GB2312"/>
          <w:bCs/>
          <w:caps/>
          <w:color w:val="auto"/>
          <w:kern w:val="0"/>
          <w:highlight w:val="none"/>
        </w:rPr>
        <w:fldChar w:fldCharType="end"/>
      </w:r>
    </w:p>
    <w:p>
      <w:pPr>
        <w:pStyle w:val="56"/>
        <w:tabs>
          <w:tab w:val="right" w:leader="dot" w:pos="8306"/>
          <w:tab w:val="clear" w:pos="8890"/>
        </w:tabs>
        <w:rPr>
          <w:color w:val="auto"/>
        </w:rPr>
      </w:pPr>
      <w:r>
        <w:rPr>
          <w:rFonts w:eastAsia="仿宋_GB2312"/>
          <w:bCs/>
          <w:caps/>
          <w:color w:val="auto"/>
          <w:kern w:val="0"/>
          <w:highlight w:val="none"/>
        </w:rPr>
        <w:fldChar w:fldCharType="begin"/>
      </w:r>
      <w:r>
        <w:rPr>
          <w:rFonts w:eastAsia="仿宋_GB2312"/>
          <w:bCs/>
          <w:caps/>
          <w:color w:val="auto"/>
          <w:kern w:val="0"/>
          <w:highlight w:val="none"/>
        </w:rPr>
        <w:instrText xml:space="preserve"> HYPERLINK \l _Toc5601 </w:instrText>
      </w:r>
      <w:r>
        <w:rPr>
          <w:rFonts w:eastAsia="仿宋_GB2312"/>
          <w:bCs/>
          <w:caps/>
          <w:color w:val="auto"/>
          <w:kern w:val="0"/>
          <w:highlight w:val="none"/>
        </w:rPr>
        <w:fldChar w:fldCharType="separate"/>
      </w:r>
      <w:r>
        <w:rPr>
          <w:rFonts w:hint="eastAsia" w:ascii="宋体" w:hAnsi="宋体" w:eastAsia="宋体" w:cs="宋体"/>
          <w:bCs w:val="0"/>
          <w:snapToGrid w:val="0"/>
          <w:color w:val="auto"/>
          <w:kern w:val="0"/>
          <w:szCs w:val="21"/>
          <w:highlight w:val="none"/>
        </w:rPr>
        <w:t xml:space="preserve">附图2  </w:t>
      </w:r>
      <w:r>
        <w:rPr>
          <w:rFonts w:hint="eastAsia" w:ascii="宋体" w:hAnsi="宋体" w:cs="宋体"/>
          <w:bCs w:val="0"/>
          <w:snapToGrid w:val="0"/>
          <w:color w:val="auto"/>
          <w:kern w:val="0"/>
          <w:szCs w:val="21"/>
          <w:highlight w:val="none"/>
          <w:lang w:eastAsia="zh-CN"/>
        </w:rPr>
        <w:t>变电站</w:t>
      </w:r>
      <w:r>
        <w:rPr>
          <w:rFonts w:hint="eastAsia" w:ascii="宋体" w:hAnsi="宋体" w:eastAsia="宋体" w:cs="宋体"/>
          <w:bCs w:val="0"/>
          <w:snapToGrid w:val="0"/>
          <w:color w:val="auto"/>
          <w:kern w:val="0"/>
          <w:szCs w:val="21"/>
          <w:highlight w:val="none"/>
        </w:rPr>
        <w:t>监控系统配置图(见附图2）</w:t>
      </w:r>
      <w:r>
        <w:rPr>
          <w:color w:val="auto"/>
        </w:rPr>
        <w:tab/>
      </w:r>
      <w:r>
        <w:rPr>
          <w:color w:val="auto"/>
        </w:rPr>
        <w:fldChar w:fldCharType="begin"/>
      </w:r>
      <w:r>
        <w:rPr>
          <w:color w:val="auto"/>
        </w:rPr>
        <w:instrText xml:space="preserve"> PAGEREF _Toc5601 </w:instrText>
      </w:r>
      <w:r>
        <w:rPr>
          <w:color w:val="auto"/>
        </w:rPr>
        <w:fldChar w:fldCharType="separate"/>
      </w:r>
      <w:r>
        <w:rPr>
          <w:color w:val="auto"/>
        </w:rPr>
        <w:t>69</w:t>
      </w:r>
      <w:r>
        <w:rPr>
          <w:color w:val="auto"/>
        </w:rPr>
        <w:fldChar w:fldCharType="end"/>
      </w:r>
      <w:r>
        <w:rPr>
          <w:rFonts w:eastAsia="仿宋_GB2312"/>
          <w:bCs/>
          <w:caps/>
          <w:color w:val="auto"/>
          <w:kern w:val="0"/>
          <w:highlight w:val="none"/>
        </w:rPr>
        <w:fldChar w:fldCharType="end"/>
      </w:r>
    </w:p>
    <w:p>
      <w:pPr>
        <w:pStyle w:val="2"/>
        <w:keepLines/>
        <w:autoSpaceDE w:val="0"/>
        <w:autoSpaceDN w:val="0"/>
        <w:spacing w:before="240" w:after="60"/>
        <w:jc w:val="left"/>
        <w:rPr>
          <w:rStyle w:val="140"/>
          <w:rFonts w:eastAsia="仿宋_GB2312"/>
          <w:bCs/>
          <w:caps/>
          <w:color w:val="auto"/>
          <w:kern w:val="0"/>
          <w:sz w:val="24"/>
          <w:highlight w:val="none"/>
        </w:rPr>
      </w:pPr>
      <w:r>
        <w:rPr>
          <w:rFonts w:eastAsia="仿宋_GB2312"/>
          <w:bCs/>
          <w:caps/>
          <w:color w:val="auto"/>
          <w:kern w:val="0"/>
          <w:highlight w:val="none"/>
        </w:rPr>
        <w:fldChar w:fldCharType="end"/>
      </w:r>
    </w:p>
    <w:p>
      <w:pPr>
        <w:pStyle w:val="2"/>
        <w:keepLines/>
        <w:autoSpaceDE w:val="0"/>
        <w:autoSpaceDN w:val="0"/>
        <w:spacing w:before="240" w:after="60"/>
        <w:jc w:val="left"/>
        <w:rPr>
          <w:rStyle w:val="140"/>
          <w:rFonts w:eastAsia="仿宋_GB2312"/>
          <w:bCs/>
          <w:caps/>
          <w:color w:val="auto"/>
          <w:kern w:val="0"/>
          <w:sz w:val="24"/>
          <w:highlight w:val="none"/>
        </w:rPr>
      </w:pPr>
    </w:p>
    <w:p>
      <w:pPr>
        <w:pStyle w:val="2"/>
        <w:keepLines/>
        <w:autoSpaceDE w:val="0"/>
        <w:autoSpaceDN w:val="0"/>
        <w:spacing w:before="240" w:after="60"/>
        <w:jc w:val="left"/>
        <w:rPr>
          <w:rStyle w:val="140"/>
          <w:rFonts w:eastAsia="仿宋_GB2312"/>
          <w:bCs/>
          <w:caps/>
          <w:color w:val="auto"/>
          <w:kern w:val="0"/>
          <w:sz w:val="24"/>
          <w:highlight w:val="none"/>
        </w:rPr>
      </w:pPr>
    </w:p>
    <w:p>
      <w:pPr>
        <w:pStyle w:val="2"/>
        <w:keepLines/>
        <w:autoSpaceDE w:val="0"/>
        <w:autoSpaceDN w:val="0"/>
        <w:spacing w:before="240" w:after="60"/>
        <w:jc w:val="left"/>
        <w:rPr>
          <w:rStyle w:val="140"/>
          <w:rFonts w:eastAsia="仿宋_GB2312"/>
          <w:bCs/>
          <w:caps/>
          <w:color w:val="auto"/>
          <w:kern w:val="0"/>
          <w:sz w:val="24"/>
          <w:highlight w:val="none"/>
        </w:rPr>
      </w:pPr>
    </w:p>
    <w:p>
      <w:pPr>
        <w:pStyle w:val="2"/>
        <w:keepLines/>
        <w:autoSpaceDE w:val="0"/>
        <w:autoSpaceDN w:val="0"/>
        <w:spacing w:before="240" w:after="60"/>
        <w:jc w:val="left"/>
        <w:rPr>
          <w:rStyle w:val="140"/>
          <w:rFonts w:eastAsia="仿宋_GB2312"/>
          <w:bCs/>
          <w:caps/>
          <w:color w:val="auto"/>
          <w:kern w:val="0"/>
          <w:sz w:val="24"/>
          <w:highlight w:val="none"/>
        </w:rPr>
      </w:pPr>
    </w:p>
    <w:p>
      <w:pPr>
        <w:pStyle w:val="2"/>
        <w:keepLines/>
        <w:autoSpaceDE w:val="0"/>
        <w:autoSpaceDN w:val="0"/>
        <w:spacing w:before="240" w:after="60"/>
        <w:jc w:val="left"/>
        <w:rPr>
          <w:rStyle w:val="140"/>
          <w:rFonts w:eastAsia="仿宋_GB2312"/>
          <w:bCs/>
          <w:caps/>
          <w:color w:val="auto"/>
          <w:kern w:val="0"/>
          <w:sz w:val="24"/>
          <w:highlight w:val="none"/>
        </w:rPr>
      </w:pPr>
    </w:p>
    <w:p>
      <w:pPr>
        <w:pStyle w:val="2"/>
        <w:keepLines/>
        <w:autoSpaceDE w:val="0"/>
        <w:autoSpaceDN w:val="0"/>
        <w:spacing w:before="240" w:after="60"/>
        <w:jc w:val="left"/>
        <w:rPr>
          <w:rStyle w:val="140"/>
          <w:rFonts w:eastAsia="仿宋_GB2312"/>
          <w:bCs/>
          <w:caps/>
          <w:color w:val="auto"/>
          <w:kern w:val="0"/>
          <w:sz w:val="24"/>
          <w:highlight w:val="none"/>
        </w:rPr>
      </w:pPr>
    </w:p>
    <w:p>
      <w:pPr>
        <w:pStyle w:val="2"/>
        <w:keepLines/>
        <w:autoSpaceDE w:val="0"/>
        <w:autoSpaceDN w:val="0"/>
        <w:spacing w:before="240" w:after="60"/>
        <w:jc w:val="left"/>
        <w:rPr>
          <w:rStyle w:val="140"/>
          <w:rFonts w:eastAsia="仿宋_GB2312"/>
          <w:bCs/>
          <w:caps/>
          <w:color w:val="auto"/>
          <w:kern w:val="0"/>
          <w:sz w:val="24"/>
          <w:highlight w:val="none"/>
        </w:rPr>
      </w:pPr>
    </w:p>
    <w:p>
      <w:pPr>
        <w:pStyle w:val="2"/>
        <w:keepLines/>
        <w:autoSpaceDE w:val="0"/>
        <w:autoSpaceDN w:val="0"/>
        <w:spacing w:before="240" w:after="60"/>
        <w:jc w:val="left"/>
        <w:rPr>
          <w:rStyle w:val="140"/>
          <w:rFonts w:eastAsia="仿宋_GB2312"/>
          <w:bCs/>
          <w:caps/>
          <w:color w:val="auto"/>
          <w:kern w:val="0"/>
          <w:sz w:val="24"/>
          <w:highlight w:val="none"/>
        </w:rPr>
      </w:pPr>
    </w:p>
    <w:p>
      <w:pPr>
        <w:pStyle w:val="2"/>
        <w:keepLines/>
        <w:autoSpaceDE w:val="0"/>
        <w:autoSpaceDN w:val="0"/>
        <w:spacing w:before="240" w:after="60"/>
        <w:jc w:val="left"/>
        <w:rPr>
          <w:rStyle w:val="140"/>
          <w:rFonts w:eastAsia="仿宋_GB2312"/>
          <w:bCs/>
          <w:caps/>
          <w:color w:val="auto"/>
          <w:kern w:val="0"/>
          <w:sz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8" w:name="_Toc30796"/>
      <w:r>
        <w:rPr>
          <w:rFonts w:hint="eastAsia" w:ascii="宋体" w:hAnsi="宋体" w:eastAsia="宋体" w:cs="宋体"/>
          <w:b/>
          <w:bCs/>
          <w:snapToGrid w:val="0"/>
          <w:color w:val="auto"/>
          <w:kern w:val="0"/>
          <w:sz w:val="21"/>
          <w:szCs w:val="21"/>
          <w:highlight w:val="none"/>
        </w:rPr>
        <w:t>1. 总则</w:t>
      </w:r>
      <w:bookmarkEnd w:id="8"/>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9" w:name="_Toc16845"/>
      <w:r>
        <w:rPr>
          <w:rFonts w:hint="eastAsia" w:ascii="宋体" w:hAnsi="宋体" w:eastAsia="宋体" w:cs="宋体"/>
          <w:bCs w:val="0"/>
          <w:iCs/>
          <w:snapToGrid w:val="0"/>
          <w:color w:val="auto"/>
          <w:kern w:val="0"/>
          <w:sz w:val="21"/>
          <w:szCs w:val="21"/>
          <w:highlight w:val="none"/>
          <w:lang w:bidi="en-US"/>
        </w:rPr>
        <w:t>1.1 一般规定</w:t>
      </w:r>
      <w:bookmarkEnd w:id="9"/>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本设备技术规范书使用范围仅限于</w:t>
      </w:r>
      <w:r>
        <w:rPr>
          <w:rFonts w:hint="eastAsia" w:ascii="宋体" w:hAnsi="宋体" w:cs="宋体"/>
          <w:color w:val="auto"/>
          <w:sz w:val="21"/>
          <w:szCs w:val="21"/>
          <w:highlight w:val="none"/>
          <w:lang w:eastAsia="zh-CN"/>
        </w:rPr>
        <w:t>220kV变电站</w:t>
      </w:r>
      <w:r>
        <w:rPr>
          <w:rFonts w:hint="eastAsia" w:ascii="宋体" w:hAnsi="宋体" w:eastAsia="宋体" w:cs="宋体"/>
          <w:color w:val="auto"/>
          <w:sz w:val="21"/>
          <w:szCs w:val="21"/>
          <w:highlight w:val="none"/>
        </w:rPr>
        <w:t>微机综合自动化系统的设备采购。列举了有关技术参数作为推荐值，提出了本系统的结构设计、系统设备的功能设计、结构、性能、安装、试验、服务、技术支持等方面的技术要求。</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提供设备的制造厂商必须具备权威机关颁发的ISO-9000系列的认证书或等同的质量保证体系认证证书。投标人应具有设计、制造和提供过与本工程相类似的，或规模更大，较规定的条件更严格的设备的业绩。投标书如有失实情况，招标人有权拒绝该投标。</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bookmarkStart w:id="10" w:name="_Toc485135021"/>
      <w:bookmarkStart w:id="11" w:name="_Toc485133663"/>
      <w:bookmarkStart w:id="12" w:name="_Toc468695311"/>
      <w:bookmarkStart w:id="13" w:name="_Toc499430174"/>
      <w:bookmarkStart w:id="14" w:name="_Toc468695811"/>
      <w:bookmarkStart w:id="15" w:name="_Toc483899290"/>
      <w:bookmarkStart w:id="16" w:name="_Toc468763574"/>
      <w:bookmarkStart w:id="17" w:name="_Toc466356249"/>
      <w:bookmarkStart w:id="18" w:name="_Toc485133954"/>
      <w:r>
        <w:rPr>
          <w:rFonts w:hint="eastAsia" w:ascii="宋体" w:hAnsi="宋体" w:eastAsia="宋体" w:cs="宋体"/>
          <w:color w:val="auto"/>
          <w:sz w:val="21"/>
          <w:szCs w:val="21"/>
          <w:highlight w:val="none"/>
        </w:rPr>
        <w:t>1.1.3 投标人应仔细阅读招标文件，包括商务和技术部分的所有规定。由投标人提供的设备的技术规范应与本技术规范书中规定的要求相一致。投标人也可以推荐满足本技术规范书要求的类似的定型产品，但必须提出详细的技术偏差。</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本规范书提出的是最低限度的技术要求，并未对一切技术细节作出规定，也未充分引述有关标准和规范的条文，投标人应提供符合IEC最新版本的标准和本规范书要求的成熟系统和优质产品。</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1.1.5 本技术规范书所使用的标准如遇与投标人所执行的标准不一致时，按较高标准执行。</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1.1.6 如果投标人没有以书面形式对本技术规范书的条文提出异议，则意味着投标人提供的系统及设备完全符合本技术规范书的要求。如有异议，应在投标书中以“对技术规范书的意见和同规范书的差异”为标题的专门章节中加以详细描述，并按附录A的格式填写。</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1.1.7 技术规范书经买卖双方确认后，作为合同的附件，与合同正文具有同等的法律效力。</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1.1.8 本技术规范书中涉及的有关商务方面的内容，如与招标文件的商务部分有矛盾时，以商务部分为准。</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1.1.9 本技术规范书未尽事宜，由买卖双方在合同技术谈判时双方协商确定。</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9" w:name="_Toc7818"/>
      <w:r>
        <w:rPr>
          <w:rFonts w:hint="eastAsia" w:ascii="宋体" w:hAnsi="宋体" w:eastAsia="宋体" w:cs="宋体"/>
          <w:bCs w:val="0"/>
          <w:iCs/>
          <w:snapToGrid w:val="0"/>
          <w:color w:val="auto"/>
          <w:kern w:val="0"/>
          <w:sz w:val="21"/>
          <w:szCs w:val="21"/>
          <w:highlight w:val="none"/>
          <w:lang w:bidi="en-US"/>
        </w:rPr>
        <w:t>1.2 投标人工作范围</w:t>
      </w:r>
      <w:bookmarkEnd w:id="10"/>
      <w:bookmarkEnd w:id="11"/>
      <w:bookmarkEnd w:id="12"/>
      <w:bookmarkEnd w:id="13"/>
      <w:bookmarkEnd w:id="14"/>
      <w:bookmarkEnd w:id="15"/>
      <w:bookmarkEnd w:id="16"/>
      <w:bookmarkEnd w:id="17"/>
      <w:bookmarkEnd w:id="18"/>
      <w:bookmarkEnd w:id="19"/>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投标人应提供满足本规范书要求所必须的硬件、软件和各项服务，其中包括（但不限于）下列内容：</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微机综合自动化系统和配套设备包括：</w:t>
      </w:r>
      <w:r>
        <w:rPr>
          <w:rFonts w:hint="eastAsia" w:ascii="宋体" w:hAnsi="宋体" w:cs="宋体"/>
          <w:color w:val="auto"/>
          <w:sz w:val="21"/>
          <w:szCs w:val="21"/>
          <w:highlight w:val="none"/>
          <w:lang w:eastAsia="zh-CN"/>
        </w:rPr>
        <w:t>220kV变电站</w:t>
      </w:r>
      <w:r>
        <w:rPr>
          <w:rFonts w:hint="eastAsia" w:ascii="宋体" w:hAnsi="宋体" w:eastAsia="宋体" w:cs="宋体"/>
          <w:color w:val="auto"/>
          <w:sz w:val="21"/>
          <w:szCs w:val="21"/>
          <w:highlight w:val="none"/>
        </w:rPr>
        <w:t>的微机监控系统、微机保护及安全自动装置、计算机电路电缆及辅助设施的设计及供货，以及这些设备的现场安装指导、调试、参加验收、投运及售后服务等。</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综自系统的设计联络会、工厂试验及验收（FAT）、设备包装、运输、现场安装调试和投运、现场试验及验收（SAT）、对招标人技术人员的培训、质保期的维护等。</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1.2.3 与其它厂家智能设备的数据通信，根据招标人提供的规约实现信息接入，保证数据接收及传送的正确性、实时性，并在验收前，通过联调。</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1.2.4 提供必要的备品备件及专用工具。</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1.2.5 提供技术资料，包括：</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·技术规范书；</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·设备规范清单；</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·各单项设备产品说明书及原理图；</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·各控制对象的逻辑框图；</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·I/O清单及信号报警清单；</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·屏柜布置及端子排安装接线图（A3版面图集及AutoCAD R2004版本绘制的光盘）；</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·试验及测试报告；</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·用户使用及维护手册；等。</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20" w:name="_Toc485133955"/>
      <w:bookmarkStart w:id="21" w:name="_Toc485133664"/>
      <w:bookmarkStart w:id="22" w:name="_Toc485135022"/>
      <w:bookmarkStart w:id="23" w:name="_Toc483899291"/>
      <w:bookmarkStart w:id="24" w:name="_Toc499430175"/>
      <w:bookmarkStart w:id="25" w:name="_Toc12995"/>
      <w:r>
        <w:rPr>
          <w:rFonts w:hint="eastAsia" w:ascii="宋体" w:hAnsi="宋体" w:eastAsia="宋体" w:cs="宋体"/>
          <w:bCs w:val="0"/>
          <w:iCs/>
          <w:snapToGrid w:val="0"/>
          <w:color w:val="auto"/>
          <w:kern w:val="0"/>
          <w:sz w:val="21"/>
          <w:szCs w:val="21"/>
          <w:highlight w:val="none"/>
          <w:lang w:bidi="en-US"/>
        </w:rPr>
        <w:t>1.3 招标人工作范围</w:t>
      </w:r>
      <w:bookmarkEnd w:id="20"/>
      <w:bookmarkEnd w:id="21"/>
      <w:bookmarkEnd w:id="22"/>
      <w:bookmarkEnd w:id="23"/>
      <w:bookmarkEnd w:id="24"/>
      <w:bookmarkEnd w:id="25"/>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招标人工作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招标人将提供下列设备和服务：</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·所有基础、地脚螺栓和灌浆。</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·现场接线和电缆敷设。</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·监控系统所需的交、直流电源。</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·开关量输入信号接点和脉冲设备。</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·按投标人要求提供综合自动化系统接地和接地所需电缆。</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·综合自动化系统设备装卸和安装所需的劳动力和服务。</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招标人向投标人提供有特殊要求的技术文件。</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设备安装过程中，招标人为投标人现场派员提供工作和生活的便利条件。</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1.3.4 设备制造过程中，招标人可派员到投标人工厂进行监造和检验。</w:t>
      </w:r>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26" w:name="_Toc13367"/>
      <w:r>
        <w:rPr>
          <w:rFonts w:hint="eastAsia" w:ascii="宋体" w:hAnsi="宋体" w:eastAsia="宋体" w:cs="宋体"/>
          <w:b/>
          <w:bCs/>
          <w:snapToGrid w:val="0"/>
          <w:color w:val="auto"/>
          <w:kern w:val="0"/>
          <w:sz w:val="21"/>
          <w:szCs w:val="21"/>
          <w:highlight w:val="none"/>
        </w:rPr>
        <w:t>2. 适用标准</w:t>
      </w:r>
      <w:bookmarkEnd w:id="26"/>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所有设备的设计，制造，检查，试验及特性除本规范中规定的特别标准外，都应遵照适用的最新版IEC标准和中国国家标准（GB）及电力行业（DL）标准，以及国际单位制（SI）。</w:t>
      </w:r>
      <w:r>
        <w:rPr>
          <w:rFonts w:hint="eastAsia" w:ascii="宋体" w:hAnsi="宋体" w:eastAsia="宋体" w:cs="宋体"/>
          <w:snapToGrid w:val="0"/>
          <w:color w:val="auto"/>
          <w:kern w:val="0"/>
          <w:sz w:val="21"/>
          <w:szCs w:val="21"/>
          <w:highlight w:val="none"/>
        </w:rPr>
        <w:t>当某项要求在上述几种标准中不一致时，按国家颁布的较高标准执行。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rPr>
        <w:t>GB4208-2008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外壳防护等级</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2423-2008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电工电子产品环境试验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rPr>
        <w:t>GB</w:t>
      </w:r>
      <w:r>
        <w:rPr>
          <w:rFonts w:hint="eastAsia" w:ascii="宋体" w:hAnsi="宋体" w:eastAsia="宋体" w:cs="宋体"/>
          <w:color w:val="auto"/>
          <w:sz w:val="21"/>
          <w:szCs w:val="21"/>
          <w:highlight w:val="none"/>
        </w:rPr>
        <w:t>/T</w:t>
      </w:r>
      <w:r>
        <w:rPr>
          <w:rFonts w:hint="eastAsia" w:ascii="宋体" w:hAnsi="宋体" w:eastAsia="宋体" w:cs="宋体"/>
          <w:snapToGrid w:val="0"/>
          <w:color w:val="auto"/>
          <w:kern w:val="0"/>
          <w:sz w:val="21"/>
          <w:szCs w:val="21"/>
          <w:highlight w:val="none"/>
        </w:rPr>
        <w:t xml:space="preserve"> 2887-2011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电子计算机场地通用规范</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15532-2008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kern w:val="0"/>
          <w:sz w:val="21"/>
          <w:szCs w:val="21"/>
          <w:highlight w:val="none"/>
          <w:lang w:val="zh-CN"/>
        </w:rPr>
        <w:t>计算机软件测试规范</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GB50059-2011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变电站设计技术规范</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5103-2012     </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～220kV无人值班变电站设计规程</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5136-2012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火力发电厂、</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二次接线设计技术规定</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13730-2002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地区电网调度自动化系统</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5002-2005      地区电网调度自动化设计技术规程</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5003-2005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电力系统调度自动化设计技术规程</w:t>
      </w:r>
    </w:p>
    <w:p>
      <w:pPr>
        <w:pageBreakBefore w:val="0"/>
        <w:kinsoku/>
        <w:wordWrap/>
        <w:topLinePunct w:val="0"/>
        <w:bidi w:val="0"/>
        <w:spacing w:line="360" w:lineRule="auto"/>
        <w:ind w:firstLine="315" w:firstLineChars="150"/>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rPr>
        <w:t xml:space="preserve">GB/T 14537    </w:t>
      </w:r>
      <w:r>
        <w:rPr>
          <w:rFonts w:hint="eastAsia" w:ascii="宋体" w:hAnsi="宋体" w:eastAsia="宋体" w:cs="宋体"/>
          <w:snapToGrid w:val="0"/>
          <w:color w:val="auto"/>
          <w:kern w:val="0"/>
          <w:sz w:val="21"/>
          <w:szCs w:val="21"/>
          <w:highlight w:val="none"/>
        </w:rPr>
        <w:tab/>
      </w:r>
      <w:r>
        <w:rPr>
          <w:rFonts w:hint="eastAsia" w:ascii="宋体" w:hAnsi="宋体" w:eastAsia="宋体" w:cs="宋体"/>
          <w:snapToGrid w:val="0"/>
          <w:color w:val="auto"/>
          <w:kern w:val="0"/>
          <w:sz w:val="21"/>
          <w:szCs w:val="21"/>
          <w:highlight w:val="none"/>
        </w:rPr>
        <w:t xml:space="preserve">  </w:t>
      </w:r>
      <w:r>
        <w:rPr>
          <w:rFonts w:hint="eastAsia" w:ascii="宋体" w:hAnsi="宋体" w:eastAsia="宋体" w:cs="宋体"/>
          <w:color w:val="auto"/>
          <w:sz w:val="21"/>
          <w:szCs w:val="21"/>
          <w:highlight w:val="none"/>
        </w:rPr>
        <w:t>量度继电器和保护装置的冲击和碰撞试</w:t>
      </w:r>
      <w:r>
        <w:rPr>
          <w:rFonts w:hint="eastAsia" w:ascii="宋体" w:hAnsi="宋体" w:eastAsia="宋体" w:cs="宋体"/>
          <w:snapToGrid w:val="0"/>
          <w:color w:val="auto"/>
          <w:kern w:val="0"/>
          <w:sz w:val="21"/>
          <w:szCs w:val="21"/>
          <w:highlight w:val="none"/>
        </w:rPr>
        <w:t>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snapToGrid w:val="0"/>
          <w:color w:val="auto"/>
          <w:kern w:val="0"/>
          <w:sz w:val="21"/>
          <w:szCs w:val="21"/>
          <w:highlight w:val="none"/>
        </w:rPr>
        <w:t>GB/T 14285-2006</w:t>
      </w:r>
      <w:r>
        <w:rPr>
          <w:rFonts w:hint="eastAsia" w:ascii="宋体" w:hAnsi="宋体" w:eastAsia="宋体" w:cs="宋体"/>
          <w:snapToGrid w:val="0"/>
          <w:color w:val="auto"/>
          <w:kern w:val="0"/>
          <w:sz w:val="21"/>
          <w:szCs w:val="21"/>
          <w:highlight w:val="none"/>
        </w:rPr>
        <w:tab/>
      </w:r>
      <w:r>
        <w:rPr>
          <w:rFonts w:hint="eastAsia" w:ascii="宋体" w:hAnsi="宋体" w:eastAsia="宋体" w:cs="宋体"/>
          <w:snapToGrid w:val="0"/>
          <w:color w:val="auto"/>
          <w:kern w:val="0"/>
          <w:sz w:val="21"/>
          <w:szCs w:val="21"/>
          <w:highlight w:val="none"/>
        </w:rPr>
        <w:t xml:space="preserve">  </w:t>
      </w:r>
      <w:r>
        <w:rPr>
          <w:rFonts w:hint="eastAsia" w:ascii="宋体" w:hAnsi="宋体" w:eastAsia="宋体" w:cs="宋体"/>
          <w:color w:val="auto"/>
          <w:sz w:val="21"/>
          <w:szCs w:val="21"/>
          <w:highlight w:val="none"/>
        </w:rPr>
        <w:t>继电保护和安全自动装置技术规程</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50062-2008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电力装置的继电保护和自动装置设计规范</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7261-2008     继电保护和安全自动装置基本试验方法</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50217-2007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电力工程电缆设计规范</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15145-2008    </w:t>
      </w:r>
      <w:r>
        <w:rPr>
          <w:rFonts w:hint="eastAsia" w:ascii="宋体" w:hAnsi="宋体" w:eastAsia="宋体" w:cs="宋体"/>
          <w:color w:val="auto"/>
          <w:kern w:val="0"/>
          <w:sz w:val="21"/>
          <w:szCs w:val="21"/>
          <w:highlight w:val="none"/>
          <w:lang w:val="zh-CN"/>
        </w:rPr>
        <w:t>微机线路保护装置通用技术条件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         电磁兼容 试验和测量技术</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621-1997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交流电气装置的接地</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720-2000</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电力系统继电保护柜、屏通用技术条件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769-2001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电力系统微机继电保护技术导则</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478-2013       静态继电保护及安全自动装置通用技术条件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DL/T1075-2007      数字式保护测控装置通用技术条件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687-2010       微机型防止电气操作装置通用技术条件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 476 -2012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电力系统实时数据通信应用层协议</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5137-2001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电测量及电能计量装置设计技术规程</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13729-2002    远动终端设备 </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 13729-2002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远动终端通用技术条件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 630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交流采样远动终端技术条件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634.5101-2002  远动设备及系统 第5-101部分：传输规约 基本远动任务配套标准</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719-2000       远动设备及系统 第5部分传输规约第102篇电力系统电能累计量传输配套标准</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667-1999</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远动设备及系统 第5部分：传输规约 第103篇：继电保护设备信息接口配套标准</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ANSI/NEMA ICS4   工业控制设备和系统的端子排</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ANSI/NEMA ICS6   工业控制设备和系统的外壳</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Q/GDW 131         电力系统实时动态监测系统技术规范</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国家电网公司十八项电网重大反事故措施（201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版）</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能源局 电力监控系统安全防护总体方案</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能源局 发电厂监控系统安全防护方案</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2423.10-2008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电工电子产品基本环境试验规程</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4798.4-2007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电工电子产品应用环境条件无气候防护场所使用</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 12322-1990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通用性应用电视设备可靠性试验方法</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 451-91-1991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循环式远动规约</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 476-2012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电力系统实时数据通信应用层协议</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 610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PCM基群信令接口设备技术要求和测试方法</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DL/T860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通信网络和系统</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GB/T6995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电线电缆识别标志方法</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13926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工业过程测量和控制装置的电磁兼容性</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14429</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远动设备及系统-术语</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静电放电抗扰度试验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射频电磁场辐射抗扰度试验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电快速瞬变脉冲群抗扰度试验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浪涌（冲击）抗扰度试验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射频场感应的传导骚扰抗扰度</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工频磁场的抗扰度试验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IEC 60870-5-101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基本远动任务配套标准</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IEC 60870-5-103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继电保护设备信息接口配套标准</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IEC 60870-5-104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远动网络传输规约</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IEEE 802.3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10BASE-T 以太网接口标准</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IEEE802.3U</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100BASE-TX快速以太网接口标准</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7251.1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低压成套开关设备和控制设备 第1部分：型式试验和部分型式试验 成套设备</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50054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低压配电设计规范</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3859.1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半导体变流器  基本要求的规定</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17478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低压直流电源设备的性能特性</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2900.11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蓄电池名词术语</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电磁兼容试验和测量技术 静电放电抗扰度试验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17626.12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电磁兼容试验和测量技术 振荡波抗扰度试验</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19638.2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固定型阀控密封式铅酸蓄电池</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637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阀控式密封铅酸蓄电池订货技术条件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459</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电力系统直流电源柜订货技术条件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5044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电力工程直流电源系统设计技术规程</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724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电力系统用蓄电池直流电源装置运行与维护规程</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1074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电力用直流和交流一体化不间断电源设备</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857</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发电厂、</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蓄电池用整流逆变设备技术条件</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DL/T 781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电力用高频开关整流模块</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YD/T 731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通信用高频开关整流器</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JB/T 8456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低压直流成套开关设备和控制设备</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Q/GDW 576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站用交直流一体化电源系统技术规范</w:t>
      </w:r>
    </w:p>
    <w:p>
      <w:pPr>
        <w:pageBreakBefore w:val="0"/>
        <w:kinsoku/>
        <w:wordWrap/>
        <w:topLinePunct w:val="0"/>
        <w:bidi w:val="0"/>
        <w:spacing w:line="360" w:lineRule="auto"/>
        <w:ind w:firstLine="315" w:firstLineChars="1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国家能源局161号 《防止电力生产事故的二十五项重点要求》</w:t>
      </w:r>
    </w:p>
    <w:p>
      <w:pPr>
        <w:pageBreakBefore w:val="0"/>
        <w:kinsoku/>
        <w:wordWrap/>
        <w:topLinePunct w:val="0"/>
        <w:bidi w:val="0"/>
        <w:spacing w:line="360" w:lineRule="auto"/>
        <w:textAlignment w:val="auto"/>
        <w:rPr>
          <w:rFonts w:hint="eastAsia" w:ascii="宋体" w:hAnsi="宋体" w:eastAsia="宋体" w:cs="宋体"/>
          <w:snapToGrid w:val="0"/>
          <w:color w:val="auto"/>
          <w:kern w:val="0"/>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南方</w:t>
      </w:r>
      <w:r>
        <w:rPr>
          <w:rFonts w:hint="eastAsia" w:ascii="宋体" w:hAnsi="宋体" w:eastAsia="宋体" w:cs="宋体"/>
          <w:color w:val="auto"/>
          <w:sz w:val="21"/>
          <w:szCs w:val="21"/>
          <w:highlight w:val="none"/>
        </w:rPr>
        <w:t>电网及</w:t>
      </w:r>
      <w:r>
        <w:rPr>
          <w:rFonts w:hint="eastAsia" w:ascii="宋体" w:hAnsi="宋体" w:cs="宋体"/>
          <w:color w:val="auto"/>
          <w:sz w:val="21"/>
          <w:szCs w:val="21"/>
          <w:highlight w:val="none"/>
          <w:lang w:val="en-US" w:eastAsia="zh-CN"/>
        </w:rPr>
        <w:t>贵州</w:t>
      </w:r>
      <w:r>
        <w:rPr>
          <w:rFonts w:hint="eastAsia" w:ascii="宋体" w:hAnsi="宋体" w:eastAsia="宋体" w:cs="宋体"/>
          <w:color w:val="auto"/>
          <w:sz w:val="21"/>
          <w:szCs w:val="21"/>
          <w:highlight w:val="none"/>
        </w:rPr>
        <w:t>电网相关规程规范</w:t>
      </w:r>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27" w:name="_Toc32049"/>
      <w:r>
        <w:rPr>
          <w:rFonts w:hint="eastAsia" w:ascii="宋体" w:hAnsi="宋体" w:eastAsia="宋体" w:cs="宋体"/>
          <w:b/>
          <w:bCs/>
          <w:snapToGrid w:val="0"/>
          <w:color w:val="auto"/>
          <w:kern w:val="0"/>
          <w:sz w:val="21"/>
          <w:szCs w:val="21"/>
          <w:highlight w:val="none"/>
        </w:rPr>
        <w:t>3. 一般技术要求</w:t>
      </w:r>
      <w:bookmarkEnd w:id="27"/>
    </w:p>
    <w:p>
      <w:pPr>
        <w:pageBreakBefore w:val="0"/>
        <w:kinsoku/>
        <w:wordWrap/>
        <w:topLinePunct w:val="0"/>
        <w:bidi w:val="0"/>
        <w:spacing w:line="360" w:lineRule="auto"/>
        <w:textAlignment w:val="auto"/>
        <w:rPr>
          <w:rFonts w:hint="eastAsia" w:ascii="宋体" w:hAnsi="宋体" w:eastAsia="宋体" w:cs="宋体"/>
          <w:bCs/>
          <w:iCs/>
          <w:color w:val="auto"/>
          <w:sz w:val="21"/>
          <w:szCs w:val="21"/>
          <w:highlight w:val="none"/>
          <w:lang w:bidi="en-US"/>
        </w:rPr>
      </w:pPr>
      <w:r>
        <w:rPr>
          <w:rFonts w:hint="eastAsia" w:ascii="宋体" w:hAnsi="宋体" w:eastAsia="宋体" w:cs="宋体"/>
          <w:bCs/>
          <w:iCs/>
          <w:color w:val="auto"/>
          <w:sz w:val="21"/>
          <w:szCs w:val="21"/>
          <w:highlight w:val="none"/>
          <w:lang w:bidi="en-US"/>
        </w:rPr>
        <w:t xml:space="preserve">  工程概况  </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28" w:name="_Toc25396"/>
      <w:r>
        <w:rPr>
          <w:rFonts w:hint="eastAsia" w:ascii="宋体" w:hAnsi="宋体" w:eastAsia="宋体" w:cs="宋体"/>
          <w:bCs w:val="0"/>
          <w:iCs/>
          <w:snapToGrid w:val="0"/>
          <w:color w:val="auto"/>
          <w:kern w:val="0"/>
          <w:sz w:val="21"/>
          <w:szCs w:val="21"/>
          <w:highlight w:val="none"/>
          <w:lang w:bidi="en-US"/>
        </w:rPr>
        <w:t>3.1 使用环境条件</w:t>
      </w:r>
      <w:bookmarkEnd w:id="28"/>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 周围空气温度</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最高气温                   </w:t>
      </w:r>
      <w:r>
        <w:rPr>
          <w:rFonts w:hint="eastAsia" w:ascii="宋体" w:hAnsi="宋体" w:cs="宋体"/>
          <w:bCs/>
          <w:color w:val="auto"/>
          <w:sz w:val="21"/>
          <w:szCs w:val="21"/>
          <w:highlight w:val="none"/>
          <w:lang w:val="en-US" w:eastAsia="zh-CN"/>
        </w:rPr>
        <w:t>34.2</w:t>
      </w:r>
      <w:r>
        <w:rPr>
          <w:rFonts w:hint="eastAsia" w:ascii="宋体" w:hAnsi="宋体" w:eastAsia="宋体" w:cs="宋体"/>
          <w:bCs/>
          <w:color w:val="auto"/>
          <w:sz w:val="21"/>
          <w:szCs w:val="21"/>
          <w:highlight w:val="none"/>
        </w:rPr>
        <w:t>℃</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最低气温                    -</w:t>
      </w:r>
      <w:r>
        <w:rPr>
          <w:rFonts w:hint="eastAsia" w:ascii="宋体" w:hAnsi="宋体" w:cs="宋体"/>
          <w:bCs/>
          <w:color w:val="auto"/>
          <w:sz w:val="21"/>
          <w:szCs w:val="21"/>
          <w:highlight w:val="none"/>
          <w:lang w:val="en-US" w:eastAsia="zh-CN"/>
        </w:rPr>
        <w:t>8.5</w:t>
      </w:r>
      <w:r>
        <w:rPr>
          <w:rFonts w:hint="eastAsia" w:ascii="宋体" w:hAnsi="宋体" w:eastAsia="宋体" w:cs="宋体"/>
          <w:bCs/>
          <w:color w:val="auto"/>
          <w:sz w:val="21"/>
          <w:szCs w:val="21"/>
          <w:highlight w:val="none"/>
        </w:rPr>
        <w:t>℃</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多年平均气温                </w:t>
      </w:r>
      <w:r>
        <w:rPr>
          <w:rFonts w:hint="eastAsia" w:ascii="宋体" w:hAnsi="宋体" w:cs="宋体"/>
          <w:bCs/>
          <w:color w:val="auto"/>
          <w:sz w:val="21"/>
          <w:szCs w:val="21"/>
          <w:highlight w:val="none"/>
          <w:lang w:val="en-US" w:eastAsia="zh-CN"/>
        </w:rPr>
        <w:t>15.1</w:t>
      </w:r>
      <w:r>
        <w:rPr>
          <w:rFonts w:hint="eastAsia" w:ascii="宋体" w:hAnsi="宋体" w:eastAsia="宋体" w:cs="宋体"/>
          <w:bCs/>
          <w:color w:val="auto"/>
          <w:sz w:val="21"/>
          <w:szCs w:val="21"/>
          <w:highlight w:val="none"/>
        </w:rPr>
        <w:t>℃</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b) 平均相对湿度               </w:t>
      </w:r>
      <w:r>
        <w:rPr>
          <w:rFonts w:hint="eastAsia" w:ascii="宋体" w:hAnsi="宋体" w:cs="宋体"/>
          <w:bCs/>
          <w:color w:val="auto"/>
          <w:sz w:val="21"/>
          <w:szCs w:val="21"/>
          <w:highlight w:val="none"/>
          <w:lang w:val="en-US" w:eastAsia="zh-CN"/>
        </w:rPr>
        <w:t>79</w:t>
      </w:r>
      <w:r>
        <w:rPr>
          <w:rFonts w:hint="eastAsia" w:ascii="宋体" w:hAnsi="宋体" w:eastAsia="宋体" w:cs="宋体"/>
          <w:bCs/>
          <w:color w:val="auto"/>
          <w:sz w:val="21"/>
          <w:szCs w:val="21"/>
          <w:highlight w:val="none"/>
        </w:rPr>
        <w:t>%</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c) 平均海拔高度               </w:t>
      </w:r>
      <w:r>
        <w:rPr>
          <w:rFonts w:hint="eastAsia" w:ascii="宋体" w:hAnsi="宋体" w:cs="宋体"/>
          <w:bCs/>
          <w:color w:val="auto"/>
          <w:sz w:val="21"/>
          <w:szCs w:val="21"/>
          <w:highlight w:val="none"/>
          <w:lang w:val="en-US" w:eastAsia="zh-CN"/>
        </w:rPr>
        <w:t>1360</w:t>
      </w:r>
      <w:r>
        <w:rPr>
          <w:rFonts w:hint="eastAsia" w:ascii="宋体" w:hAnsi="宋体" w:eastAsia="宋体" w:cs="宋体"/>
          <w:bCs/>
          <w:color w:val="auto"/>
          <w:sz w:val="21"/>
          <w:szCs w:val="21"/>
          <w:highlight w:val="none"/>
        </w:rPr>
        <w:t>m</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d) 风速及风向                 年平均风速：</w:t>
      </w:r>
      <w:r>
        <w:rPr>
          <w:rFonts w:hint="eastAsia" w:ascii="宋体" w:hAnsi="宋体" w:cs="宋体"/>
          <w:bCs/>
          <w:color w:val="auto"/>
          <w:sz w:val="21"/>
          <w:szCs w:val="21"/>
          <w:highlight w:val="none"/>
          <w:lang w:val="en-US" w:eastAsia="zh-CN"/>
        </w:rPr>
        <w:t>2.3</w:t>
      </w:r>
      <w:r>
        <w:rPr>
          <w:rFonts w:hint="eastAsia" w:ascii="宋体" w:hAnsi="宋体" w:eastAsia="宋体" w:cs="宋体"/>
          <w:bCs/>
          <w:color w:val="auto"/>
          <w:sz w:val="21"/>
          <w:szCs w:val="21"/>
          <w:highlight w:val="none"/>
        </w:rPr>
        <w:t>m/s</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e) 污秽等级                   </w:t>
      </w:r>
      <w:r>
        <w:rPr>
          <w:rFonts w:hint="eastAsia" w:ascii="宋体" w:hAnsi="宋体" w:cs="宋体"/>
          <w:bCs/>
          <w:color w:val="auto"/>
          <w:sz w:val="21"/>
          <w:szCs w:val="21"/>
          <w:highlight w:val="none"/>
          <w:lang w:val="en-US" w:eastAsia="zh-CN"/>
        </w:rPr>
        <w:t>e</w:t>
      </w:r>
      <w:r>
        <w:rPr>
          <w:rFonts w:hint="eastAsia" w:ascii="宋体" w:hAnsi="宋体" w:eastAsia="宋体" w:cs="宋体"/>
          <w:bCs/>
          <w:color w:val="auto"/>
          <w:sz w:val="21"/>
          <w:szCs w:val="21"/>
          <w:highlight w:val="none"/>
        </w:rPr>
        <w:t>级</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f) 电源电压的波形             近似于正弦波</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g) 地震烈度                   地震设防烈度：7度，地震加速度为0.1g</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正弦共振三周波，安全系数1.67以上</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h）多年平均雷暴日数           5</w:t>
      </w:r>
      <w:r>
        <w:rPr>
          <w:rFonts w:hint="eastAsia" w:ascii="宋体" w:hAnsi="宋体" w:cs="宋体"/>
          <w:bCs/>
          <w:color w:val="auto"/>
          <w:sz w:val="21"/>
          <w:szCs w:val="21"/>
          <w:highlight w:val="none"/>
          <w:lang w:val="en-US" w:eastAsia="zh-CN"/>
        </w:rPr>
        <w:t>8.2</w:t>
      </w:r>
      <w:r>
        <w:rPr>
          <w:rFonts w:hint="eastAsia" w:ascii="宋体" w:hAnsi="宋体" w:eastAsia="宋体" w:cs="宋体"/>
          <w:bCs/>
          <w:color w:val="auto"/>
          <w:sz w:val="21"/>
          <w:szCs w:val="21"/>
          <w:highlight w:val="none"/>
        </w:rPr>
        <w:t>天</w:t>
      </w:r>
    </w:p>
    <w:p>
      <w:pPr>
        <w:pageBreakBefore w:val="0"/>
        <w:kinsoku/>
        <w:wordWrap/>
        <w:topLinePunct w:val="0"/>
        <w:bidi w:val="0"/>
        <w:spacing w:line="360" w:lineRule="auto"/>
        <w:ind w:firstLine="420" w:firstLineChars="20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i）覆冰厚度                   </w:t>
      </w:r>
      <w:r>
        <w:rPr>
          <w:rFonts w:hint="eastAsia" w:ascii="宋体" w:hAnsi="宋体" w:cs="宋体"/>
          <w:bCs/>
          <w:color w:val="auto"/>
          <w:sz w:val="21"/>
          <w:szCs w:val="21"/>
          <w:highlight w:val="none"/>
          <w:lang w:val="en-US" w:eastAsia="zh-CN"/>
        </w:rPr>
        <w:t>15</w:t>
      </w:r>
      <w:r>
        <w:rPr>
          <w:rFonts w:hint="eastAsia" w:ascii="宋体" w:hAnsi="宋体" w:eastAsia="宋体" w:cs="宋体"/>
          <w:bCs/>
          <w:color w:val="auto"/>
          <w:sz w:val="21"/>
          <w:szCs w:val="21"/>
          <w:highlight w:val="none"/>
        </w:rPr>
        <w:t>mm</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29" w:name="_Toc13196"/>
      <w:r>
        <w:rPr>
          <w:rFonts w:hint="eastAsia" w:ascii="宋体" w:hAnsi="宋体" w:eastAsia="宋体" w:cs="宋体"/>
          <w:bCs w:val="0"/>
          <w:iCs/>
          <w:snapToGrid w:val="0"/>
          <w:color w:val="auto"/>
          <w:kern w:val="0"/>
          <w:sz w:val="21"/>
          <w:szCs w:val="21"/>
          <w:highlight w:val="none"/>
          <w:lang w:bidi="en-US"/>
        </w:rPr>
        <w:t>3.2 电源</w:t>
      </w:r>
      <w:bookmarkEnd w:id="29"/>
    </w:p>
    <w:p>
      <w:pPr>
        <w:pStyle w:val="6"/>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微机综合自动化系统站控层后台监控等设备采用交流不停电电源（UPS）供电，间隔层设备由站用220V直流系统供电。</w:t>
      </w:r>
    </w:p>
    <w:p>
      <w:pPr>
        <w:pStyle w:val="6"/>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bookmarkStart w:id="30" w:name="_Toc476454615"/>
      <w:bookmarkStart w:id="31" w:name="_Toc499430187"/>
      <w:bookmarkStart w:id="32" w:name="_Toc485133676"/>
      <w:bookmarkStart w:id="33" w:name="_Toc483899303"/>
      <w:bookmarkStart w:id="34" w:name="_Toc485133967"/>
      <w:bookmarkStart w:id="35" w:name="_Toc485135034"/>
      <w:r>
        <w:rPr>
          <w:rFonts w:hint="eastAsia" w:ascii="宋体" w:hAnsi="宋体" w:eastAsia="宋体" w:cs="宋体"/>
          <w:color w:val="auto"/>
          <w:sz w:val="21"/>
          <w:szCs w:val="21"/>
          <w:highlight w:val="none"/>
        </w:rPr>
        <w:t>直流电源电压额定值为220V，直流电源电压在-20%～+15%的范围内变化时，装置应正确工作；直流电源电压纹波系数≤5%时，装置应正确工作；交流电源电压额定值220V，50Hz，当交流电源电压在-15%～+15%的范围内，谐波分量≤5%，频率在-5%～+5%之间变化时，装置应正确工作。</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36" w:name="_Toc11215"/>
      <w:r>
        <w:rPr>
          <w:rFonts w:hint="eastAsia" w:ascii="宋体" w:hAnsi="宋体" w:eastAsia="宋体" w:cs="宋体"/>
          <w:bCs w:val="0"/>
          <w:iCs/>
          <w:snapToGrid w:val="0"/>
          <w:color w:val="auto"/>
          <w:kern w:val="0"/>
          <w:sz w:val="21"/>
          <w:szCs w:val="21"/>
          <w:highlight w:val="none"/>
          <w:lang w:bidi="en-US"/>
        </w:rPr>
        <w:t>3.3 接地</w:t>
      </w:r>
      <w:bookmarkEnd w:id="30"/>
      <w:bookmarkEnd w:id="31"/>
      <w:bookmarkEnd w:id="32"/>
      <w:bookmarkEnd w:id="33"/>
      <w:bookmarkEnd w:id="34"/>
      <w:bookmarkEnd w:id="35"/>
      <w:bookmarkEnd w:id="36"/>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综合自动化系统为了消除设备之间的电位差和噪声干扰，继保室内设置等电位接地网，等电位接地网必须用至少4根以上、截面不小于50 mm</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的铜排（缆）与</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的主接地网可靠接地，每面屏内应有足够截面的接地铜排（不小于100mm</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），屏和设备都应该有接地端子，并用截面不小于4mm</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的多股铜线连接到接地铜排上来接地。有电源输入的屏（柜）必须有接地接到交流电源所在的接地网上。向综合自动化系统二次设备供电的交流电源必须有中性线（零线）回路，中性线应在电源处与接地网相连。信号接地应采用并联一点接地方式。</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系统的机箱、机柜以及电缆屏蔽层均应可靠接地，控制电缆的屏蔽层应根据相关规范和现场实际两端或一端可靠接地，所有敏感电子装置的工作接地应不与安全地或保护地混接。综合自动化系统各间隔之间，间隔层与站控层之间的连接，以及设备通讯口之间的连接应有隔离措施。不同接地点的设备连接一定要采用电气隔离措施，不破坏“一点接地”的原则。</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37" w:name="_Toc485133677"/>
      <w:bookmarkStart w:id="38" w:name="_Toc476454616"/>
      <w:bookmarkStart w:id="39" w:name="_Toc499430188"/>
      <w:bookmarkStart w:id="40" w:name="_Toc30161"/>
      <w:bookmarkStart w:id="41" w:name="_Toc483899304"/>
      <w:bookmarkStart w:id="42" w:name="_Toc485133968"/>
      <w:bookmarkStart w:id="43" w:name="_Toc485135035"/>
      <w:r>
        <w:rPr>
          <w:rFonts w:hint="eastAsia" w:ascii="宋体" w:hAnsi="宋体" w:eastAsia="宋体" w:cs="宋体"/>
          <w:bCs w:val="0"/>
          <w:iCs/>
          <w:snapToGrid w:val="0"/>
          <w:color w:val="auto"/>
          <w:kern w:val="0"/>
          <w:sz w:val="21"/>
          <w:szCs w:val="21"/>
          <w:highlight w:val="none"/>
          <w:lang w:bidi="en-US"/>
        </w:rPr>
        <w:t>3.4 抗干扰</w:t>
      </w:r>
      <w:bookmarkEnd w:id="37"/>
      <w:bookmarkEnd w:id="38"/>
      <w:bookmarkEnd w:id="39"/>
      <w:bookmarkEnd w:id="40"/>
      <w:bookmarkEnd w:id="41"/>
      <w:bookmarkEnd w:id="42"/>
      <w:bookmarkEnd w:id="43"/>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系统设备安装于无电磁屏蔽主控制室、继保室房间内，设备自身应满足抗电磁场干扰及静电影响的要求。在雷击过电压及操作过电压发生及一次设备出现短路故障时，设备均不应误动作。在通信信道装设通信信道防雷器，必要时，在各种装置的交、直流电源输入处设电源防雷器。所有设备均应满足下列抗扰度试验等级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·对静电放电干扰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符合GB/T 17626.2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4级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·对辐射电磁场干扰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符合GB/T 17626.3</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3级(网络要求4级)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·对电快速瞬变干扰</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符合GB/T 17626.4</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4级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·对浪涌（冲击）抗扰度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符合GB/T 17626.5</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3级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·对电磁感应的传导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符合GB/T 17626.6</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3级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·对工频磁场抗扰度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符合GB/T 17626.8</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4级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·对脉冲磁场抗扰度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符合GB/T 17626.9</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5级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·对阻尼振荡磁场抗扰度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符合GB/T 17626.10</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5级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·对振荡波抗扰度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符合GB/T 17626.12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2级(信号端口)</w:t>
      </w:r>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44" w:name="_Toc29527"/>
      <w:r>
        <w:rPr>
          <w:rFonts w:hint="eastAsia" w:ascii="宋体" w:hAnsi="宋体" w:eastAsia="宋体" w:cs="宋体"/>
          <w:b/>
          <w:bCs/>
          <w:snapToGrid w:val="0"/>
          <w:color w:val="auto"/>
          <w:kern w:val="0"/>
          <w:sz w:val="21"/>
          <w:szCs w:val="21"/>
          <w:highlight w:val="none"/>
        </w:rPr>
        <w:t>4. 专用技术要求</w:t>
      </w:r>
      <w:bookmarkEnd w:id="44"/>
    </w:p>
    <w:p>
      <w:pPr>
        <w:pageBreakBefore w:val="0"/>
        <w:kinsoku/>
        <w:wordWrap/>
        <w:topLinePunct w:val="0"/>
        <w:bidi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w:t>
      </w:r>
      <w:r>
        <w:rPr>
          <w:rFonts w:hint="eastAsia" w:ascii="宋体" w:hAnsi="宋体" w:eastAsia="宋体" w:cs="宋体"/>
          <w:color w:val="auto"/>
          <w:sz w:val="21"/>
          <w:szCs w:val="21"/>
          <w:highlight w:val="none"/>
          <w:lang w:val="en-US" w:eastAsia="zh-CN"/>
        </w:rPr>
        <w:t>光伏</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采用微机保护、微机监控的综合自动化系统。</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45" w:name="_Toc19540"/>
      <w:r>
        <w:rPr>
          <w:rFonts w:hint="eastAsia" w:ascii="宋体" w:hAnsi="宋体" w:eastAsia="宋体" w:cs="宋体"/>
          <w:bCs w:val="0"/>
          <w:iCs/>
          <w:snapToGrid w:val="0"/>
          <w:color w:val="auto"/>
          <w:kern w:val="0"/>
          <w:sz w:val="21"/>
          <w:szCs w:val="21"/>
          <w:highlight w:val="none"/>
          <w:lang w:bidi="en-US"/>
        </w:rPr>
        <w:t>4.1 微机综合自动化系统结构</w:t>
      </w:r>
      <w:bookmarkEnd w:id="45"/>
    </w:p>
    <w:p>
      <w:pPr>
        <w:pageBreakBefore w:val="0"/>
        <w:kinsoku/>
        <w:wordWrap/>
        <w:topLinePunct w:val="0"/>
        <w:bidi w:val="0"/>
        <w:spacing w:line="360" w:lineRule="auto"/>
        <w:textAlignment w:val="auto"/>
        <w:rPr>
          <w:rFonts w:hint="eastAsia" w:ascii="宋体" w:hAnsi="宋体" w:eastAsia="宋体" w:cs="宋体"/>
          <w:b/>
          <w:color w:val="auto"/>
          <w:sz w:val="21"/>
          <w:szCs w:val="21"/>
          <w:highlight w:val="none"/>
        </w:rPr>
      </w:pPr>
      <w:bookmarkStart w:id="46" w:name="_Toc170634286"/>
      <w:r>
        <w:rPr>
          <w:rFonts w:hint="eastAsia" w:ascii="宋体" w:hAnsi="宋体" w:eastAsia="宋体" w:cs="宋体"/>
          <w:b/>
          <w:color w:val="auto"/>
          <w:sz w:val="21"/>
          <w:szCs w:val="21"/>
          <w:highlight w:val="none"/>
        </w:rPr>
        <w:t>4.1.1 工程概况</w:t>
      </w:r>
      <w:bookmarkEnd w:id="46"/>
    </w:p>
    <w:p>
      <w:pPr>
        <w:pageBreakBefore w:val="0"/>
        <w:kinsoku/>
        <w:wordWrap/>
        <w:topLinePunct w:val="0"/>
        <w:bidi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220kV变电站</w:t>
      </w:r>
      <w:r>
        <w:rPr>
          <w:rFonts w:hint="eastAsia" w:ascii="宋体" w:hAnsi="宋体" w:eastAsia="宋体" w:cs="宋体"/>
          <w:color w:val="auto"/>
          <w:sz w:val="21"/>
          <w:szCs w:val="21"/>
          <w:highlight w:val="none"/>
        </w:rPr>
        <w:t>工程简介：</w:t>
      </w:r>
    </w:p>
    <w:p>
      <w:pPr>
        <w:pageBreakBefore w:val="0"/>
        <w:kinsoku/>
        <w:wordWrap/>
        <w:topLinePunct w:val="0"/>
        <w:bidi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侧：采用</w:t>
      </w:r>
      <w:r>
        <w:rPr>
          <w:rFonts w:hint="eastAsia" w:ascii="宋体" w:hAnsi="宋体" w:cs="宋体"/>
          <w:color w:val="auto"/>
          <w:sz w:val="21"/>
          <w:szCs w:val="21"/>
          <w:highlight w:val="none"/>
          <w:lang w:val="en-US" w:eastAsia="zh-CN"/>
        </w:rPr>
        <w:t>双母线</w:t>
      </w:r>
      <w:r>
        <w:rPr>
          <w:rFonts w:hint="eastAsia" w:ascii="宋体" w:hAnsi="宋体" w:eastAsia="宋体" w:cs="宋体"/>
          <w:color w:val="auto"/>
          <w:sz w:val="21"/>
          <w:szCs w:val="21"/>
          <w:highlight w:val="none"/>
        </w:rPr>
        <w:t>接线</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现有出线4回</w:t>
      </w:r>
      <w:r>
        <w:rPr>
          <w:rFonts w:hint="eastAsia" w:ascii="宋体" w:hAnsi="宋体" w:eastAsia="宋体" w:cs="宋体"/>
          <w:color w:val="auto"/>
          <w:sz w:val="21"/>
          <w:szCs w:val="21"/>
          <w:highlight w:val="none"/>
        </w:rPr>
        <w:t>。</w:t>
      </w:r>
    </w:p>
    <w:p>
      <w:pPr>
        <w:pageBreakBefore w:val="0"/>
        <w:kinsoku/>
        <w:wordWrap/>
        <w:topLinePunct w:val="0"/>
        <w:bidi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11</w:t>
      </w:r>
      <w:r>
        <w:rPr>
          <w:rFonts w:hint="eastAsia" w:ascii="宋体" w:hAnsi="宋体" w:cs="宋体"/>
          <w:color w:val="auto"/>
          <w:sz w:val="21"/>
          <w:szCs w:val="21"/>
          <w:highlight w:val="none"/>
          <w:lang w:eastAsia="zh-CN"/>
        </w:rPr>
        <w:t>0kV</w:t>
      </w:r>
      <w:r>
        <w:rPr>
          <w:rFonts w:hint="eastAsia" w:ascii="宋体" w:hAnsi="宋体" w:eastAsia="宋体" w:cs="宋体"/>
          <w:color w:val="auto"/>
          <w:sz w:val="21"/>
          <w:szCs w:val="21"/>
          <w:highlight w:val="none"/>
        </w:rPr>
        <w:t>侧：采用</w:t>
      </w:r>
      <w:r>
        <w:rPr>
          <w:rFonts w:hint="eastAsia" w:ascii="宋体" w:hAnsi="宋体" w:cs="宋体"/>
          <w:color w:val="auto"/>
          <w:sz w:val="21"/>
          <w:szCs w:val="21"/>
          <w:highlight w:val="none"/>
          <w:lang w:val="en-US" w:eastAsia="zh-CN"/>
        </w:rPr>
        <w:t>双母线</w:t>
      </w:r>
      <w:r>
        <w:rPr>
          <w:rFonts w:hint="eastAsia" w:ascii="宋体" w:hAnsi="宋体" w:eastAsia="宋体" w:cs="宋体"/>
          <w:color w:val="auto"/>
          <w:sz w:val="21"/>
          <w:szCs w:val="21"/>
          <w:highlight w:val="none"/>
        </w:rPr>
        <w:t>接线</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现有出线6回</w:t>
      </w:r>
      <w:r>
        <w:rPr>
          <w:rFonts w:hint="eastAsia" w:ascii="宋体" w:hAnsi="宋体" w:eastAsia="宋体" w:cs="宋体"/>
          <w:color w:val="auto"/>
          <w:sz w:val="21"/>
          <w:szCs w:val="21"/>
          <w:highlight w:val="none"/>
        </w:rPr>
        <w:t>。</w:t>
      </w:r>
    </w:p>
    <w:p>
      <w:pPr>
        <w:pageBreakBefore w:val="0"/>
        <w:kinsoku/>
        <w:wordWrap/>
        <w:topLinePunct w:val="0"/>
        <w:bidi w:val="0"/>
        <w:spacing w:line="360" w:lineRule="auto"/>
        <w:ind w:firstLine="42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kV侧：采用单母线</w:t>
      </w:r>
      <w:r>
        <w:rPr>
          <w:rFonts w:hint="eastAsia" w:ascii="宋体" w:hAnsi="宋体" w:cs="宋体"/>
          <w:color w:val="auto"/>
          <w:sz w:val="21"/>
          <w:szCs w:val="21"/>
          <w:highlight w:val="none"/>
          <w:lang w:val="en-US" w:eastAsia="zh-CN"/>
        </w:rPr>
        <w:t>分段</w:t>
      </w:r>
      <w:r>
        <w:rPr>
          <w:rFonts w:hint="eastAsia" w:ascii="宋体" w:hAnsi="宋体" w:eastAsia="宋体" w:cs="宋体"/>
          <w:color w:val="auto"/>
          <w:sz w:val="21"/>
          <w:szCs w:val="21"/>
          <w:highlight w:val="none"/>
        </w:rPr>
        <w:t>接线，</w:t>
      </w:r>
      <w:r>
        <w:rPr>
          <w:rFonts w:hint="eastAsia" w:ascii="宋体" w:hAnsi="宋体" w:cs="宋体"/>
          <w:color w:val="auto"/>
          <w:sz w:val="21"/>
          <w:szCs w:val="21"/>
          <w:highlight w:val="none"/>
          <w:lang w:val="en-US" w:eastAsia="zh-CN"/>
        </w:rPr>
        <w:t>现有出线10</w:t>
      </w:r>
      <w:r>
        <w:rPr>
          <w:rFonts w:hint="eastAsia" w:ascii="宋体" w:hAnsi="宋体" w:eastAsia="宋体" w:cs="宋体"/>
          <w:color w:val="auto"/>
          <w:sz w:val="21"/>
          <w:szCs w:val="21"/>
          <w:highlight w:val="none"/>
        </w:rPr>
        <w:t>回，</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回站用变</w:t>
      </w:r>
      <w:r>
        <w:rPr>
          <w:rFonts w:hint="eastAsia" w:ascii="宋体" w:hAnsi="宋体" w:cs="宋体"/>
          <w:color w:val="auto"/>
          <w:sz w:val="21"/>
          <w:szCs w:val="21"/>
          <w:highlight w:val="none"/>
          <w:lang w:val="en-US" w:eastAsia="zh-CN"/>
        </w:rPr>
        <w:t>出线</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回</w:t>
      </w:r>
      <w:r>
        <w:rPr>
          <w:rFonts w:hint="eastAsia" w:ascii="宋体" w:hAnsi="宋体" w:cs="宋体"/>
          <w:color w:val="auto"/>
          <w:sz w:val="21"/>
          <w:szCs w:val="21"/>
          <w:highlight w:val="none"/>
          <w:lang w:val="en-US" w:eastAsia="zh-CN"/>
        </w:rPr>
        <w:t>电容器组出线</w:t>
      </w:r>
      <w:r>
        <w:rPr>
          <w:rFonts w:hint="eastAsia" w:ascii="宋体" w:hAnsi="宋体" w:eastAsia="宋体" w:cs="宋体"/>
          <w:color w:val="auto"/>
          <w:sz w:val="21"/>
          <w:szCs w:val="21"/>
          <w:highlight w:val="none"/>
        </w:rPr>
        <w:t>。</w:t>
      </w:r>
    </w:p>
    <w:p>
      <w:pPr>
        <w:pageBreakBefore w:val="0"/>
        <w:kinsoku/>
        <w:wordWrap/>
        <w:topLinePunct w:val="0"/>
        <w:bidi w:val="0"/>
        <w:spacing w:line="360" w:lineRule="auto"/>
        <w:ind w:firstLine="420"/>
        <w:jc w:val="left"/>
        <w:textAlignment w:val="auto"/>
        <w:rPr>
          <w:rFonts w:hint="eastAsia" w:ascii="宋体" w:hAnsi="宋体" w:eastAsia="宋体" w:cs="宋体"/>
          <w:color w:val="auto"/>
          <w:sz w:val="21"/>
          <w:szCs w:val="21"/>
          <w:highlight w:val="none"/>
        </w:rPr>
      </w:pPr>
      <w:bookmarkStart w:id="47" w:name="_Toc260307464"/>
      <w:bookmarkStart w:id="48" w:name="_Toc260407662"/>
      <w:bookmarkStart w:id="49" w:name="_Toc260732684"/>
      <w:bookmarkStart w:id="50" w:name="_Toc260299364"/>
      <w:r>
        <w:rPr>
          <w:rFonts w:hint="eastAsia" w:ascii="宋体" w:hAnsi="宋体" w:cs="宋体"/>
          <w:color w:val="auto"/>
          <w:sz w:val="21"/>
          <w:szCs w:val="21"/>
          <w:highlight w:val="none"/>
          <w:lang w:eastAsia="zh-CN"/>
        </w:rPr>
        <w:t>220kV、</w:t>
      </w:r>
      <w:r>
        <w:rPr>
          <w:rFonts w:hint="eastAsia" w:ascii="宋体" w:hAnsi="宋体" w:cs="宋体"/>
          <w:color w:val="auto"/>
          <w:sz w:val="21"/>
          <w:szCs w:val="21"/>
          <w:highlight w:val="none"/>
          <w:lang w:val="en-US" w:eastAsia="zh-CN"/>
        </w:rPr>
        <w:t>110kV</w:t>
      </w:r>
      <w:r>
        <w:rPr>
          <w:rFonts w:hint="eastAsia" w:ascii="宋体" w:hAnsi="宋体" w:eastAsia="宋体" w:cs="宋体"/>
          <w:color w:val="auto"/>
          <w:sz w:val="21"/>
          <w:szCs w:val="21"/>
          <w:highlight w:val="none"/>
        </w:rPr>
        <w:t>配电装置选型为户</w:t>
      </w:r>
      <w:r>
        <w:rPr>
          <w:rFonts w:hint="eastAsia" w:ascii="宋体" w:hAnsi="宋体" w:eastAsia="宋体" w:cs="宋体"/>
          <w:color w:val="auto"/>
          <w:sz w:val="21"/>
          <w:szCs w:val="21"/>
          <w:highlight w:val="none"/>
          <w:lang w:eastAsia="zh-CN"/>
        </w:rPr>
        <w:t>外</w:t>
      </w:r>
      <w:r>
        <w:rPr>
          <w:rFonts w:hint="eastAsia" w:ascii="宋体" w:hAnsi="宋体" w:cs="宋体"/>
          <w:color w:val="auto"/>
          <w:sz w:val="21"/>
          <w:szCs w:val="21"/>
          <w:highlight w:val="none"/>
          <w:lang w:val="en-US" w:eastAsia="zh-CN"/>
        </w:rPr>
        <w:t>A</w:t>
      </w:r>
      <w:r>
        <w:rPr>
          <w:rFonts w:hint="eastAsia" w:ascii="宋体" w:hAnsi="宋体" w:eastAsia="宋体" w:cs="宋体"/>
          <w:color w:val="auto"/>
          <w:sz w:val="21"/>
          <w:szCs w:val="21"/>
          <w:highlight w:val="none"/>
        </w:rPr>
        <w:t>IS设备。</w:t>
      </w:r>
      <w:bookmarkEnd w:id="47"/>
      <w:bookmarkEnd w:id="48"/>
      <w:bookmarkEnd w:id="49"/>
      <w:bookmarkEnd w:id="50"/>
    </w:p>
    <w:p>
      <w:pPr>
        <w:pageBreakBefore w:val="0"/>
        <w:kinsoku/>
        <w:wordWrap/>
        <w:topLinePunct w:val="0"/>
        <w:bidi w:val="0"/>
        <w:spacing w:line="360" w:lineRule="auto"/>
        <w:ind w:firstLine="420"/>
        <w:jc w:val="left"/>
        <w:textAlignment w:val="auto"/>
        <w:rPr>
          <w:rFonts w:hint="eastAsia" w:ascii="宋体" w:hAnsi="宋体" w:eastAsia="宋体" w:cs="宋体"/>
          <w:color w:val="auto"/>
          <w:sz w:val="21"/>
          <w:szCs w:val="21"/>
          <w:highlight w:val="none"/>
        </w:rPr>
      </w:pPr>
      <w:bookmarkStart w:id="51" w:name="_Toc260299365"/>
      <w:bookmarkStart w:id="52" w:name="_Toc260732685"/>
      <w:bookmarkStart w:id="53" w:name="_Toc260407663"/>
      <w:bookmarkStart w:id="54" w:name="_Toc260307465"/>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kV配电装置选型为户内交流金属铠装移开式开关柜，配弹簧操动机构</w:t>
      </w:r>
      <w:bookmarkEnd w:id="51"/>
      <w:r>
        <w:rPr>
          <w:rFonts w:hint="eastAsia" w:ascii="宋体" w:hAnsi="宋体" w:eastAsia="宋体" w:cs="宋体"/>
          <w:color w:val="auto"/>
          <w:sz w:val="21"/>
          <w:szCs w:val="21"/>
          <w:highlight w:val="none"/>
        </w:rPr>
        <w:t>。</w:t>
      </w:r>
      <w:bookmarkEnd w:id="52"/>
      <w:bookmarkEnd w:id="53"/>
      <w:bookmarkEnd w:id="54"/>
    </w:p>
    <w:p>
      <w:pPr>
        <w:pageBreakBefore w:val="0"/>
        <w:kinsoku/>
        <w:wordWrap/>
        <w:topLinePunct w:val="0"/>
        <w:bidi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4.1.2 微机综合自动化系统结构</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本工程微机综合自动化系统采用分层分布式结构。其纵向分两层：站控层和间隔层。站控层采用分布式结构，就地监控和远动接口相互独立。间隔层在横向按</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一次设备配置。</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综合自动化系统采用冗余双以太网通信，站控层网络与间隔层网络直接连接。站控层网络传输速率应</w:t>
      </w:r>
      <w:r>
        <w:rPr>
          <w:rFonts w:hint="eastAsia" w:ascii="宋体" w:hAnsi="宋体" w:eastAsia="宋体" w:cs="宋体"/>
          <w:color w:val="auto"/>
          <w:spacing w:val="5"/>
          <w:sz w:val="21"/>
          <w:szCs w:val="21"/>
          <w:highlight w:val="none"/>
        </w:rPr>
        <w:t>满足系统实时性要求，</w:t>
      </w:r>
      <w:r>
        <w:rPr>
          <w:rFonts w:hint="eastAsia" w:ascii="宋体" w:hAnsi="宋体" w:eastAsia="宋体" w:cs="宋体"/>
          <w:color w:val="auto"/>
          <w:sz w:val="21"/>
          <w:szCs w:val="21"/>
          <w:highlight w:val="none"/>
        </w:rPr>
        <w:t>至少为自适应100Mbps/1000Mbps，网络应具有良好的开放性，以满足与电力系统其他网络连接及容量扩充的要求。间隔层网络采用工业冗余双以太网，具有足够的传送速率和高可靠性。投标人可根据自身产品的特点配置组网。</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站控层设备负责整个系统的集中监控，布置在</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的控制室、继保室内，由主机/操作员工作站、主机/工程师工作站、远动工作站、五防工作站、同步时钟对时装置、网络设备及打印机等组成，反映全站数据信息的实时数据库和历史数据库设置在监控主机内。各电压等级间隔层的测控设备必须严格按电气单元配置。</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该系统能保证在无人值班的条件下安全可靠运行，集数据采集及处理；就地与远方控制操作(互为闭锁)；事件顺序记录及故障处理；异常报警；历史数据记录；运行监视及运行管理、调度通信等功能。</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户内的测控设备之间和测控设备与其他设备之间的通信介质采用屏蔽双绞线或光缆，为了提高系统抗各种干扰的能力，保证系统的正常运行，户外的通信传输介质均采用光纤。光缆芯数应满足系统通信要求，并留有备用芯，传输速率应满足自动化系统实时性要求。光端设备应具有光缆检测故障及告警功能。光缆、通信电缆、网络线宜与其它电缆分层敷设，无铠装的光缆、通信电缆、网络线必须穿管敷设。</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该系统配置同步时钟对时装置，用于保护测控单元及站控层设备对时。</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系统在上位机故障或退出运行的情况下各间隔级保护和测控功能应不受影响；在通信网络出现故障时，各间隔级保护和测控功能应不受影响；在某一间隔级单元出现故障时，其它间隔级保护和测控功能应不受影响。</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模拟量输入方式：采用交流采样。</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该系统应具有自诊断功能，自诊断功能一直延伸到各智能模块及其相关通道，包括输入输出模块，同时综合自动化系统支持远方自诊断功能。</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该系统必须具有与电力调度数据网连接的能力，并配置必要的二次安防设备，能按要求实现站内调度自动化、保护、管理等多种信息的远程传送。</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系统基于微机开放式设计，可以和任意第三方智能化设备及上级调度管理网对接，做到真正意义上的综合自动化系统。各个单元箱相互独立、互不影响、功能不依赖主机系统。为减小以后的运行工作量，要求综合自动化系统的厂家提供的单元箱插件能完全通用，即各间隔层的单元箱能互为备用。保护及监控CPU至少采用32位机。</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所有控制、保护、测量、告警等信号均在各单元内处理成数据信号经网络传输至主控室的计算机，各单元相互独立，互不影响，功能上不依赖于监控系统。整个综合自动化系统配置设计必须满足反措要求。</w:t>
      </w:r>
    </w:p>
    <w:p>
      <w:pPr>
        <w:pageBreakBefore w:val="0"/>
        <w:kinsoku/>
        <w:wordWrap/>
        <w:topLinePunct w:val="0"/>
        <w:bidi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4.1.3 </w:t>
      </w:r>
      <w:bookmarkStart w:id="55" w:name="_Toc476454619"/>
      <w:bookmarkStart w:id="56" w:name="_Toc485133680"/>
      <w:bookmarkStart w:id="57" w:name="_Toc483899307"/>
      <w:bookmarkStart w:id="58" w:name="_Toc485133971"/>
      <w:bookmarkStart w:id="59" w:name="_Toc485135038"/>
      <w:bookmarkStart w:id="60" w:name="_Toc499430191"/>
      <w:r>
        <w:rPr>
          <w:rFonts w:hint="eastAsia" w:ascii="宋体" w:hAnsi="宋体" w:eastAsia="宋体" w:cs="宋体"/>
          <w:b/>
          <w:color w:val="auto"/>
          <w:sz w:val="21"/>
          <w:szCs w:val="21"/>
          <w:highlight w:val="none"/>
        </w:rPr>
        <w:t>监控</w:t>
      </w:r>
      <w:bookmarkEnd w:id="55"/>
      <w:bookmarkEnd w:id="56"/>
      <w:bookmarkEnd w:id="57"/>
      <w:bookmarkEnd w:id="58"/>
      <w:bookmarkEnd w:id="59"/>
      <w:r>
        <w:rPr>
          <w:rFonts w:hint="eastAsia" w:ascii="宋体" w:hAnsi="宋体" w:eastAsia="宋体" w:cs="宋体"/>
          <w:b/>
          <w:color w:val="auto"/>
          <w:sz w:val="21"/>
          <w:szCs w:val="21"/>
          <w:highlight w:val="none"/>
        </w:rPr>
        <w:t>对象</w:t>
      </w:r>
      <w:bookmarkEnd w:id="60"/>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bookmarkStart w:id="61" w:name="_Toc468695876"/>
      <w:bookmarkStart w:id="62" w:name="_Toc468695376"/>
      <w:bookmarkStart w:id="63" w:name="_Toc468763639"/>
      <w:r>
        <w:rPr>
          <w:rFonts w:hint="eastAsia" w:ascii="宋体" w:hAnsi="宋体" w:eastAsia="宋体" w:cs="宋体"/>
          <w:color w:val="auto"/>
          <w:sz w:val="21"/>
          <w:szCs w:val="21"/>
          <w:highlight w:val="none"/>
        </w:rPr>
        <w:t xml:space="preserve">4.1.3.1 </w:t>
      </w:r>
      <w:bookmarkEnd w:id="61"/>
      <w:bookmarkEnd w:id="62"/>
      <w:bookmarkEnd w:id="63"/>
      <w:r>
        <w:rPr>
          <w:rFonts w:hint="eastAsia" w:ascii="宋体" w:hAnsi="宋体" w:eastAsia="宋体" w:cs="宋体"/>
          <w:color w:val="auto"/>
          <w:sz w:val="21"/>
          <w:szCs w:val="21"/>
          <w:highlight w:val="none"/>
        </w:rPr>
        <w:t>监控系统控制对象为：</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断路器、隔离开关以及接地刀闸；</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11</w:t>
      </w:r>
      <w:r>
        <w:rPr>
          <w:rFonts w:hint="eastAsia" w:ascii="宋体" w:hAnsi="宋体" w:cs="宋体"/>
          <w:color w:val="auto"/>
          <w:sz w:val="21"/>
          <w:szCs w:val="21"/>
          <w:highlight w:val="none"/>
          <w:lang w:eastAsia="zh-CN"/>
        </w:rPr>
        <w:t>0kV</w:t>
      </w:r>
      <w:r>
        <w:rPr>
          <w:rFonts w:hint="eastAsia" w:ascii="宋体" w:hAnsi="宋体" w:eastAsia="宋体" w:cs="宋体"/>
          <w:color w:val="auto"/>
          <w:sz w:val="21"/>
          <w:szCs w:val="21"/>
          <w:highlight w:val="none"/>
        </w:rPr>
        <w:t>断路器、隔离开关以及接地刀闸；</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断路器；</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·380V站用电源断路器；</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·主变中性点接地开关；</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·主变分接头调节(17档位)；及电动操作机构的升、降、停；</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·无功补偿装置的调节；</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·重要设备的启动/停止(如站内380V电动机的启动/停止、站内自动装置的投入/退出)；</w:t>
      </w:r>
    </w:p>
    <w:p>
      <w:pPr>
        <w:pageBreakBefore w:val="0"/>
        <w:kinsoku/>
        <w:wordWrap/>
        <w:topLinePunct w:val="0"/>
        <w:bidi w:val="0"/>
        <w:spacing w:line="360" w:lineRule="auto"/>
        <w:ind w:firstLine="525" w:firstLineChars="25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·成组设备的顺序控制等。</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4.1.3.2 监控系统监测对象为：</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监测量包括电流、电压、有功功率、无功功率、频率、功率因数、有功电能、无功电能和变压器温度量、油位量等。</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4.1.3.3 监控系统信号量</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监控系统信号包括断路器、隔离开关以及接地开关、变压器有载调压分接头位置信号、变压器本体信号、各电压等级配电装置的各种报警信号、继电保护装置和安全自动装置动作及报警信号、运行监视信号等。</w:t>
      </w:r>
      <w:bookmarkStart w:id="64" w:name="_Toc485133681"/>
      <w:bookmarkStart w:id="65" w:name="_Toc485133972"/>
      <w:bookmarkStart w:id="66" w:name="_Toc485135039"/>
      <w:bookmarkStart w:id="67" w:name="_Toc499430192"/>
      <w:bookmarkStart w:id="68" w:name="_Toc483899308"/>
    </w:p>
    <w:p>
      <w:pPr>
        <w:pageBreakBefore w:val="0"/>
        <w:kinsoku/>
        <w:wordWrap/>
        <w:topLinePunct w:val="0"/>
        <w:bidi w:val="0"/>
        <w:spacing w:line="360" w:lineRule="auto"/>
        <w:textAlignment w:val="auto"/>
        <w:rPr>
          <w:rFonts w:hint="eastAsia" w:ascii="宋体" w:hAnsi="宋体" w:eastAsia="宋体" w:cs="宋体"/>
          <w:b/>
          <w:color w:val="auto"/>
          <w:sz w:val="21"/>
          <w:szCs w:val="21"/>
          <w:highlight w:val="none"/>
        </w:rPr>
      </w:pPr>
      <w:bookmarkStart w:id="69" w:name="_Toc94693652"/>
      <w:r>
        <w:rPr>
          <w:rFonts w:hint="eastAsia" w:ascii="宋体" w:hAnsi="宋体" w:eastAsia="宋体" w:cs="宋体"/>
          <w:b/>
          <w:color w:val="auto"/>
          <w:sz w:val="21"/>
          <w:szCs w:val="21"/>
          <w:highlight w:val="none"/>
        </w:rPr>
        <w:t>4.1.4 性能指标</w:t>
      </w:r>
      <w:bookmarkEnd w:id="69"/>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模拟量测量综合误差</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≤0.2%</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电网频率测量误差</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≤0.01Hz</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站内事件顺序记录分辨率（SOE）</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站控层≤2ms</w:t>
      </w:r>
    </w:p>
    <w:p>
      <w:pPr>
        <w:pageBreakBefore w:val="0"/>
        <w:kinsoku/>
        <w:wordWrap/>
        <w:topLinePunct w:val="0"/>
        <w:bidi w:val="0"/>
        <w:spacing w:line="360" w:lineRule="auto"/>
        <w:ind w:firstLine="5880" w:firstLineChars="28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测控单元≤1ms </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遥测信息响应时间（从I/O输入端至远动工作站出口）</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≤3s</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遥信变化响应时间（从I/O输入端至远动工作站出口）</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≤2s</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控制命令从生成到输出的时间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≤1s</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画面实时数据更新周期（模拟量）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≤3s</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画面实时数据更新周期（开关量）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≤2s</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控制操作正确率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=100%</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遥控动作成功率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≥99.99%</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遥测合格率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≥98%</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事故时遥信年正确动作率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≥99%</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系统可用率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≥99.8%</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系统平均故障间隔时间（MTBF）</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≥20000h</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（其中I/O单元模件MTBF≥50000h）</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间隔层测控单元平均无故障间隔时间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≥40000h</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各工作站CPU平均负荷率：</w:t>
      </w:r>
    </w:p>
    <w:p>
      <w:pPr>
        <w:pageBreakBefore w:val="0"/>
        <w:kinsoku/>
        <w:wordWrap/>
        <w:topLinePunct w:val="0"/>
        <w:bidi w:val="0"/>
        <w:spacing w:line="360" w:lineRule="auto"/>
        <w:ind w:left="239" w:leftChars="11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正常时（任意30min内）</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≤30%</w:t>
      </w:r>
    </w:p>
    <w:p>
      <w:pPr>
        <w:pageBreakBefore w:val="0"/>
        <w:kinsoku/>
        <w:wordWrap/>
        <w:topLinePunct w:val="0"/>
        <w:bidi w:val="0"/>
        <w:spacing w:line="360" w:lineRule="auto"/>
        <w:ind w:left="239" w:leftChars="11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电力系统故障时（10s内）</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≤50%</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自动化系统网络平均负荷率：</w:t>
      </w:r>
    </w:p>
    <w:p>
      <w:pPr>
        <w:pageBreakBefore w:val="0"/>
        <w:kinsoku/>
        <w:wordWrap/>
        <w:topLinePunct w:val="0"/>
        <w:bidi w:val="0"/>
        <w:spacing w:line="360" w:lineRule="auto"/>
        <w:ind w:left="239" w:leftChars="11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正常时（任意30min内）</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≤20%</w:t>
      </w:r>
    </w:p>
    <w:p>
      <w:pPr>
        <w:pageBreakBefore w:val="0"/>
        <w:kinsoku/>
        <w:wordWrap/>
        <w:topLinePunct w:val="0"/>
        <w:bidi w:val="0"/>
        <w:spacing w:line="360" w:lineRule="auto"/>
        <w:ind w:left="239" w:leftChars="11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电力系统故障时（10s内）</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≤40%</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模数转换分辨率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≥16位</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卫星对时精度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≤1ms</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非电气量变送器输出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4~20mA或0~5V</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历史曲线采样间隔</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1~30min，可调</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历史曲线日报，月报储存时间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≥1年</w:t>
      </w:r>
    </w:p>
    <w:p>
      <w:pPr>
        <w:pageBreakBefore w:val="0"/>
        <w:numPr>
          <w:ilvl w:val="0"/>
          <w:numId w:val="12"/>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事故追忆</w:t>
      </w:r>
    </w:p>
    <w:p>
      <w:pPr>
        <w:pageBreakBefore w:val="0"/>
        <w:kinsoku/>
        <w:wordWrap/>
        <w:topLinePunct w:val="0"/>
        <w:bidi w:val="0"/>
        <w:spacing w:line="360" w:lineRule="auto"/>
        <w:ind w:left="239" w:leftChars="11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事故前：1min</w:t>
      </w:r>
    </w:p>
    <w:p>
      <w:pPr>
        <w:pageBreakBefore w:val="0"/>
        <w:kinsoku/>
        <w:wordWrap/>
        <w:topLinePunct w:val="0"/>
        <w:bidi w:val="0"/>
        <w:spacing w:line="360" w:lineRule="auto"/>
        <w:ind w:left="239" w:leftChars="11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事故后：5min</w:t>
      </w:r>
    </w:p>
    <w:p>
      <w:pPr>
        <w:pageBreakBefore w:val="0"/>
        <w:kinsoku/>
        <w:wordWrap/>
        <w:topLinePunct w:val="0"/>
        <w:bidi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4.1.</w:t>
      </w:r>
      <w:bookmarkEnd w:id="64"/>
      <w:bookmarkEnd w:id="65"/>
      <w:bookmarkEnd w:id="66"/>
      <w:bookmarkEnd w:id="67"/>
      <w:bookmarkEnd w:id="68"/>
      <w:r>
        <w:rPr>
          <w:rFonts w:hint="eastAsia" w:ascii="宋体" w:hAnsi="宋体" w:eastAsia="宋体" w:cs="宋体"/>
          <w:b/>
          <w:color w:val="auto"/>
          <w:sz w:val="21"/>
          <w:szCs w:val="21"/>
          <w:highlight w:val="none"/>
        </w:rPr>
        <w:t>5 微机综合自动化系统组成范围</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220kV变电站</w:t>
      </w:r>
      <w:r>
        <w:rPr>
          <w:rFonts w:hint="eastAsia" w:ascii="宋体" w:hAnsi="宋体" w:eastAsia="宋体" w:cs="宋体"/>
          <w:color w:val="auto"/>
          <w:sz w:val="21"/>
          <w:szCs w:val="21"/>
          <w:highlight w:val="none"/>
        </w:rPr>
        <w:t>工程采用微机综合自动化系统，它是集成</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系统的数据采集、数据控制、数据库管理、微机保护信息采集与监测、完备的</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各种事件报警系统、操作票系统和</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管理最新技术的</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综合自动化系统。除</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间隔层保护测控设备就地安装于</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开关柜上外，其它主要保护测控装置采用集中布置方式。微机综合自动化系统包括后台监控、公用微机测控、主变压器微机测控、远动通信装置、站内网络通信等，均集中布置于控制室和继保室。</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70" w:name="_Toc168032230"/>
      <w:bookmarkStart w:id="71" w:name="_Toc168198209"/>
      <w:bookmarkStart w:id="72" w:name="_Toc176325041"/>
      <w:bookmarkStart w:id="73" w:name="_Toc24609"/>
      <w:r>
        <w:rPr>
          <w:rFonts w:hint="eastAsia" w:ascii="宋体" w:hAnsi="宋体" w:eastAsia="宋体" w:cs="宋体"/>
          <w:bCs w:val="0"/>
          <w:iCs/>
          <w:snapToGrid w:val="0"/>
          <w:color w:val="auto"/>
          <w:kern w:val="0"/>
          <w:sz w:val="21"/>
          <w:szCs w:val="21"/>
          <w:highlight w:val="none"/>
          <w:lang w:bidi="en-US"/>
        </w:rPr>
        <w:t>4.2 监控系统</w:t>
      </w:r>
      <w:bookmarkEnd w:id="70"/>
      <w:bookmarkEnd w:id="71"/>
      <w:r>
        <w:rPr>
          <w:rFonts w:hint="eastAsia" w:ascii="宋体" w:hAnsi="宋体" w:eastAsia="宋体" w:cs="宋体"/>
          <w:bCs w:val="0"/>
          <w:iCs/>
          <w:snapToGrid w:val="0"/>
          <w:color w:val="auto"/>
          <w:kern w:val="0"/>
          <w:sz w:val="21"/>
          <w:szCs w:val="21"/>
          <w:highlight w:val="none"/>
          <w:lang w:bidi="en-US"/>
        </w:rPr>
        <w:t>技术</w:t>
      </w:r>
      <w:bookmarkEnd w:id="72"/>
      <w:r>
        <w:rPr>
          <w:rFonts w:hint="eastAsia" w:ascii="宋体" w:hAnsi="宋体" w:eastAsia="宋体" w:cs="宋体"/>
          <w:bCs w:val="0"/>
          <w:iCs/>
          <w:snapToGrid w:val="0"/>
          <w:color w:val="auto"/>
          <w:kern w:val="0"/>
          <w:sz w:val="21"/>
          <w:szCs w:val="21"/>
          <w:highlight w:val="none"/>
          <w:lang w:bidi="en-US"/>
        </w:rPr>
        <w:t>要求</w:t>
      </w:r>
      <w:bookmarkEnd w:id="73"/>
    </w:p>
    <w:p>
      <w:pPr>
        <w:pageBreakBefore w:val="0"/>
        <w:kinsoku/>
        <w:wordWrap/>
        <w:topLinePunct w:val="0"/>
        <w:bidi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4.2.1 基本配置</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4.2.1.1硬件基本配置</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站控层设备：</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站控层设备包括：主机兼操作员站﹑主机兼工程师站、远动通信设备、同步时钟对时设备、网络设备、打印机等。</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主机兼操作员站：</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地监控主站是站控层数据收集、处理、存贮及发送的中心以及站内综合自动化系统的主要人机界面，用于图形及报表显示、事件记录及报警状态显示和查询，设备状态和参数的查询，操作指导，操作控制命令的解释和下达等等。通过操作员站，在操作时直观﹑便捷﹑安全﹑可靠的前提下，运行值班人员能实现对全站生产设备的运行监测和操作控制。</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监控主站应为工业级计算机，配置不低于以下要求：</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四核，主频≥2.6GHz；</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内存≥8G；</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硬盘≥1TB；</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DVD光驱：可读写，24倍速；</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显示器：23寸液晶彩显；</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鼠标：随机配置的串行光电鼠标；</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网卡：双百兆/</w:t>
      </w:r>
      <w:r>
        <w:rPr>
          <w:rFonts w:hint="eastAsia" w:ascii="宋体" w:hAnsi="宋体" w:eastAsia="宋体" w:cs="宋体"/>
          <w:color w:val="auto"/>
          <w:sz w:val="21"/>
          <w:szCs w:val="21"/>
          <w:highlight w:val="none"/>
          <w:lang w:val="fr-FR"/>
        </w:rPr>
        <w:t>千兆以太网卡（</w:t>
      </w:r>
      <w:r>
        <w:rPr>
          <w:rFonts w:hint="eastAsia" w:ascii="宋体" w:hAnsi="宋体" w:eastAsia="宋体" w:cs="宋体"/>
          <w:color w:val="auto"/>
          <w:sz w:val="21"/>
          <w:szCs w:val="21"/>
          <w:highlight w:val="none"/>
        </w:rPr>
        <w:t>PCI网卡）；</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显卡：高速图形卡，支持3D功能，显存≥512M；</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监控系统支持软件：UNIX操作系统或经软件加固的中文Windows操作系统；</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装设声卡，并配有源音箱，以便信号及事故音响的区分，并提示运行值班员。</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主机兼工程师站： </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配1台主机兼工程师工作站，工业级计算机硬件配置同上。</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师工作站用于整个监控系统的维护、管理，可完成数据库的定义、修改，系统参数的定义、修改，报表的制作、修改，以及网络维护、系统诊断等工作。对监控系统的维护仅允许在工程师工作站上进行，并需有可靠的登录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远动通信设备：</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远动系统具有远动数据处理、规约转换及通信功能，应满足</w:t>
      </w:r>
      <w:r>
        <w:rPr>
          <w:rFonts w:hint="eastAsia" w:ascii="宋体" w:hAnsi="宋体" w:cs="宋体"/>
          <w:color w:val="auto"/>
          <w:sz w:val="21"/>
          <w:szCs w:val="21"/>
          <w:highlight w:val="none"/>
          <w:lang w:val="en-US" w:eastAsia="zh-CN"/>
        </w:rPr>
        <w:t>贵州</w:t>
      </w:r>
      <w:r>
        <w:rPr>
          <w:rFonts w:hint="eastAsia" w:ascii="宋体" w:hAnsi="宋体" w:eastAsia="宋体" w:cs="宋体"/>
          <w:color w:val="auto"/>
          <w:sz w:val="21"/>
          <w:szCs w:val="21"/>
          <w:highlight w:val="none"/>
        </w:rPr>
        <w:t>省调度自动化的要求。远动工作站收集全站测控单元、保护装置等设备的数据，将采集到的远动信息上传至永州地调，并接受调度部门的远动命令。远动信息的传输采用</w:t>
      </w:r>
      <w:r>
        <w:rPr>
          <w:rFonts w:hint="eastAsia" w:ascii="宋体" w:hAnsi="宋体" w:eastAsia="宋体" w:cs="宋体"/>
          <w:b/>
          <w:color w:val="auto"/>
          <w:sz w:val="21"/>
          <w:szCs w:val="21"/>
          <w:highlight w:val="none"/>
        </w:rPr>
        <w:t>调度数据网络传输</w:t>
      </w:r>
      <w:r>
        <w:rPr>
          <w:rFonts w:hint="eastAsia" w:ascii="宋体" w:hAnsi="宋体" w:eastAsia="宋体" w:cs="宋体"/>
          <w:color w:val="auto"/>
          <w:sz w:val="21"/>
          <w:szCs w:val="21"/>
          <w:highlight w:val="none"/>
        </w:rPr>
        <w:t>和</w:t>
      </w:r>
      <w:r>
        <w:rPr>
          <w:rFonts w:hint="eastAsia" w:ascii="宋体" w:hAnsi="宋体" w:eastAsia="宋体" w:cs="宋体"/>
          <w:b/>
          <w:color w:val="auto"/>
          <w:sz w:val="21"/>
          <w:szCs w:val="21"/>
          <w:highlight w:val="none"/>
        </w:rPr>
        <w:t>专线通道</w:t>
      </w:r>
      <w:r>
        <w:rPr>
          <w:rFonts w:hint="eastAsia" w:ascii="宋体" w:hAnsi="宋体" w:eastAsia="宋体" w:cs="宋体"/>
          <w:color w:val="auto"/>
          <w:sz w:val="21"/>
          <w:szCs w:val="21"/>
          <w:highlight w:val="none"/>
        </w:rPr>
        <w:t>传输方式。</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满足直采直送的要求，支持各级调度的双通信通道和通信规约要求，实现遥信、遥测、遥控、遥调及规约转换等功能。远动工作站按双机配置，采用互为热备用工作方式，双机都能独立执行各项功能。当一台工作站故障时，另一台工作站应能执行全部功能，应能实现双机无缝自动切换，并保证切换时数据不丢失，并同时向各级调度和操作员站发送切换报警信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技术要求：</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·应采用专用操作系统、无硬盘型、非PC结构的专用装置。四遥功能能灵活组合，且相对规格化。将来维护和扩展时不会影响原有的硬件及更改原有的EPROM。</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·整机平均故障间隔时间不低于27000小时。</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·远动信息的海明码距离应≥4。</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·所有的输入输出接口、通信线及电源输入的耐受冲击耐压试验及抗电磁干扰能力应满足各项规范要求，远动主通道、备用通道均应设置通道防雷器，装置的交直流电源输入处设电源防雷器。</w:t>
      </w:r>
    </w:p>
    <w:p>
      <w:pPr>
        <w:pageBreakBefore w:val="0"/>
        <w:kinsoku/>
        <w:wordWrap/>
        <w:topLinePunct w:val="0"/>
        <w:bidi w:val="0"/>
        <w:spacing w:line="360" w:lineRule="auto"/>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·远动工作站的制式应与调度端主站系统相适应；应能通过</w:t>
      </w:r>
      <w:r>
        <w:rPr>
          <w:rFonts w:hint="eastAsia" w:ascii="宋体" w:hAnsi="宋体" w:eastAsia="宋体" w:cs="宋体"/>
          <w:b w:val="0"/>
          <w:bCs w:val="0"/>
          <w:color w:val="auto"/>
          <w:sz w:val="21"/>
          <w:szCs w:val="21"/>
          <w:highlight w:val="none"/>
          <w:lang w:val="en-US" w:eastAsia="zh-CN"/>
        </w:rPr>
        <w:t>邢台</w:t>
      </w:r>
      <w:r>
        <w:rPr>
          <w:rFonts w:hint="eastAsia" w:ascii="宋体" w:hAnsi="宋体" w:eastAsia="宋体" w:cs="宋体"/>
          <w:b w:val="0"/>
          <w:bCs w:val="0"/>
          <w:color w:val="auto"/>
          <w:sz w:val="21"/>
          <w:szCs w:val="21"/>
          <w:highlight w:val="none"/>
        </w:rPr>
        <w:t>地调的电力调度数据网接入设备通信，远动规约与</w:t>
      </w:r>
      <w:r>
        <w:rPr>
          <w:rFonts w:hint="eastAsia" w:ascii="宋体" w:hAnsi="宋体" w:eastAsia="宋体" w:cs="宋体"/>
          <w:b w:val="0"/>
          <w:bCs w:val="0"/>
          <w:color w:val="auto"/>
          <w:sz w:val="21"/>
          <w:szCs w:val="21"/>
          <w:highlight w:val="none"/>
          <w:lang w:val="en-US" w:eastAsia="zh-CN"/>
        </w:rPr>
        <w:t>邢台</w:t>
      </w:r>
      <w:r>
        <w:rPr>
          <w:rFonts w:hint="eastAsia" w:ascii="宋体" w:hAnsi="宋体" w:eastAsia="宋体" w:cs="宋体"/>
          <w:b w:val="0"/>
          <w:bCs w:val="0"/>
          <w:color w:val="auto"/>
          <w:sz w:val="21"/>
          <w:szCs w:val="21"/>
          <w:highlight w:val="none"/>
        </w:rPr>
        <w:t>地调要求的通信规约相一致。</w:t>
      </w:r>
    </w:p>
    <w:p>
      <w:pPr>
        <w:pageBreakBefore w:val="0"/>
        <w:kinsoku/>
        <w:wordWrap/>
        <w:topLinePunct w:val="0"/>
        <w:bidi w:val="0"/>
        <w:spacing w:line="360" w:lineRule="auto"/>
        <w:ind w:firstLine="42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·应具备为调度中心提供SOE数据的功能，SOE中的事件时标应是I/O单元采集到该数据时的时间。</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·具有自检自调，失电保护功能及失电后自启动功能。</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·支持主备双通道，当主通道故障后能手动和自动切换至备用通道。</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·远动工作站应是可编程的，具有当地维护界面，组态方便且具有在线远方诊断、远方下载、远方配置文件及远方修改参数等功能。</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·远动工作站在故障、重启及切换的过程中不应引起误操作及数据扰动。</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·远动工作站应具备与调度中心和当地同步时钟对时的功能。</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·采用模块化结构，便于维护和扩展。装置内所有的模块应装设硬件发光显示器（LED、LCD等），以指示其状态及功能。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硬件要求：</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远动工作站冗余配置，应能实现双机无缝自动切换，每台远动机至少包括：6个以太网接口、2个数字通道接口、2个模拟通道接口，在远动通道及电源入口处应配置通信和电源防雷保护器等。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时钟接收和时钟同步系统：</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220kV变电站</w:t>
      </w:r>
      <w:r>
        <w:rPr>
          <w:rFonts w:hint="eastAsia" w:ascii="宋体" w:hAnsi="宋体" w:eastAsia="宋体" w:cs="宋体"/>
          <w:color w:val="auto"/>
          <w:sz w:val="21"/>
          <w:szCs w:val="21"/>
          <w:highlight w:val="none"/>
        </w:rPr>
        <w:t>设1套卫星时钟同步系统，主时钟应采用冗余配置，接收GPS和北斗卫星的标准授时信号，对监控系统站控层设备、保护测控装置、故障录波装置、安全自动装置、</w:t>
      </w:r>
      <w:r>
        <w:rPr>
          <w:rFonts w:hint="eastAsia" w:ascii="宋体" w:hAnsi="宋体" w:eastAsia="宋体" w:cs="宋体"/>
          <w:color w:val="auto"/>
          <w:sz w:val="21"/>
          <w:szCs w:val="21"/>
          <w:highlight w:val="none"/>
          <w:lang w:val="en-US" w:eastAsia="zh-CN"/>
        </w:rPr>
        <w:t>光伏</w:t>
      </w:r>
      <w:r>
        <w:rPr>
          <w:rFonts w:hint="eastAsia" w:ascii="宋体" w:hAnsi="宋体" w:eastAsia="宋体" w:cs="宋体"/>
          <w:color w:val="auto"/>
          <w:sz w:val="21"/>
          <w:szCs w:val="21"/>
          <w:highlight w:val="none"/>
        </w:rPr>
        <w:t>场监控保护系统及其他智能设备等设备进行对时。监控系统站控层设备优先采用NTP对时方式，间隔层设备的对时接口选用IRIGB对时方式。各I/O单元之间的对时误差应小于1ms。主时钟应提供通信接口，负责将装置运行情况、锁定卫星的数量、同步或失步状态等信息上传，实现对时同步系统的监视及管理，当时钟失去同步时，应自动告警并记录事件。对时接口的数量应满足本工程系统配置的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时钟同步装置应完全模块化，支持4路时间源输入，内置高精度内时钟（10</w:t>
      </w:r>
      <w:r>
        <w:rPr>
          <w:rFonts w:hint="eastAsia" w:ascii="宋体" w:hAnsi="宋体" w:eastAsia="宋体" w:cs="宋体"/>
          <w:color w:val="auto"/>
          <w:sz w:val="21"/>
          <w:szCs w:val="21"/>
          <w:highlight w:val="none"/>
          <w:vertAlign w:val="superscript"/>
        </w:rPr>
        <w:t>-8</w:t>
      </w:r>
      <w:r>
        <w:rPr>
          <w:rFonts w:hint="eastAsia" w:ascii="宋体" w:hAnsi="宋体" w:eastAsia="宋体" w:cs="宋体"/>
          <w:color w:val="auto"/>
          <w:sz w:val="21"/>
          <w:szCs w:val="21"/>
          <w:highlight w:val="none"/>
        </w:rPr>
        <w:t>），具有时间源检测和补偿功能，后台监控和远程监控，所有模块均在线，输出种类齐全，所有输出均相互隔离。</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74" w:name="_Toc468695359"/>
      <w:bookmarkStart w:id="75" w:name="_Toc468695859"/>
      <w:bookmarkStart w:id="76" w:name="_Toc468763622"/>
      <w:bookmarkStart w:id="77" w:name="_Toc466356294"/>
      <w:r>
        <w:rPr>
          <w:rFonts w:hint="eastAsia" w:ascii="宋体" w:hAnsi="宋体" w:eastAsia="宋体" w:cs="宋体"/>
          <w:color w:val="auto"/>
          <w:sz w:val="21"/>
          <w:szCs w:val="21"/>
          <w:highlight w:val="none"/>
        </w:rPr>
        <w:t>5) 音响报警装置</w:t>
      </w:r>
      <w:bookmarkEnd w:id="74"/>
      <w:bookmarkEnd w:id="75"/>
      <w:bookmarkEnd w:id="76"/>
      <w:bookmarkEnd w:id="77"/>
      <w:r>
        <w:rPr>
          <w:rFonts w:hint="eastAsia" w:ascii="宋体" w:hAnsi="宋体" w:eastAsia="宋体" w:cs="宋体"/>
          <w:color w:val="auto"/>
          <w:sz w:val="21"/>
          <w:szCs w:val="21"/>
          <w:highlight w:val="none"/>
        </w:rPr>
        <w:t>：</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光伏场</w:t>
      </w:r>
      <w:r>
        <w:rPr>
          <w:rFonts w:hint="eastAsia" w:ascii="宋体" w:hAnsi="宋体" w:cs="宋体"/>
          <w:color w:val="auto"/>
          <w:sz w:val="21"/>
          <w:szCs w:val="21"/>
          <w:highlight w:val="none"/>
          <w:lang w:eastAsia="zh-CN"/>
        </w:rPr>
        <w:t>220kV变电站</w:t>
      </w:r>
      <w:r>
        <w:rPr>
          <w:rFonts w:hint="eastAsia" w:ascii="宋体" w:hAnsi="宋体" w:eastAsia="宋体" w:cs="宋体"/>
          <w:color w:val="auto"/>
          <w:sz w:val="21"/>
          <w:szCs w:val="21"/>
          <w:highlight w:val="none"/>
        </w:rPr>
        <w:t>内计算机监控系统应提供1套音响报警装置。系统根据事故信号和预告信号驱动声响报警装置发出不同的声音报警。</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网络设备：</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·网络交换机：配置</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台工业网络交换机，其中</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台布置在继保室屏柜中，每台至少配有24个以太网电口，2个以太网光口，2台布置在</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开关柜中，每台至少配有24个以太网电口，2个以太网光口。网络传输速率不小于100Mbps，构成一分布式高速工业级以太网，实现站级单元的信息共享以及站内设备的在线监测、数据处理以及站级连锁控制。交换机接口容量应满足监控系统网络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协议转换装置：应能用于多种继电保护装置及站内智能设备与监控系统的通信。装置通信接口类型至少应有6个以太网接口，应有16个RS232/RS485/RS422串行接口，支持的通信接口和通信协议应满足监控系统的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·其它网络设备：包括接口设备、网络连接线、电缆及网络安全设备等。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间隔层测控设备：</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间隔层测控设备按本期工程规模配置。测控设备直接采集处理现场的原始数据，通过网络传送给站级计算机，同时接收站控层发来的控制操作命令，经过有效性判断、闭锁检测、同步检测等，最后对一次设备进行操作控制。间隔层也可独立完成对断路器、隔离开关等的控制操作。且间隔层设备应具有逻辑防误闭锁功能。</w:t>
      </w:r>
    </w:p>
    <w:p>
      <w:pPr>
        <w:pageBreakBefore w:val="0"/>
        <w:kinsoku/>
        <w:wordWrap/>
        <w:topLinePunct w:val="0"/>
        <w:bidi w:val="0"/>
        <w:spacing w:line="360" w:lineRule="auto"/>
        <w:ind w:left="420" w:left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主变压器测控单元技术要求：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主变微机测控包括测控单元3套(主变</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11</w:t>
      </w:r>
      <w:r>
        <w:rPr>
          <w:rFonts w:hint="eastAsia" w:ascii="宋体" w:hAnsi="宋体" w:cs="宋体"/>
          <w:color w:val="auto"/>
          <w:sz w:val="21"/>
          <w:szCs w:val="21"/>
          <w:highlight w:val="none"/>
          <w:lang w:eastAsia="zh-CN"/>
        </w:rPr>
        <w:t>0kV</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10kV（</w:t>
      </w:r>
      <w:r>
        <w:rPr>
          <w:rFonts w:hint="eastAsia" w:ascii="宋体" w:hAnsi="宋体" w:cs="宋体"/>
          <w:color w:val="auto"/>
          <w:sz w:val="21"/>
          <w:szCs w:val="21"/>
          <w:highlight w:val="none"/>
          <w:lang w:val="en-US" w:eastAsia="zh-CN"/>
        </w:rPr>
        <w:t>含本体</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侧各1套)，测控内容包括：主变本体瓦斯、压力释放、油温、绕组温度、油位、有载调压开关瓦斯、压力释放、油位等非电量信号；有载调压开关测控；主变低压配电装置测控；</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中性点隔离刀测控；</w:t>
      </w:r>
      <w:r>
        <w:rPr>
          <w:rFonts w:hint="eastAsia" w:ascii="宋体" w:hAnsi="宋体" w:cs="宋体"/>
          <w:color w:val="auto"/>
          <w:sz w:val="21"/>
          <w:szCs w:val="21"/>
          <w:highlight w:val="none"/>
          <w:lang w:val="en-US" w:eastAsia="zh-CN"/>
        </w:rPr>
        <w:t>11</w:t>
      </w:r>
      <w:r>
        <w:rPr>
          <w:rFonts w:hint="eastAsia" w:ascii="宋体" w:hAnsi="宋体" w:cs="宋体"/>
          <w:color w:val="auto"/>
          <w:sz w:val="21"/>
          <w:szCs w:val="21"/>
          <w:highlight w:val="none"/>
          <w:lang w:eastAsia="zh-CN"/>
        </w:rPr>
        <w:t>0kV</w:t>
      </w:r>
      <w:r>
        <w:rPr>
          <w:rFonts w:hint="eastAsia" w:ascii="宋体" w:hAnsi="宋体" w:eastAsia="宋体" w:cs="宋体"/>
          <w:color w:val="auto"/>
          <w:sz w:val="21"/>
          <w:szCs w:val="21"/>
          <w:highlight w:val="none"/>
        </w:rPr>
        <w:t>中性点隔离刀测控；主变保护装置信号采集等。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主变本体测控单元参数要求：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交流电流：</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A；</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交流电压：100/√3V、100V；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交流频率：50Hz；</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直流电压：220V；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调压开关档位变送器输入BCD码 17档，输出3点；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开入信号≥64点；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开出信号≥8点；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温度信号≥3点；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直流模拟量≥4路；</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对时接口：RS-485接口，IRIG-B时码对时；</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通信接口：2个以太网口，通信规约满足后台监控的要求。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侧测控单元参数要求：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交流电流：</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A；</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交流电压：100/√3V、100V；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交流频率：50Hz；</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直流电压：220V；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开入点数≥80点；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开出点数≥16点；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模拟电压量≥4路；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模拟电流量≥4路；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对时接口：RS-485接口，IRIG-B时码对时；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通信接口：2个以太网口，通信规约满足后台监控的要求。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w:t>
      </w:r>
      <w:r>
        <w:rPr>
          <w:rFonts w:hint="eastAsia" w:ascii="宋体" w:hAnsi="宋体" w:cs="宋体"/>
          <w:color w:val="auto"/>
          <w:sz w:val="21"/>
          <w:szCs w:val="21"/>
          <w:highlight w:val="none"/>
          <w:lang w:val="en-US" w:eastAsia="zh-CN"/>
        </w:rPr>
        <w:t>11</w:t>
      </w:r>
      <w:r>
        <w:rPr>
          <w:rFonts w:hint="eastAsia" w:ascii="宋体" w:hAnsi="宋体" w:cs="宋体"/>
          <w:color w:val="auto"/>
          <w:sz w:val="21"/>
          <w:szCs w:val="21"/>
          <w:highlight w:val="none"/>
          <w:lang w:eastAsia="zh-CN"/>
        </w:rPr>
        <w:t>0kV</w:t>
      </w:r>
      <w:r>
        <w:rPr>
          <w:rFonts w:hint="eastAsia" w:ascii="宋体" w:hAnsi="宋体" w:eastAsia="宋体" w:cs="宋体"/>
          <w:color w:val="auto"/>
          <w:sz w:val="21"/>
          <w:szCs w:val="21"/>
          <w:highlight w:val="none"/>
        </w:rPr>
        <w:t>侧测控单元参数要求：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交流电流：</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A；</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交流电压：100/√3V、100V；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交流频率：50Hz；</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直流电压：220V；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开入点数≥80点；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开出点数≥16点；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模拟电压量≥4路；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模拟电流量≥4路；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对时接口：RS-485接口，IRIG-B时码对时；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通信接口：2个以太网口，通信规约满足后台监控的要求。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侧测控单元参数要求：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交流电流：</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A；</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交流电压：100/√3V、100V；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交流频率：50Hz；</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直流电压：220V；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开入点数≥64点；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开出点数≥8点；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模拟电压量≥4路；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模拟电流量≥4路；</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对时接口：RS-485接口，IRIG-B时码对时；</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通信接口：2个以太网口，通信规约满足后台监控的要求。</w:t>
      </w:r>
    </w:p>
    <w:p>
      <w:pPr>
        <w:pageBreakBefore w:val="0"/>
        <w:kinsoku/>
        <w:wordWrap/>
        <w:topLinePunct w:val="0"/>
        <w:bidi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公用微机测控装置技术要求：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主要测控信息包括：</w:t>
      </w:r>
      <w:r>
        <w:rPr>
          <w:rFonts w:hint="eastAsia" w:ascii="宋体" w:hAnsi="宋体" w:cs="宋体"/>
          <w:color w:val="auto"/>
          <w:sz w:val="21"/>
          <w:szCs w:val="21"/>
          <w:highlight w:val="none"/>
          <w:lang w:val="en-US" w:eastAsia="zh-CN"/>
        </w:rPr>
        <w:t>220kV</w:t>
      </w:r>
      <w:r>
        <w:rPr>
          <w:rFonts w:hint="eastAsia" w:ascii="宋体" w:hAnsi="宋体" w:eastAsia="宋体" w:cs="宋体"/>
          <w:color w:val="auto"/>
          <w:sz w:val="21"/>
          <w:szCs w:val="21"/>
          <w:highlight w:val="none"/>
        </w:rPr>
        <w:t>(一段)、380V(两段)以及</w:t>
      </w:r>
      <w:r>
        <w:rPr>
          <w:rFonts w:hint="eastAsia" w:ascii="宋体" w:hAnsi="宋体" w:cs="宋体"/>
          <w:color w:val="auto"/>
          <w:sz w:val="21"/>
          <w:szCs w:val="21"/>
          <w:highlight w:val="none"/>
          <w:lang w:val="en-US" w:eastAsia="zh-CN"/>
        </w:rPr>
        <w:t>10kV</w:t>
      </w:r>
      <w:r>
        <w:rPr>
          <w:rFonts w:hint="eastAsia" w:ascii="宋体" w:hAnsi="宋体" w:eastAsia="宋体" w:cs="宋体"/>
          <w:color w:val="auto"/>
          <w:sz w:val="21"/>
          <w:szCs w:val="21"/>
          <w:highlight w:val="none"/>
        </w:rPr>
        <w:t>(一段)各段母线电压量UA、UB、UC、Un；站用变低压侧电流、380V备用段电流及分段电流、交直流一体化电源、火灾报警等公用信号(按远期考虑)及</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PT隔离开关和接地刀闸位置信号、</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系统测控装置信号、站用电源切换装置（ATS）信号、消防水泵、生活水泵及污水处理系统的运行控制信号等。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公用测控装置参数要求：</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交流电流：</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A；</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交流电压：100/√3V、100V；</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交流频率：50Hz；</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直流电压：220V；</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开入点数≥192点；</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开出点数≥32点；</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直流模拟量(4-20mA)≥16路；</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AC模拟电压量≥32路；</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AC模拟电流量≥16路；</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对时接口：RS-485接口，IRIG-B时码对时；</w:t>
      </w:r>
    </w:p>
    <w:p>
      <w:pPr>
        <w:pageBreakBefore w:val="0"/>
        <w:kinsoku/>
        <w:wordWrap/>
        <w:topLinePunct w:val="0"/>
        <w:bidi w:val="0"/>
        <w:spacing w:line="360" w:lineRule="auto"/>
        <w:ind w:left="420" w:left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通信接口：2个以太网口，通信规约满足后台监控的要求。</w:t>
      </w:r>
    </w:p>
    <w:p>
      <w:pPr>
        <w:pageBreakBefore w:val="0"/>
        <w:kinsoku/>
        <w:wordWrap/>
        <w:topLinePunct w:val="0"/>
        <w:bidi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10kV</w:t>
      </w:r>
      <w:r>
        <w:rPr>
          <w:rFonts w:hint="eastAsia" w:ascii="宋体" w:hAnsi="宋体" w:eastAsia="宋体" w:cs="宋体"/>
          <w:b/>
          <w:color w:val="auto"/>
          <w:sz w:val="21"/>
          <w:szCs w:val="21"/>
          <w:highlight w:val="none"/>
        </w:rPr>
        <w:t>测控保护装置技术要求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78" w:name="_Toc477148338"/>
      <w:bookmarkStart w:id="79" w:name="_Toc450703217"/>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测控保护装置测控功能主要包括：断路器的就地控制；断路器的远方控制；断路器的防跳回路；断路器和隔离开关位置等状态信息采集。</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模拟量测量：</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三相电压、三相电流、有功功率、无功功率、功率因素、频率等。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(1)选用微机型保护测控一体化装置；</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(2)直流电源电压：220V；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(3)交流输入电流：</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A；</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(4)交流输入电压：100/</w:t>
      </w:r>
      <w:r>
        <w:rPr>
          <w:rFonts w:hint="eastAsia" w:ascii="宋体" w:hAnsi="宋体" w:eastAsia="宋体" w:cs="宋体"/>
          <w:color w:val="auto"/>
          <w:sz w:val="21"/>
          <w:szCs w:val="21"/>
          <w:highlight w:val="none"/>
        </w:rPr>
        <w:object>
          <v:shape id="_x0000_i1025" o:spt="75" type="#_x0000_t75" style="height:18.15pt;width:18.15pt;" o:ole="t" filled="f" o:preferrelative="t" stroked="f" coordsize="21600,21600">
            <v:path/>
            <v:fill on="f" focussize="0,0"/>
            <v:stroke on="f" joinstyle="miter"/>
            <v:imagedata r:id="rId7" o:title=""/>
            <o:lock v:ext="edit" aspectratio="t"/>
            <w10:wrap type="none"/>
            <w10:anchorlock/>
          </v:shape>
          <o:OLEObject Type="Embed" ProgID="Equation.3" ShapeID="_x0000_i1025" DrawAspect="Content" ObjectID="_1468075725" r:id="rId6">
            <o:LockedField>false</o:LockedField>
          </o:OLEObject>
        </w:object>
      </w:r>
      <w:r>
        <w:rPr>
          <w:rFonts w:hint="eastAsia" w:ascii="宋体" w:hAnsi="宋体" w:eastAsia="宋体" w:cs="宋体"/>
          <w:color w:val="auto"/>
          <w:sz w:val="21"/>
          <w:szCs w:val="21"/>
          <w:highlight w:val="none"/>
        </w:rPr>
        <w:t>V、100V；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(5)SOE事故记录；</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(6)汉化液晶显示，实时显示电流、电压、有功、无功、功率因数，显示事故与告警信息，进行保护定值设定和投退操作； </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(7)具有卫星对时功能，采用IRIG-B码对时；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(8)通信接口：3个以太网口，通信规约满足后台监控的要求。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(9)测控装置测控输入/输出接口数至少满足4路模拟电流输入、6路模拟电压输入、15路开关量输入、8路开关量输出； </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(10)下放到开关柜内的</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、10kV测控保护装置应具有抗干扰能力；</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测控保护装置应能适应-10℃～+40℃的环境温度；</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(12)测控装置应能实现全电量测量、动态测角，并能直接显示一次值。</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测控功能：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a)断路器的就地控制；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b)断路器的远方控制；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c)断路器的防跳回路；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d)模拟量测量：</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三相电压、三相电流、有功功率、无功功率、功率因素、频率等；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e)断路器和隔离开关位置等状态信息采集。</w:t>
      </w:r>
    </w:p>
    <w:bookmarkEnd w:id="78"/>
    <w:bookmarkEnd w:id="79"/>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线路保护功能：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电流方向速断保护；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三相两段式方向过流保护；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过负荷保护；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④三段式零序电流保护等；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站用变/接地变保护功能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电流速断保护；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三相两段式复压方向过流保护、过负荷保护；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三段式零序电流保护；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站用变低压侧零序过流保护；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非电量保护：高温报警、超温跳闸等。</w:t>
      </w:r>
    </w:p>
    <w:p>
      <w:pPr>
        <w:pageBreakBefore w:val="0"/>
        <w:kinsoku/>
        <w:wordWrap/>
        <w:topLinePunct w:val="0"/>
        <w:bidi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接地变兼站用变保护应联跳汇集母线所有回路断路器及低压侧断路器，跳闸出口应不少于7个（不采用外部扩展继电器出口）。或跳闸出口接入</w:t>
      </w:r>
      <w:r>
        <w:rPr>
          <w:rFonts w:hint="eastAsia" w:ascii="宋体" w:hAnsi="宋体" w:cs="宋体"/>
          <w:b/>
          <w:color w:val="auto"/>
          <w:sz w:val="21"/>
          <w:szCs w:val="21"/>
          <w:highlight w:val="none"/>
          <w:lang w:eastAsia="zh-CN"/>
        </w:rPr>
        <w:t>10kV</w:t>
      </w:r>
      <w:r>
        <w:rPr>
          <w:rFonts w:hint="eastAsia" w:ascii="宋体" w:hAnsi="宋体" w:eastAsia="宋体" w:cs="宋体"/>
          <w:b/>
          <w:color w:val="auto"/>
          <w:sz w:val="21"/>
          <w:szCs w:val="21"/>
          <w:highlight w:val="none"/>
        </w:rPr>
        <w:t>母差保护装置，由母差保护装置联跳</w:t>
      </w:r>
      <w:r>
        <w:rPr>
          <w:rFonts w:hint="eastAsia" w:ascii="宋体" w:hAnsi="宋体" w:cs="宋体"/>
          <w:b/>
          <w:color w:val="auto"/>
          <w:sz w:val="21"/>
          <w:szCs w:val="21"/>
          <w:highlight w:val="none"/>
          <w:lang w:eastAsia="zh-CN"/>
        </w:rPr>
        <w:t>10kV</w:t>
      </w:r>
      <w:r>
        <w:rPr>
          <w:rFonts w:hint="eastAsia" w:ascii="宋体" w:hAnsi="宋体" w:eastAsia="宋体" w:cs="宋体"/>
          <w:b/>
          <w:color w:val="auto"/>
          <w:sz w:val="21"/>
          <w:szCs w:val="21"/>
          <w:highlight w:val="none"/>
        </w:rPr>
        <w:t>母线相连所有断路器。</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 xml:space="preserve"> SVG回路保护功能：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电流速断保护；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两段定时限过流保护；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过负荷保护（报警或跳闸）；</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接地保护(零序过流保护、零序过压报警)；</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三路非电量保护；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 xml:space="preserve"> FC回路保护功能：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1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三相电流限时速断及三相过电流保护；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2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过负荷保护（报警或跳闸）；</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3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接地保护(零序过流保护、零序过压报警)；</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4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过电压保护、欠压保护；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5 \* GB3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不平衡电压保护/不平衡电流保护/差电压保护。</w:t>
      </w:r>
    </w:p>
    <w:p>
      <w:pPr>
        <w:pageBreakBefore w:val="0"/>
        <w:kinsoku/>
        <w:wordWrap/>
        <w:topLinePunct w:val="0"/>
        <w:bidi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所有动作于跳闸/信号的保护均至少给出2组信号接点，用于事件记录和保护故障录波。保护装置故障、电源消失应有报警接点输出。</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4.2.1.2软件基本配置</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220kV变电站</w:t>
      </w:r>
      <w:r>
        <w:rPr>
          <w:rFonts w:hint="eastAsia" w:ascii="宋体" w:hAnsi="宋体" w:eastAsia="宋体" w:cs="宋体"/>
          <w:color w:val="auto"/>
          <w:sz w:val="21"/>
          <w:szCs w:val="21"/>
          <w:highlight w:val="none"/>
        </w:rPr>
        <w:t>计算机监控系统应采用国际上流行的、先进的、标准版本的工业软件，必须为中文版，应为模块化结构、开放性好、可靠成熟、方便适用。用户能对软件系统进行安装和生成。</w:t>
      </w:r>
    </w:p>
    <w:p>
      <w:pPr>
        <w:pageBreakBefore w:val="0"/>
        <w:numPr>
          <w:ilvl w:val="0"/>
          <w:numId w:val="13"/>
        </w:numPr>
        <w:kinsoku/>
        <w:wordWrap/>
        <w:topLinePunct w:val="0"/>
        <w:bidi w:val="0"/>
        <w:spacing w:line="360" w:lineRule="auto"/>
        <w:textAlignment w:val="auto"/>
        <w:rPr>
          <w:rFonts w:hint="eastAsia" w:ascii="宋体" w:hAnsi="宋体" w:eastAsia="宋体" w:cs="宋体"/>
          <w:color w:val="auto"/>
          <w:sz w:val="21"/>
          <w:szCs w:val="21"/>
          <w:highlight w:val="none"/>
        </w:rPr>
      </w:pPr>
      <w:bookmarkStart w:id="80" w:name="_Toc468763626"/>
      <w:bookmarkStart w:id="81" w:name="_Toc468695863"/>
      <w:bookmarkStart w:id="82" w:name="_Toc466356298"/>
      <w:bookmarkStart w:id="83" w:name="_Toc468695363"/>
      <w:r>
        <w:rPr>
          <w:rFonts w:hint="eastAsia" w:ascii="宋体" w:hAnsi="宋体" w:eastAsia="宋体" w:cs="宋体"/>
          <w:color w:val="auto"/>
          <w:sz w:val="21"/>
          <w:szCs w:val="21"/>
          <w:highlight w:val="none"/>
        </w:rPr>
        <w:t>系统软件</w:t>
      </w:r>
      <w:bookmarkEnd w:id="80"/>
      <w:bookmarkEnd w:id="81"/>
      <w:bookmarkEnd w:id="82"/>
      <w:bookmarkEnd w:id="83"/>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站控层各工作站应采用成熟的、开放的多任务操作系统，它包括操作系统、编译系统、诊断系统以及各种软件维护、开发工具等。编译系统应易于与系统支撑软件和应用软件接口，支持多种编程语言。</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间隔层采用符合工业标准的实时操作系统。</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操作系统能防止数据文件丢失或损坏，支持系统生成及用户程序装入，支持虚拟存储，能有效管理多种外部设备。</w:t>
      </w:r>
      <w:bookmarkStart w:id="84" w:name="_Toc468763627"/>
      <w:bookmarkStart w:id="85" w:name="_Toc468695864"/>
      <w:bookmarkStart w:id="86" w:name="_Toc466356299"/>
      <w:bookmarkStart w:id="87" w:name="_Toc468695364"/>
    </w:p>
    <w:p>
      <w:pPr>
        <w:pageBreakBefore w:val="0"/>
        <w:numPr>
          <w:ilvl w:val="0"/>
          <w:numId w:val="13"/>
        </w:numPr>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支撑软件</w:t>
      </w:r>
      <w:bookmarkEnd w:id="84"/>
      <w:bookmarkEnd w:id="85"/>
      <w:bookmarkEnd w:id="86"/>
      <w:bookmarkEnd w:id="87"/>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支撑软件主要包括数据库软件和系统组态软件。</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数据库软件系统应满足下列要求：</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实时性：能对数据库快速访问，在并发操作下也能满足实时功能要求；</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可维护性：应提供数据库维护工具，以便用户在线监视和修改数据库内的各种数据；</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可恢复性：数据库的内容在计算机监控系统的事故消失后，能迅速恢复到事故前的状态；</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并发操作：应允许不同程序（任务）对数据库内的同一数据进行并发访问，要保证在并发方式下数据库的完整性；</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一致性：在任一工作站上对数据库中数据进行修改时，数据库系统应自动对所有工作站中的相关数据同时进行修改，以保证数据的一致性；</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分布性：各间隔层智能监控单元应具有独立执行本地控制所需的全部数据，以便在站控层停运时，能进行就地操作控制；</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方便性：数据库系统应提供交互式和批处理的两种数据库生成工具，以及数据库的转储与装入功能；</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安全性：对数据库的修改，应设置操作权限；</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开放性：允许招标人利用数据库进行二次开发；</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可帮助性：能对数据库快速帮助，在并发操作下也能满足实时帮助功能要求；</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组态软件用于画面编程，数据生成，应满足系统各项功能的要求，为用户提供交互式的、面向对象的、方便灵活的、易于掌握的、多样化的组态工具，应提供一些类似宏命令的编程手段和多种实用函数，以便扩展组态软件的功能。用户能很方便的对图形、曲线、报表、报文进行在线生成、修改。</w:t>
      </w:r>
    </w:p>
    <w:p>
      <w:pPr>
        <w:pageBreakBefore w:val="0"/>
        <w:numPr>
          <w:ilvl w:val="0"/>
          <w:numId w:val="13"/>
        </w:numPr>
        <w:kinsoku/>
        <w:wordWrap/>
        <w:topLinePunct w:val="0"/>
        <w:bidi w:val="0"/>
        <w:spacing w:line="360" w:lineRule="auto"/>
        <w:textAlignment w:val="auto"/>
        <w:rPr>
          <w:rFonts w:hint="eastAsia" w:ascii="宋体" w:hAnsi="宋体" w:eastAsia="宋体" w:cs="宋体"/>
          <w:color w:val="auto"/>
          <w:sz w:val="21"/>
          <w:szCs w:val="21"/>
          <w:highlight w:val="none"/>
        </w:rPr>
      </w:pPr>
      <w:bookmarkStart w:id="88" w:name="_Toc468695865"/>
      <w:bookmarkStart w:id="89" w:name="_Toc466356300"/>
      <w:bookmarkStart w:id="90" w:name="_Toc468695365"/>
      <w:bookmarkStart w:id="91" w:name="_Toc468763628"/>
      <w:r>
        <w:rPr>
          <w:rFonts w:hint="eastAsia" w:ascii="宋体" w:hAnsi="宋体" w:eastAsia="宋体" w:cs="宋体"/>
          <w:color w:val="auto"/>
          <w:sz w:val="21"/>
          <w:szCs w:val="21"/>
          <w:highlight w:val="none"/>
        </w:rPr>
        <w:t>应用软件</w:t>
      </w:r>
      <w:bookmarkEnd w:id="88"/>
      <w:bookmarkEnd w:id="89"/>
      <w:bookmarkEnd w:id="90"/>
      <w:bookmarkEnd w:id="91"/>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用软件应满足本规范书中各项功能要求。模块化结构，具有良好的实时响应速度和可扩充性。具有出错检测能力。当某个应用软件出错时，除有错误信息提示外，不允许影响其它软件的正常运行。应用程序和数据在结构上应互相独立并满足于反措要求。</w:t>
      </w:r>
    </w:p>
    <w:p>
      <w:pPr>
        <w:pageBreakBefore w:val="0"/>
        <w:numPr>
          <w:ilvl w:val="0"/>
          <w:numId w:val="13"/>
        </w:numPr>
        <w:kinsoku/>
        <w:wordWrap/>
        <w:topLinePunct w:val="0"/>
        <w:bidi w:val="0"/>
        <w:spacing w:line="360" w:lineRule="auto"/>
        <w:textAlignment w:val="auto"/>
        <w:rPr>
          <w:rFonts w:hint="eastAsia" w:ascii="宋体" w:hAnsi="宋体" w:eastAsia="宋体" w:cs="宋体"/>
          <w:color w:val="auto"/>
          <w:sz w:val="21"/>
          <w:szCs w:val="21"/>
          <w:highlight w:val="none"/>
        </w:rPr>
      </w:pPr>
      <w:bookmarkStart w:id="92" w:name="_Toc468695366"/>
      <w:bookmarkStart w:id="93" w:name="_Toc466356301"/>
      <w:bookmarkStart w:id="94" w:name="_Toc468695866"/>
      <w:bookmarkStart w:id="95" w:name="_Toc468763629"/>
      <w:r>
        <w:rPr>
          <w:rFonts w:hint="eastAsia" w:ascii="宋体" w:hAnsi="宋体" w:eastAsia="宋体" w:cs="宋体"/>
          <w:color w:val="auto"/>
          <w:sz w:val="21"/>
          <w:szCs w:val="21"/>
          <w:highlight w:val="none"/>
        </w:rPr>
        <w:t>通信接口软件</w:t>
      </w:r>
      <w:bookmarkEnd w:id="92"/>
      <w:bookmarkEnd w:id="93"/>
      <w:bookmarkEnd w:id="94"/>
      <w:bookmarkEnd w:id="95"/>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计算机监控系统有较多的通信接口驱动软件，主要是：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·与微机保护装置的通信接口软件；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·与各级调度中心的通信接口软件；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·与电能计量系统的通信接口软件；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·与安全自动装置的通信接口软件；</w:t>
      </w:r>
    </w:p>
    <w:p>
      <w:pPr>
        <w:pageBreakBefore w:val="0"/>
        <w:kinsoku/>
        <w:wordWrap/>
        <w:topLinePunct w:val="0"/>
        <w:bidi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·与智能交直流一体化电源的通信接口软件；</w:t>
      </w:r>
    </w:p>
    <w:p>
      <w:pPr>
        <w:pageBreakBefore w:val="0"/>
        <w:kinsoku/>
        <w:wordWrap/>
        <w:topLinePunct w:val="0"/>
        <w:bidi w:val="0"/>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·与无功补偿装置的通信接口软件；</w:t>
      </w:r>
    </w:p>
    <w:p>
      <w:pPr>
        <w:pageBreakBefore w:val="0"/>
        <w:kinsoku/>
        <w:wordWrap/>
        <w:topLinePunct w:val="0"/>
        <w:bidi w:val="0"/>
        <w:spacing w:line="360" w:lineRule="auto"/>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与火灾报警及消防系统的接口软件；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·与微机防误操作闭锁装置的通信接口软件；</w:t>
      </w:r>
    </w:p>
    <w:p>
      <w:pPr>
        <w:pageBreakBefore w:val="0"/>
        <w:kinsoku/>
        <w:wordWrap/>
        <w:topLinePunct w:val="0"/>
        <w:bidi w:val="0"/>
        <w:spacing w:line="360" w:lineRule="auto"/>
        <w:ind w:firstLine="425"/>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SF6气体密度及微水测量装置接口软件；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SF6气体泄漏在线监测系统的通信接口接口软件；</w:t>
      </w:r>
    </w:p>
    <w:p>
      <w:pPr>
        <w:pageBreakBefore w:val="0"/>
        <w:kinsoku/>
        <w:wordWrap/>
        <w:topLinePunct w:val="0"/>
        <w:bidi w:val="0"/>
        <w:spacing w:line="360" w:lineRule="auto"/>
        <w:ind w:firstLine="420" w:firstLineChars="20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与远程监控系统数据交互的通信接口软件等；</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计算机监控系统与智能设备的通信规约应执行国标、行标及IEC标准。投标人应完成各种通信规约的转换，使计算机监控系统实时正确地接收和发送数据。</w:t>
      </w:r>
    </w:p>
    <w:p>
      <w:pPr>
        <w:pageBreakBefore w:val="0"/>
        <w:kinsoku/>
        <w:wordWrap/>
        <w:topLinePunct w:val="0"/>
        <w:bidi w:val="0"/>
        <w:spacing w:line="360" w:lineRule="auto"/>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4.2.2 主要功能及技术指标：</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4.2.2.1技术性能：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·具有可编通讯规约功能，信息变化传送功能。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·具有采集、转换、处理模拟量、脉冲量、遥信量，开关量并将其传送的功能。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·具有事件顺序记录并将其传送的功能。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·具有接收和处理遥控命令和遥调命令的功能。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·具有自检自调功能，程序自恢复功能，远方在线诊断和自诊断功能。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·具有遥信量，事件顺序记录的模拟量事故追忆功能。</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4.2.2.2显示功能：</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·主接线图、报表等、可上下、左右移动。</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·显示各回路负荷，开关，刀闸状态，主变档拉、温度。</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·显示模拟量参数表，保护定值表，电流、电压越限定值表，电度量参数表。</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·负荷曲线图：曲线可上、下、左右移动，可显示曲线上指定点数值。</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·电压棒图：可自行定义</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等各级电压，并在棒图的下方有当前值显示。</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·事故、故障列表显示，事故、故障部位元件闪烁。</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·事故追忆显示：可显示事故前5分钟，事故后10分钟的相关电压、电流、有功、无功等四个量，记录密度为一分钟一次。</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·报文显示：可监视监控计算机与网络接口之间的通讯报文。</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·具有人机对话功能，通过键盘、鼠标等多种方式灵活调用各种画面，并有屏幕拷贝功能，可随时将屏幕显示的内容拷贝到打印机上。</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·能显示越限报警，在系统发生事故或设备工况异常时，能自动推出相应画面。对应的事故、故障设备图形闪烁，并伴有能区别事故，故障的预告音响和语音告警。</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·具有汉字显示功能。</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4.2.2.3打印功能</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·打印格式或记录用户可自定义。</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·定时打印</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24小时日负荷报表（负荷总加）的定时打印（可设定打印时间）；</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24小时负荷曲线的定时打印（可设定打印时间）；</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电能日报，电能月报的定时打印（可设定打印时间）。</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·召唤打印</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画面拷贝</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运行月报</w:t>
      </w:r>
    </w:p>
    <w:p>
      <w:pPr>
        <w:pageBreakBefore w:val="0"/>
        <w:kinsoku/>
        <w:wordWrap/>
        <w:topLinePunct w:val="0"/>
        <w:bidi w:val="0"/>
        <w:spacing w:line="360"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对历史数据库中任一天（一个月内）任一个月数据进行回顾打印。</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·事故打印，异常事故打印。</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各电压等级设备的保护装置动作时自动打印事故报告的功能，并在后台打印机打印保护装置本身反映的事故报文。</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·随机打印</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·具有汉字打印功能。</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4.2.2.4控制功能</w:t>
      </w:r>
    </w:p>
    <w:p>
      <w:pPr>
        <w:pageBreakBefore w:val="0"/>
        <w:kinsoku/>
        <w:wordWrap/>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a）监控系统控制操作应包括自动调节控制和人工控制操作两种。</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1.自动调节控制</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调节控制，由站内操作员站或远方控制中心设定其是否采用。它可以由运行人员投入/退出，而不影响正常运行。在自动控制过程中，程序遇到任何软、硬件故障均应输出报警信息，停止控制操作，并保持所控设备的状态。</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节控制操作正常执行或操作异常时均应产生控制操作报告。正常执行的报告内容有：操作前的控制目标值、操作时间及操作内容、操作后的控制目标值。控制操作异常的报告内容有：操作时间、操作内容、引起异常的原因、要否由操作员进行人工处理等。另外，当控制功能被停止或起动时也应产生报告。上述几种报告均应打印输出。</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2.人工操作控制</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操作员可对需要控制的电气设备进行控制操作。监控系统应具有操作监护功能，允许监护人员在操作员站上实施监护，避免误操作。</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站内操作控制分为四级：</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第一级控制，设备就地检修控制。具有最高优先级的控制权。当操作人员将就地设备的远方/就地切换开关放在就地位置时，将闭锁所有其他控功能，只能进行现场操作。</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第二级控制，间隔层后备控制。其与第三级控制的切换在间隔层完成。</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第三级控制，站控层控制。该级控制在操作员站上完成，具有调度中心/站内主控层的切换。</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第四级控制，为调度/集控站控制，优先级最低。</w:t>
      </w:r>
    </w:p>
    <w:p>
      <w:pPr>
        <w:pStyle w:val="160"/>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原则上间隔层和设备层只作为后备操作或检修操作手段。为防止误操作，在任何控制方式下都需采用分步操作，即选择、返校、执行，并在站级层设置操作员、监护员口令及线路代码，以确保操作的安全性和正确性。对任何操作方式，应保证只有在上一次操作步骤完成后，才能进行下一步操作。同一时间只允许一种控制方式有效。</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纳入控制的设备主要有：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断路器；</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隔离开关及带电动机构的接地开关；</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·站用电380V进线断路器、分段断路器；</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·主变有载分接开关，有载调压急升、降、停操作；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·保护装置的远方复归及远方投退连接片；</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·交直流一体化电源系统（通过串行口/网口与后台机交换信息）：电源屏模块开/关机操作；电源屏系统均/浮充转换操作；电源屏模块限流点调节操作；电源屏模块输出电压调节操作；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·无功补偿设备；</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4.2.2.5历史数据</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·日报数据保留一个月，月报数据保留一年。</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·对历史数据进行日、月检索，并具备对历史数据库的数据进行操作，复制备份功能。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·对任一数据进行日、月统计，并指明该数据在该日的最大值，最小值以及出现的时间。该数据在某月的最大值，最小值、平均值。</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·保留告警事件 （开关变位、线路越限，保护告警）。</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·对历史数据库中一个月内的日报数据可进行回顾打印。</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·对历史数据库中一年内的月报数据可进行回顾打印。</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·保护动作情况数据保留半年，且能回顾打印。</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·对历史数据库中的日、月、年数据可进行修改。</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4.2.2.6告警功能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·开关变位：遥控、手动跳闸不发音响，事故跳闸、音响及画面闪烁提示，并在报警框有汉字提示开关的名称以及当前变位状态。</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·越限：音响及画面闪烁提示，并在提示框显示当前越限值和越限给定值。</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·保护动作与告警：提示框显示相应的告警内容。对于开关变位，电流、电压、周波越限、保护动作、操作告警，除了推出告警语句外，还指明对象、性质，同时音响和语音提示，打印机记录相应的告警事件。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·其他异常：音响及画面闪烁提示，并在提示框显示此信息的名称、性质和状态。</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4.2.2.7后台信号及音响</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监控系统设置事故总信号和预告总信号，且可分别启动。设置事故音响和预告音响，具有电笛铃和语音提示功能。所有信号能重复动作，既可手动复归，又可电动复归(当地及远方)，且可将中央音响信号退出。当发生事故使开关跳闸后，发生事故音响；当发生预告音响，并在屏幕上显示信号类型。</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4.2.2.8 实时数据采集与安全监测</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通过显示器显示</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主接线图，各回路的颜色满足有关规定：</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画面显示各断路器及隔离开关、接地刀(包括主变中性点及母线PT)位置状态，各母线电压，各线路及主变的电流、功率和电能，主变油温，系统频率，主变有载调压分接开关档位。</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种开关状态及动态数据实时显示，系统日期与系统时钟，主变及线路的负荷与电流监测，断路器、隔离开关状态监视，变位发声光信号，开关就地/远方切换信号，用表格显示实时及整点数据，用棒图、曲线形式显示电压、负荷等模拟量，对电压电流等进行越限监测与告警，报警并自动更换事故信号画面，提供各种数值计算功能，并可整点存储有关数据。</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1）运行记录</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·电力系统异常记录：有关开关状态变位记录，事故追忆信息及事件顺序。各种测量的越限记录，正在发生或已经恢复的遥测量在各种异常状态下的时间记录。</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·电力系统异常记录(保留历史记录3个月，提供数据转储功能，并召唤打印)；有各种日、月报记录表和整点记录存表。</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·自动化系统设备运行状态记录。</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·事故、故障、操作、月诊断、模拟量越限一览表</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·统计曲线表。</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·电能计量：采用多功能电能表记录各回路的电能量，并可由计算机对其进行统计；当交流断电时，可进行72小时以上连续读数，对电能量可按峰、谷、平、时段分时累计。</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2）控制操作：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可实现对各断路器、隔离开关、接地开关和主变中性点隔离开关分合闸控制。</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断路器可在调度主站端、站内工作站、保护装置上的设置键、保护装置上的转换开关进行控制。各控制操作方式可相互闭锁，即同一时间只执行一个控制指令。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3）实时遥测、遥信、功率总加值，电能累加值。</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4.2.2.9计算功能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·功率总加、电能总加计算。</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·母线电量及功率平衡计算。</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·24小时遥测量最大值、量小值，月最大值、月最小值，月平均值。</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·日、月、年负荷率计算，功率因数计算。</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·电压合格率计算。</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·其他辅助计算等。</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4.2.2.10远动功能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·可与上级调度进行远动通信，实现“四遥”功能。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·远动通信应满足调度端所要求的通信规约（部颁CDT，Polling标准规约等）。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·可与微机保护进行数据通信，实现远方修改和查看保护定值功能。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·可接受上级时钟或标准时钟进行对时。</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4.2.2.11在线维修功能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·各种类型的画面报表在线编辑功能。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·数据库部分内容的在线修改。</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·部分运行参数及限额的在线设置，状态的修改。</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bookmarkStart w:id="96" w:name="_Toc260299367"/>
      <w:bookmarkStart w:id="97" w:name="_Toc260307467"/>
      <w:bookmarkStart w:id="98" w:name="_Toc260732687"/>
      <w:bookmarkStart w:id="99" w:name="_Toc260407665"/>
      <w:r>
        <w:rPr>
          <w:rFonts w:hint="eastAsia" w:ascii="宋体" w:hAnsi="宋体" w:eastAsia="宋体" w:cs="宋体"/>
          <w:color w:val="auto"/>
          <w:sz w:val="21"/>
          <w:szCs w:val="21"/>
          <w:highlight w:val="none"/>
        </w:rPr>
        <w:t>4.2.2.12人机界面</w:t>
      </w:r>
      <w:bookmarkEnd w:id="96"/>
      <w:bookmarkEnd w:id="97"/>
      <w:bookmarkEnd w:id="98"/>
      <w:bookmarkEnd w:id="99"/>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·人工随机调出画面，启动报表打印。</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·对一个遥测、遥信量或全部进行抑制告警或恢复告警。</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·非遥测、遥信量的人工输入。</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·在线生成、修改或各种报表及画面。</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·生成、修改数据库、动态生成曲线和棒图。</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·在线拷贝画面。</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·画面区域的放大、缩小功能。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·人机操作方式有鼠标、键盘，功能键。操作菜单全部汉化，汉字字体，尺寸多样化。</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·打印不影响主机工作。</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bookmarkStart w:id="100" w:name="_Toc485133702"/>
      <w:bookmarkStart w:id="101" w:name="_Toc485133993"/>
      <w:bookmarkStart w:id="102" w:name="_Toc499430213"/>
      <w:bookmarkStart w:id="103" w:name="_Toc483899329"/>
      <w:bookmarkStart w:id="104" w:name="_Toc485135060"/>
      <w:r>
        <w:rPr>
          <w:rFonts w:hint="eastAsia" w:ascii="宋体" w:hAnsi="宋体" w:eastAsia="宋体" w:cs="宋体"/>
          <w:color w:val="auto"/>
          <w:sz w:val="21"/>
          <w:szCs w:val="21"/>
          <w:highlight w:val="none"/>
        </w:rPr>
        <w:t>4.2.2.13 系统自诊断与自恢复</w:t>
      </w:r>
      <w:bookmarkEnd w:id="100"/>
      <w:bookmarkEnd w:id="101"/>
      <w:bookmarkEnd w:id="102"/>
      <w:bookmarkEnd w:id="103"/>
      <w:bookmarkEnd w:id="104"/>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计算机监控系统能在线诊断各软件和硬件的运行工况，当发现异常及故障时能及时显示和打印报警信息，并在运行工况图上用不同颜色区分显示。对于间隔层设备的在线诊断应至电路板级。  </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1）自诊断的内容包括：</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·站控层设备、测控单元、I/O采集模件等的故障；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·外部设备故障；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·电源故障；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·系统时钟同步故障；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·网络通信及接口设备故障；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·软件运行异常和故障；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·与远方调度中心数据通讯故障；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·远动通道故障；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·网控状态监视。</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2）设备自恢复的内容包括：</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·当软件运行异常时，自动恢复正常运行。</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·当软件发生死锁时，自启动并恢复正常运行。</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·当设备有冗余配置时，在线设备发生软、硬件故障时，能自动切换到备用设备上运行。双机切换从开始至功能恢复时间不大于30s。当出现供电电源故障后，电源重新恢复时主机能自动地重新启动。</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此外，系统应具有便于试验和隔离故障的断开点。可通过公共电话网由投标人对系统进行远程维护。对于间隔层的测控单元，可通过便携式计算机对其进行维护。</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bookmarkStart w:id="105" w:name="_Toc485133994"/>
      <w:bookmarkStart w:id="106" w:name="_Toc485135061"/>
      <w:bookmarkStart w:id="107" w:name="_Toc483899330"/>
      <w:bookmarkStart w:id="108" w:name="_Toc499430214"/>
      <w:bookmarkStart w:id="109" w:name="_Toc485133703"/>
      <w:r>
        <w:rPr>
          <w:rFonts w:hint="eastAsia" w:ascii="宋体" w:hAnsi="宋体" w:eastAsia="宋体" w:cs="宋体"/>
          <w:color w:val="auto"/>
          <w:sz w:val="21"/>
          <w:szCs w:val="21"/>
          <w:highlight w:val="none"/>
        </w:rPr>
        <w:t>4.2.2.14 与其它设备接口</w:t>
      </w:r>
      <w:bookmarkEnd w:id="105"/>
      <w:bookmarkEnd w:id="106"/>
      <w:bookmarkEnd w:id="107"/>
      <w:bookmarkEnd w:id="108"/>
      <w:bookmarkEnd w:id="109"/>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1）与微机保护、安全自动装置的接口</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继电保护及安全自动装置动作信号，按下列方式接入计算机监控系统：</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对于集成电路的继电保护装置，信号接点以硬接线方式接入计算机监控系统的测控单元。</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对于微机保护及安全自动装置，接入方式如下：</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·具有上网能力的保护可直接上网；</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·通过串行口连接，经通信协议转换单元上网；</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·对于反映事故性质的保护出口总信号、保护装置自身故障以及故障录波系统故障等信号应以硬接点方式接入测控单元。</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计算机监控系统应能收集保护的事件记录及报警信息，查看和设定及修改保护定值，设定信号复归及投/退保护，并校时等。计算机监控系统与微机保护的通信规约推荐使用IEC61850、DL/T 667-1999(idt IEC60870-5-103)规约，投标人应确保与微机保护和安全自动装置的联调成功。保护装置的投入/退出设置软压板，控制软压板（改变控制字）确定保护是否使用。并预留与故障信息子站的通信接口。</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2）与电能计量系统的接口</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计算机监控系统应能与电能计量系统接口，通信规约推荐使用IEC870-5-102规约及DL/T 719-2000规约，计算机监控系统供货商应保证与电能计量系统通信成功。</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4）与远程监控系统的接口</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监控系统应具备与远程监控系统的接口功能，能够实现数据信息交互。满足远程集控的运行模式要求。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5）与其它智能设备的接口</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计算机监控系统应具有与下列各智能设备接口的能力：</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·站用交直流一体化电源系统；</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·无功补偿设备；</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·火灾报警及消防系统；</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·生活水泵、污水处理装置控制器；</w:t>
      </w:r>
    </w:p>
    <w:p>
      <w:pPr>
        <w:pageBreakBefore w:val="0"/>
        <w:kinsoku/>
        <w:wordWrap/>
        <w:topLinePunct w:val="0"/>
        <w:bidi w:val="0"/>
        <w:spacing w:line="360" w:lineRule="auto"/>
        <w:ind w:firstLine="425"/>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SF6气体密度及微水测量装置；</w:t>
      </w:r>
    </w:p>
    <w:p>
      <w:pPr>
        <w:pageBreakBefore w:val="0"/>
        <w:kinsoku/>
        <w:wordWrap/>
        <w:topLinePunct w:val="0"/>
        <w:bidi w:val="0"/>
        <w:spacing w:line="360" w:lineRule="auto"/>
        <w:ind w:firstLine="425"/>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SF6气体泄漏在线监测系统的通信接口；</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·与微机防误操作闭锁装置的通信接口；</w:t>
      </w:r>
    </w:p>
    <w:p>
      <w:pPr>
        <w:pageBreakBefore w:val="0"/>
        <w:kinsoku/>
        <w:wordWrap/>
        <w:topLinePunct w:val="0"/>
        <w:bidi w:val="0"/>
        <w:spacing w:line="360" w:lineRule="auto"/>
        <w:ind w:firstLine="425"/>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与远程监控系统数据交互的通信接口；</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·视频安防监控系统。</w:t>
      </w:r>
    </w:p>
    <w:p>
      <w:pPr>
        <w:pageBreakBefore w:val="0"/>
        <w:kinsoku/>
        <w:wordWrap/>
        <w:topLinePunct w:val="0"/>
        <w:bidi w:val="0"/>
        <w:spacing w:line="360" w:lineRule="auto"/>
        <w:ind w:firstLine="4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投标人应保证与这些设备通信联调成功，应当保证数据的一致性，功能的完整性，并将接收到的数据进行处理，排序，按应用功能要求，存储到实时数据库或历史数据库中，供调用。</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bookmarkStart w:id="110" w:name="_Toc499430215"/>
      <w:bookmarkStart w:id="111" w:name="_Toc485133995"/>
      <w:bookmarkStart w:id="112" w:name="_Toc483899331"/>
      <w:bookmarkStart w:id="113" w:name="_Toc485133704"/>
      <w:bookmarkStart w:id="114" w:name="_Toc485135062"/>
      <w:r>
        <w:rPr>
          <w:rFonts w:hint="eastAsia" w:ascii="宋体" w:hAnsi="宋体" w:eastAsia="宋体" w:cs="宋体"/>
          <w:color w:val="auto"/>
          <w:sz w:val="21"/>
          <w:szCs w:val="21"/>
          <w:highlight w:val="none"/>
        </w:rPr>
        <w:t>4.2.2.15运行管理功能</w:t>
      </w:r>
      <w:bookmarkEnd w:id="110"/>
      <w:bookmarkEnd w:id="111"/>
      <w:bookmarkEnd w:id="112"/>
      <w:bookmarkEnd w:id="113"/>
      <w:bookmarkEnd w:id="114"/>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计算机监控系统根据运行要求，可实现如下各种管理功能：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·运行操作指导：对典型的设备异常/事故提出指导性的处理意见，编制设备运行技术统计表，并推出相应的操作指导画面；</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·事故分析检索：对突发事件所产生的大量报警信号进行分类检索和相关分析，对典型事故宜直接推出事故指导画面；</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·在线设备分析：对主要设备的运行记录和历史记录数据进行分析，提出设备安全运行报告和检修计划；</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·操作票：根据运行要求开列操作票；（注：也可由微机防误系统开列操作票）；</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·模拟操作：提供电气一次系统及二次系统有关布置、接线、运行、维护及电气操作前的实际预演，通过相应的操作画面对运行人员进行操作培训。</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 xml:space="preserve">其它日常管理，如操作票、工作票管理，运行记录及交接班记录管理，设备运行状态、缺陷、维修记录管理、规章制度等。 </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·管理功能应满足用户要求，适用、方便、资源共享。各种文档能存储、检索、编辑、显示、打印。</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bookmarkStart w:id="115" w:name="_Toc260299368"/>
      <w:r>
        <w:rPr>
          <w:rFonts w:hint="eastAsia" w:ascii="宋体" w:hAnsi="宋体" w:eastAsia="宋体" w:cs="宋体"/>
          <w:color w:val="auto"/>
          <w:sz w:val="21"/>
          <w:szCs w:val="21"/>
          <w:highlight w:val="none"/>
        </w:rPr>
        <w:t>4.2.2.16</w:t>
      </w:r>
      <w:bookmarkEnd w:id="115"/>
      <w:r>
        <w:rPr>
          <w:rFonts w:hint="eastAsia" w:ascii="宋体" w:hAnsi="宋体" w:eastAsia="宋体" w:cs="宋体"/>
          <w:color w:val="auto"/>
          <w:sz w:val="21"/>
          <w:szCs w:val="21"/>
          <w:highlight w:val="none"/>
        </w:rPr>
        <w:t>监控信息</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116" w:name="_Toc260732690"/>
      <w:bookmarkStart w:id="117" w:name="_Toc260407668"/>
      <w:bookmarkStart w:id="118" w:name="_Toc260307470"/>
      <w:bookmarkStart w:id="119" w:name="_Toc260299371"/>
      <w:r>
        <w:rPr>
          <w:rFonts w:hint="eastAsia" w:ascii="宋体" w:hAnsi="宋体" w:eastAsia="宋体" w:cs="宋体"/>
          <w:color w:val="auto"/>
          <w:sz w:val="21"/>
          <w:szCs w:val="21"/>
          <w:highlight w:val="none"/>
        </w:rPr>
        <w:t>·主变压器</w:t>
      </w:r>
      <w:bookmarkEnd w:id="116"/>
      <w:bookmarkEnd w:id="117"/>
      <w:bookmarkEnd w:id="118"/>
      <w:bookmarkEnd w:id="119"/>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模拟量、信号量：</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高压侧：有功功率、无功功率、三相电流、有功、无功电量，功率因数，断路器、隔离开关及接地开关状态量、GIS气室SF6气体密度信号、保护动作信号、整定值等。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低压侧：有功功率、无功无率、三相电流、有功、无功电量，断路器状态量，隔离开关状态量、保护动作信号、整定值等。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中性点：零序电流、间隙零序电流、接地开关位置状态量等。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主变油温、绕组温度、油位、瓦斯信号等。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开关量：</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高压侧：断路器控制，隔离开关控制，接地开关、主变中性点刀闸控制，保护定值修改等。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低压侧：断路器控制，保护定值修改等。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有载调压变压器调压（有载调压控制：升压、降压、急停，分接头档位显示）。</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120" w:name="_Toc260307471"/>
      <w:bookmarkStart w:id="121" w:name="_Toc260732691"/>
      <w:bookmarkStart w:id="122" w:name="_Toc260407669"/>
      <w:bookmarkStart w:id="123" w:name="_Toc260299372"/>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出线（2回）</w:t>
      </w:r>
      <w:bookmarkEnd w:id="120"/>
      <w:bookmarkEnd w:id="121"/>
      <w:bookmarkEnd w:id="122"/>
      <w:bookmarkEnd w:id="123"/>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模拟量：A、B、C相电流、有功功率、无功功率和有功、无功电量等。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信号量：断路器状态、接地开关状态、保护动作信号、保护定值量、机构动作信号、弹簧机构储能信号、GIS气室SF6气体密度信号等。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开关量：断路器控制、隔离开关控制、保护定值修改等。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124" w:name="_Toc260299374"/>
      <w:bookmarkStart w:id="125" w:name="_Toc260307472"/>
      <w:bookmarkStart w:id="126" w:name="_Toc260732692"/>
      <w:bookmarkStart w:id="127" w:name="_Toc260407670"/>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进线（3回）</w:t>
      </w:r>
      <w:bookmarkEnd w:id="124"/>
      <w:bookmarkEnd w:id="125"/>
      <w:bookmarkEnd w:id="126"/>
      <w:bookmarkEnd w:id="127"/>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模拟量：A、B、C相电流、有功功率、无功功率和有功、无功电量等。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信号量：断路器状态、接地刀状态、保护动作信号、保护定值量、机构动作信号、弹簧机构储能信号等。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开关量：断路器控制、保护定值修改等。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128" w:name="_Toc260407672"/>
      <w:bookmarkStart w:id="129" w:name="_Toc260732694"/>
      <w:bookmarkStart w:id="130" w:name="_Toc260299376"/>
      <w:bookmarkStart w:id="131" w:name="_Toc260307474"/>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无功补偿设备（2回）</w:t>
      </w:r>
      <w:bookmarkEnd w:id="128"/>
      <w:bookmarkEnd w:id="129"/>
      <w:bookmarkEnd w:id="130"/>
      <w:bookmarkEnd w:id="131"/>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模拟量：A、B、C相电流、有功功率、无功功率和有功、无功电量。</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信号量：断路器状态、接地刀状态、保护动作信号、保护定值量、机构动作信号、弹簧机构储能信号，无功补偿设备状态信号等。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开关量：断路器控制、保护定值修改等。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接地变兼站用变（1台）</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模拟量：A、B、C相电流、有功功率、无功功率和有功、无功电量等。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信号量：断路器状态、接地刀状态、保护动作信号、保护定值量、机构动作信号、弹簧机构储能信号等。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开关量：断路器控制、保护定值修改、高温报警、超温跳闸等。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132" w:name="_Toc260732696"/>
      <w:bookmarkStart w:id="133" w:name="_Toc260307476"/>
      <w:bookmarkStart w:id="134" w:name="_Toc260407674"/>
      <w:r>
        <w:rPr>
          <w:rFonts w:hint="eastAsia" w:ascii="宋体" w:hAnsi="宋体" w:eastAsia="宋体" w:cs="宋体"/>
          <w:color w:val="auto"/>
          <w:sz w:val="21"/>
          <w:szCs w:val="21"/>
          <w:highlight w:val="none"/>
        </w:rPr>
        <w:t>·柴油发电机（1台）</w:t>
      </w:r>
      <w:bookmarkEnd w:id="132"/>
      <w:bookmarkEnd w:id="133"/>
      <w:bookmarkEnd w:id="134"/>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模拟量：A、B、C相电流、有功功率、无功功率和有功、无功电量等。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信号量：断路器状态、保护动作信号、保护定值量、机构动作信号、弹簧机构储能信号等。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开关量：断路器控制、保护定值修改、高温报警、超温跳闸等。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135" w:name="_Toc260407675"/>
      <w:bookmarkStart w:id="136" w:name="_Toc260307477"/>
      <w:bookmarkStart w:id="137" w:name="_Toc260732697"/>
      <w:bookmarkStart w:id="138" w:name="_Toc260299378"/>
      <w:r>
        <w:rPr>
          <w:rFonts w:hint="eastAsia" w:ascii="宋体" w:hAnsi="宋体" w:eastAsia="宋体" w:cs="宋体"/>
          <w:color w:val="auto"/>
          <w:sz w:val="21"/>
          <w:szCs w:val="21"/>
          <w:highlight w:val="none"/>
        </w:rPr>
        <w:t>·母线、线路电压</w:t>
      </w:r>
      <w:bookmarkEnd w:id="135"/>
      <w:bookmarkEnd w:id="136"/>
      <w:bookmarkEnd w:id="137"/>
      <w:bookmarkEnd w:id="138"/>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模拟量、信号量：UA、UB、UC、U0、Hz。</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220kV</w:t>
      </w:r>
      <w:r>
        <w:rPr>
          <w:rFonts w:hint="eastAsia" w:ascii="宋体" w:hAnsi="宋体" w:eastAsia="宋体" w:cs="宋体"/>
          <w:color w:val="auto"/>
          <w:sz w:val="21"/>
          <w:szCs w:val="21"/>
          <w:highlight w:val="none"/>
        </w:rPr>
        <w:t>电压互感器：电压互感器刀闸位置、计量回路消失信号。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10kV</w:t>
      </w:r>
      <w:r>
        <w:rPr>
          <w:rFonts w:hint="eastAsia" w:ascii="宋体" w:hAnsi="宋体" w:eastAsia="宋体" w:cs="宋体"/>
          <w:color w:val="auto"/>
          <w:sz w:val="21"/>
          <w:szCs w:val="21"/>
          <w:highlight w:val="none"/>
        </w:rPr>
        <w:t>电压互感器：电压互感器刀闸位置、计量回路消失信号。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139" w:name="_Toc260299379"/>
      <w:bookmarkStart w:id="140" w:name="_Toc260307478"/>
      <w:bookmarkStart w:id="141" w:name="_Toc260407676"/>
      <w:bookmarkStart w:id="142" w:name="_Toc260732698"/>
      <w:r>
        <w:rPr>
          <w:rFonts w:hint="eastAsia" w:ascii="宋体" w:hAnsi="宋体" w:eastAsia="宋体" w:cs="宋体"/>
          <w:color w:val="auto"/>
          <w:sz w:val="21"/>
          <w:szCs w:val="21"/>
          <w:highlight w:val="none"/>
        </w:rPr>
        <w:t>·其他遥测、遥信量：</w:t>
      </w:r>
      <w:bookmarkEnd w:id="139"/>
      <w:bookmarkEnd w:id="140"/>
      <w:bookmarkEnd w:id="141"/>
      <w:bookmarkEnd w:id="142"/>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全站事故总信号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控制回路断线总信号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综合自动化设备遥控电源消失信号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综合自动化设备通信故障信号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直流系统模拟量：直流母线电压，直流母线电流，蓄电池组回路电压，蓄电池组回路电流，充电装置输出电压，充电装置输出电流。</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直流电源故障信号：充电装置异常信号，蓄电池组熔断器熔断信号，直流母线电压异常信号，直流系统绝缘降低信号，交流电源故障信号，遥控转为当地控制信号等。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bookmarkStart w:id="143" w:name="_Toc260298504"/>
      <w:bookmarkStart w:id="144" w:name="_Toc260299380"/>
      <w:bookmarkStart w:id="145" w:name="_Toc260307479"/>
      <w:r>
        <w:rPr>
          <w:rFonts w:hint="eastAsia" w:ascii="宋体" w:hAnsi="宋体" w:eastAsia="宋体" w:cs="宋体"/>
          <w:color w:val="auto"/>
          <w:sz w:val="21"/>
          <w:szCs w:val="21"/>
          <w:highlight w:val="none"/>
        </w:rPr>
        <w:t>UPS电源系统遥测、遥信量：交流输出电压，电流，频率；UPS电源主机故障信号等。</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4.2.2.17核心系统防护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为保证主机/服务器重要的数据和文件不被更改、删除、非法拷贝；关键业务、进程不被非法停止，根据国家发改委令2014年第14号《电力监控系统安全防护规定》及国能安全[2015]36号 《国家能源局关于印发电力监控系统安全防护总体方案等安全防护方案和评估规范的通知》的要求，生产控制大区主机操作系统应进行安全加固。加固方式包括：安全配置、安全补丁、采用专用软件强化操作系统访问控制能力、以及配置安全的应有程序。</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系统防护软件在操作系统的安全功能之上提供了一个安全保护层，通过从内核层截取文件访问控制方式，提高操作系统的安全等级。即使一个未经授权的入侵者获得系统管理员权限，也不能对系统及数据进行窃取或篡改，从而在根本上防止由于操作系统自身缺陷所造成的入侵。 </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核心系统防护软件技术要求如下：</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   提供公安部颁发的具备国家安全操作系统第四级要求的测评报告和计算机信息系统安全专用产品访问控制类主机防护销售许可证；</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   通过国家电网安全实验室测评，并提供测评报告；</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   具有跨平台功能，可运行于UNIX，WINDOWS等多种平台；</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   安装和卸载容易，安装不修改操作系统内核，不需重启系统，卸载后系统可完全恢复到安装前的状态，系统断电重启时仍能保持原有安全设置；</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   运行开销小，且对正常用户透明；</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f)   支持基于数字签名的强身份认证，接管系统原有的访问控制权限机制，允许对用户操作权限进行细致划分，有效控制每个用户所使用的资源，消除超级用户权限过大带来的安全隐患；</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   提供进程保护功能，防止重要进程被意外终止，以保障关键性服务程序的稳定运行；</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   提供堆栈溢出保护功能，以抵御常见的缓冲区溢出攻击；</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   支持对网络数据流量的双向过滤；</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   提供主机防火墙，具有独立的s-numen日志系统，并提供查询和审计工具；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k)   具有主机IPS功能，能够识别入侵行为或违反安全策略的操作，并自动做出阻断、报警等响应；</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   提供口令质量控制功能，可以限制口令的最大最小长度、特殊字符的最少数量、口令使用期限等属性；</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   支持远程集中管理，可以通过远程控制台对安装了内核防护系统的主机进行统一的管理和配置，并提供远程控制台的全套软件运行环境； </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n)   界面友好，易于安装、配置和管理，并有详尽的技术文档，所有文档资料均为中文；</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o)   在</w:t>
      </w:r>
      <w:r>
        <w:rPr>
          <w:rFonts w:hint="eastAsia" w:ascii="宋体" w:hAnsi="宋体" w:cs="宋体"/>
          <w:color w:val="auto"/>
          <w:sz w:val="21"/>
          <w:szCs w:val="21"/>
          <w:highlight w:val="none"/>
          <w:lang w:val="en-US" w:eastAsia="zh-CN"/>
        </w:rPr>
        <w:t>贵州</w:t>
      </w:r>
      <w:r>
        <w:rPr>
          <w:rFonts w:hint="eastAsia" w:ascii="宋体" w:hAnsi="宋体" w:eastAsia="宋体" w:cs="宋体"/>
          <w:color w:val="auto"/>
          <w:sz w:val="21"/>
          <w:szCs w:val="21"/>
          <w:highlight w:val="none"/>
        </w:rPr>
        <w:t>省调、地调及集控项目中都有平稳运行三年以上的成功案例，并提供用户安装单；</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p)   投标商需提供原厂商授权函和原厂商服务承诺函。</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4.2.2.18安全审计</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生产控制大区应具有安全审计功能，可以对网络运行日志、操作系统运行日志、数据库重要操作日志、业务应用系统运行日志、安全设施运行日志等进行集中收集、自动分析、及时发现各种违规行为以及病毒和黑客的攻击行为。</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4.2.2.19运行环境</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额定电源：AC：220V(185~240V)，50Hz(47.5~52.5Hz)</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DC：220V(160~400V)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相对湿度；≤90%</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温度：2.0℃～38.3℃</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直流操作电源：DC220V</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电流互感器二次额定电流：</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A</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电压互感器二次电压：100V/√3（相电压），100V（零序电压）</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特殊量输入：4～20mA，DC 0～250V，AC 0～450V。</w:t>
      </w:r>
    </w:p>
    <w:bookmarkEnd w:id="143"/>
    <w:bookmarkEnd w:id="144"/>
    <w:bookmarkEnd w:id="145"/>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146" w:name="_Toc1981"/>
      <w:r>
        <w:rPr>
          <w:rFonts w:hint="eastAsia" w:ascii="宋体" w:hAnsi="宋体" w:eastAsia="宋体" w:cs="宋体"/>
          <w:b/>
          <w:bCs/>
          <w:snapToGrid w:val="0"/>
          <w:color w:val="auto"/>
          <w:kern w:val="0"/>
          <w:sz w:val="21"/>
          <w:szCs w:val="21"/>
          <w:highlight w:val="none"/>
        </w:rPr>
        <w:t>5. 屏体要求</w:t>
      </w:r>
      <w:bookmarkEnd w:id="146"/>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47" w:name="_Toc18149"/>
      <w:r>
        <w:rPr>
          <w:rFonts w:hint="eastAsia" w:ascii="宋体" w:hAnsi="宋体" w:eastAsia="宋体" w:cs="宋体"/>
          <w:bCs w:val="0"/>
          <w:iCs/>
          <w:snapToGrid w:val="0"/>
          <w:color w:val="auto"/>
          <w:kern w:val="0"/>
          <w:sz w:val="21"/>
          <w:szCs w:val="21"/>
          <w:highlight w:val="none"/>
          <w:lang w:bidi="en-US"/>
        </w:rPr>
        <w:t>5.1 结构</w:t>
      </w:r>
      <w:bookmarkEnd w:id="147"/>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屏体结构为屏前单开门、屏后双开门，柜门采用内嵌式，面向屏柜正面，门轴在右，门把手在左。外型尺寸高2260mm、宽800mm、深600mm。防护等级不小于IP32等级，屏体应具有钢底座、顶板和侧板。屏内装有用于检查和维护的照明灯，照明回路采用手动开关，不采用门控接点，手动开关不应与其它交、直流电源开关安装在同一排。屏体下部装设不小于100mm</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的二次等电位接地铜排和保护接地铜排。</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48" w:name="_Toc4072"/>
      <w:r>
        <w:rPr>
          <w:rFonts w:hint="eastAsia" w:ascii="宋体" w:hAnsi="宋体" w:eastAsia="宋体" w:cs="宋体"/>
          <w:bCs w:val="0"/>
          <w:iCs/>
          <w:snapToGrid w:val="0"/>
          <w:color w:val="auto"/>
          <w:kern w:val="0"/>
          <w:sz w:val="21"/>
          <w:szCs w:val="21"/>
          <w:highlight w:val="none"/>
          <w:lang w:bidi="en-US"/>
        </w:rPr>
        <w:t>5.2 喷漆</w:t>
      </w:r>
      <w:bookmarkEnd w:id="148"/>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屏体采用静电粉末喷涂，喷涂后在机械振动以及热和油的作用下均不会出现划痕或变软。喷涂的颜色：RAL7035。</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49" w:name="_Toc3100"/>
      <w:r>
        <w:rPr>
          <w:rFonts w:hint="eastAsia" w:ascii="宋体" w:hAnsi="宋体" w:eastAsia="宋体" w:cs="宋体"/>
          <w:bCs w:val="0"/>
          <w:iCs/>
          <w:snapToGrid w:val="0"/>
          <w:color w:val="auto"/>
          <w:kern w:val="0"/>
          <w:sz w:val="21"/>
          <w:szCs w:val="21"/>
          <w:highlight w:val="none"/>
          <w:lang w:bidi="en-US"/>
        </w:rPr>
        <w:t>5.3 直流电源、自动开关配置及保护用直流电源</w:t>
      </w:r>
      <w:bookmarkEnd w:id="149"/>
    </w:p>
    <w:p>
      <w:pPr>
        <w:pageBreakBefore w:val="0"/>
        <w:numPr>
          <w:ilvl w:val="0"/>
          <w:numId w:val="14"/>
        </w:numPr>
        <w:kinsoku/>
        <w:wordWrap/>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直流电源自动空气开关配置及保护用直流电源方式按《系统保护设计中贯彻部颁电力系统继电保护及安全自动装置反事故措施要点的有关问题》的规定进行。</w:t>
      </w:r>
    </w:p>
    <w:p>
      <w:pPr>
        <w:pageBreakBefore w:val="0"/>
        <w:numPr>
          <w:ilvl w:val="0"/>
          <w:numId w:val="14"/>
        </w:numPr>
        <w:kinsoku/>
        <w:wordWrap/>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微机保护和自动装置、测控单元等在屏上设有专用的直流B型自动空气开关向装置供电。断路器操作回路采用单独的直流型自动空气开关，非电量保护装置应设置单独的电源回路（包括单独的直流型自动空气开关及其直流电源监视回路）且与电气量保护完全分开，在保护屏上的安装位置也相对独立。</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50" w:name="_Toc4532"/>
      <w:r>
        <w:rPr>
          <w:rFonts w:hint="eastAsia" w:ascii="宋体" w:hAnsi="宋体" w:eastAsia="宋体" w:cs="宋体"/>
          <w:bCs w:val="0"/>
          <w:iCs/>
          <w:snapToGrid w:val="0"/>
          <w:color w:val="auto"/>
          <w:kern w:val="0"/>
          <w:sz w:val="21"/>
          <w:szCs w:val="21"/>
          <w:highlight w:val="none"/>
          <w:lang w:bidi="en-US"/>
        </w:rPr>
        <w:t>5.4 屏柜的布线及端子</w:t>
      </w:r>
      <w:bookmarkEnd w:id="150"/>
    </w:p>
    <w:p>
      <w:pPr>
        <w:pageBreakBefore w:val="0"/>
        <w:numPr>
          <w:ilvl w:val="0"/>
          <w:numId w:val="15"/>
        </w:numPr>
        <w:kinsoku/>
        <w:wordWrap/>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布线应整齐、清晰、美观、导线绝缘良好、无损伤。导线用铜质多股软线，电压电流回路截面应不小于4mm</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和1000V耐压绝缘绞线，其它回路截面应不小于2.5mm</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和1000V耐压绝缘绞线。接线端子应牢固可靠，配线工艺务必采用抗氧化的铜质镀银的材料T型、TO型及针(棒)型外附热缩套管式的冷压端头与铜质多股软线之间冷压处理。</w:t>
      </w:r>
    </w:p>
    <w:p>
      <w:pPr>
        <w:pageBreakBefore w:val="0"/>
        <w:numPr>
          <w:ilvl w:val="0"/>
          <w:numId w:val="15"/>
        </w:numPr>
        <w:kinsoku/>
        <w:wordWrap/>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设备接线端部应标明其回路编号。编号正确，字迹打印清晰不易色。</w:t>
      </w:r>
    </w:p>
    <w:p>
      <w:pPr>
        <w:pageBreakBefore w:val="0"/>
        <w:numPr>
          <w:ilvl w:val="0"/>
          <w:numId w:val="15"/>
        </w:numPr>
        <w:kinsoku/>
        <w:wordWrap/>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微机保护装置的接线端子排，交流电流电压、直流电源及信号回路要求采用抗干扰、阻燃系列接线端子。</w:t>
      </w:r>
    </w:p>
    <w:p>
      <w:pPr>
        <w:pageBreakBefore w:val="0"/>
        <w:numPr>
          <w:ilvl w:val="0"/>
          <w:numId w:val="15"/>
        </w:numPr>
        <w:kinsoku/>
        <w:wordWrap/>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所有端子的额定值为1000V、10A，压接型端子。电流端子应能接不小于6mm</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rPr>
        <w:t>的电缆芯线。CT的二次回路应提供标准的试验端子，便于断开或短接各保护装置的输入与输出回路。端子排间应有足够的绝缘，端子排应根据功能分段排列，并应留有15～20％的备用端子。直流电源的正负极和交流电源的输入端子不应布置在相邻的端子上。</w:t>
      </w:r>
    </w:p>
    <w:p>
      <w:pPr>
        <w:pageBreakBefore w:val="0"/>
        <w:numPr>
          <w:ilvl w:val="0"/>
          <w:numId w:val="15"/>
        </w:numPr>
        <w:kinsoku/>
        <w:wordWrap/>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直流回路的正、负电源之间及交流电压回路的相间最少应隔开两个端子以上，以防电源短路。</w:t>
      </w:r>
    </w:p>
    <w:p>
      <w:pPr>
        <w:pageBreakBefore w:val="0"/>
        <w:numPr>
          <w:ilvl w:val="0"/>
          <w:numId w:val="15"/>
        </w:numPr>
        <w:kinsoku/>
        <w:wordWrap/>
        <w:topLinePunct w:val="0"/>
        <w:bidi w:val="0"/>
        <w:spacing w:line="360"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断路器的跳、合闸回路端子排与正、负电源间至少应隔开两个端子。</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51" w:name="_Toc21125"/>
      <w:r>
        <w:rPr>
          <w:rFonts w:hint="eastAsia" w:ascii="宋体" w:hAnsi="宋体" w:eastAsia="宋体" w:cs="宋体"/>
          <w:bCs w:val="0"/>
          <w:iCs/>
          <w:snapToGrid w:val="0"/>
          <w:color w:val="auto"/>
          <w:kern w:val="0"/>
          <w:sz w:val="21"/>
          <w:szCs w:val="21"/>
          <w:highlight w:val="none"/>
          <w:lang w:bidi="en-US"/>
        </w:rPr>
        <w:t>5.5 运行的技术条件</w:t>
      </w:r>
      <w:bookmarkEnd w:id="151"/>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交流电压回路断线或发生任何故障时，保护装置会告警，但不会误动作。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当控制回路断线时，保护装置会告警，但不会误动作。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拉、合直流电源的正极或负极保险时，监控系统及保护装置不会动作。直流电源的正负极性颠倒时，系统不损坏并能正常工作。装置突然加上电源、突然断电、电源电压缓慢上升或缓慢下降，装置均不会动作和误发信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在环境湿度变化时，保护装置的整定值变化幅度不大于±5％。保护装置投入一年后，在-10℃～+55℃温度下整定值变化幅度不得大于±5％。</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在保护装置的正面，整定值能容易和安全地改变。</w:t>
      </w:r>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152" w:name="_Toc485135064"/>
      <w:bookmarkStart w:id="153" w:name="_Toc466356262"/>
      <w:bookmarkStart w:id="154" w:name="_Toc468695824"/>
      <w:bookmarkStart w:id="155" w:name="_Toc483899332"/>
      <w:bookmarkStart w:id="156" w:name="_Toc485133996"/>
      <w:bookmarkStart w:id="157" w:name="_Toc468695324"/>
      <w:bookmarkStart w:id="158" w:name="_Toc485133705"/>
      <w:bookmarkStart w:id="159" w:name="_Toc6838"/>
      <w:bookmarkStart w:id="160" w:name="_Toc499430217"/>
      <w:bookmarkStart w:id="161" w:name="_Toc499366115"/>
      <w:bookmarkStart w:id="162" w:name="_Toc468763587"/>
      <w:r>
        <w:rPr>
          <w:rFonts w:hint="eastAsia" w:ascii="宋体" w:hAnsi="宋体" w:eastAsia="宋体" w:cs="宋体"/>
          <w:b/>
          <w:bCs/>
          <w:snapToGrid w:val="0"/>
          <w:color w:val="auto"/>
          <w:kern w:val="0"/>
          <w:sz w:val="21"/>
          <w:szCs w:val="21"/>
          <w:highlight w:val="none"/>
        </w:rPr>
        <w:t>6. 设计联络会</w:t>
      </w:r>
      <w:bookmarkEnd w:id="152"/>
      <w:bookmarkEnd w:id="153"/>
      <w:bookmarkEnd w:id="154"/>
      <w:bookmarkEnd w:id="155"/>
      <w:bookmarkEnd w:id="156"/>
      <w:bookmarkEnd w:id="157"/>
      <w:bookmarkEnd w:id="158"/>
      <w:bookmarkEnd w:id="159"/>
      <w:bookmarkEnd w:id="160"/>
      <w:bookmarkEnd w:id="161"/>
      <w:bookmarkEnd w:id="162"/>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根据工程需要可召开设计联络会。联络会应有纪要，内容如下：</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投标人应对供认可的资料和图纸进行详细的解释，并解答招标人的意见和问题。招标人将认可后的一份资料和图纸给投标人，以便投标人绘制正式图纸；</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招标人向投标人提出详细的I/O配置要求，包括模拟量、开关量及计算量等；向投标人提出详细的画面显示要求，包括每个画面的显示内容及报表打印格式；</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确认开关操作联锁逻辑，自动控制策略；</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投标人应介绍同类产品已有的运行经验，包括现场的操作情况；改进情况；投标人还应介绍已运行系统的I/O配置原则，与用户设备接口的配合情况等；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讨论与调度中心、继电保护设备等智能设备的通讯接口实施方案及试验方法；</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讨论商定在标书中规定的在联络会议解决的问题及招标人认为有必要商讨的其它问题。</w:t>
      </w:r>
      <w:bookmarkStart w:id="163" w:name="_Toc476454645"/>
      <w:bookmarkStart w:id="164" w:name="_Toc485133709"/>
      <w:bookmarkStart w:id="165" w:name="_Toc483899336"/>
      <w:bookmarkStart w:id="166" w:name="_Toc499430218"/>
      <w:bookmarkStart w:id="167" w:name="_Toc485134000"/>
      <w:bookmarkStart w:id="168" w:name="_Toc485135068"/>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169" w:name="_Toc25573"/>
      <w:r>
        <w:rPr>
          <w:rFonts w:hint="eastAsia" w:ascii="宋体" w:hAnsi="宋体" w:eastAsia="宋体" w:cs="宋体"/>
          <w:b/>
          <w:bCs/>
          <w:snapToGrid w:val="0"/>
          <w:color w:val="auto"/>
          <w:kern w:val="0"/>
          <w:sz w:val="21"/>
          <w:szCs w:val="21"/>
          <w:highlight w:val="none"/>
        </w:rPr>
        <w:t>7. 技术服务</w:t>
      </w:r>
      <w:bookmarkEnd w:id="163"/>
      <w:r>
        <w:rPr>
          <w:rFonts w:hint="eastAsia" w:ascii="宋体" w:hAnsi="宋体" w:eastAsia="宋体" w:cs="宋体"/>
          <w:b/>
          <w:bCs/>
          <w:snapToGrid w:val="0"/>
          <w:color w:val="auto"/>
          <w:kern w:val="0"/>
          <w:sz w:val="21"/>
          <w:szCs w:val="21"/>
          <w:highlight w:val="none"/>
        </w:rPr>
        <w:t>和工厂培训</w:t>
      </w:r>
      <w:bookmarkEnd w:id="164"/>
      <w:bookmarkEnd w:id="165"/>
      <w:bookmarkEnd w:id="166"/>
      <w:bookmarkEnd w:id="167"/>
      <w:bookmarkEnd w:id="168"/>
      <w:bookmarkEnd w:id="169"/>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70" w:name="_Toc485134001"/>
      <w:bookmarkStart w:id="171" w:name="_Toc499430219"/>
      <w:bookmarkStart w:id="172" w:name="_Toc483899337"/>
      <w:bookmarkStart w:id="173" w:name="_Toc7683"/>
      <w:bookmarkStart w:id="174" w:name="_Toc485135069"/>
      <w:bookmarkStart w:id="175" w:name="_Toc476454646"/>
      <w:bookmarkStart w:id="176" w:name="_Toc485133710"/>
      <w:r>
        <w:rPr>
          <w:rFonts w:hint="eastAsia" w:ascii="宋体" w:hAnsi="宋体" w:eastAsia="宋体" w:cs="宋体"/>
          <w:bCs w:val="0"/>
          <w:iCs/>
          <w:snapToGrid w:val="0"/>
          <w:color w:val="auto"/>
          <w:kern w:val="0"/>
          <w:sz w:val="21"/>
          <w:szCs w:val="21"/>
          <w:highlight w:val="none"/>
          <w:lang w:bidi="en-US"/>
        </w:rPr>
        <w:t>7.1 项目管理</w:t>
      </w:r>
      <w:bookmarkEnd w:id="170"/>
      <w:bookmarkEnd w:id="171"/>
      <w:bookmarkEnd w:id="172"/>
      <w:bookmarkEnd w:id="173"/>
      <w:bookmarkEnd w:id="174"/>
      <w:bookmarkEnd w:id="175"/>
      <w:bookmarkEnd w:id="176"/>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合同签定后，投标人应指定负责本工程的项目经理，负责协调投标人在工程全过程的各项工作，如：工程进度、设计制造、图纸文件、制造确认、包装运输、现场安装、调试验收等。</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77" w:name="_Toc476454647"/>
      <w:bookmarkStart w:id="178" w:name="_Toc32217"/>
      <w:bookmarkStart w:id="179" w:name="_Toc485134002"/>
      <w:bookmarkStart w:id="180" w:name="_Toc483899338"/>
      <w:bookmarkStart w:id="181" w:name="_Toc485133711"/>
      <w:bookmarkStart w:id="182" w:name="_Toc485135070"/>
      <w:bookmarkStart w:id="183" w:name="_Toc499430220"/>
      <w:r>
        <w:rPr>
          <w:rFonts w:hint="eastAsia" w:ascii="宋体" w:hAnsi="宋体" w:eastAsia="宋体" w:cs="宋体"/>
          <w:bCs w:val="0"/>
          <w:iCs/>
          <w:snapToGrid w:val="0"/>
          <w:color w:val="auto"/>
          <w:kern w:val="0"/>
          <w:sz w:val="21"/>
          <w:szCs w:val="21"/>
          <w:highlight w:val="none"/>
          <w:lang w:bidi="en-US"/>
        </w:rPr>
        <w:t>7.2 技术文件</w:t>
      </w:r>
      <w:bookmarkEnd w:id="177"/>
      <w:bookmarkEnd w:id="178"/>
      <w:bookmarkEnd w:id="179"/>
      <w:bookmarkEnd w:id="180"/>
      <w:bookmarkEnd w:id="181"/>
      <w:bookmarkEnd w:id="182"/>
      <w:bookmarkEnd w:id="183"/>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7.2.1 投标人在订货前向招标人提供一般性资料：鉴定证书、报价书、典型说明书、硬件配置图、系统原理图和主要技术参数等。</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 投标人应根据招标人的进度要求，合同签订后15个日内，向招标人提供下列技术文件6份，但不限于下列图纸和资料：</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·综合自动化系统配置图及其说明；</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·I/O单元原理接线图及其说明，包括手动控制、操作原理接线和电气闭锁原理接线，同步接线、操作方式切换等；</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·电气设备监控逻辑框图（按单元划分）；</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·设备内部接线及其说明；</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·设备布置和安装图，包括设备尺寸和安装尺寸，光纤网络的连接及安装；</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·设备组屏图、端子排接线图，包括与用户设备接口的端子排；</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·综合自动化系统所有设备清单，包括设备型号、技术参数、性能数据及参数；</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·综合自动化系统各种硬件的功能说明书；</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·综合自动化系统各种软件程序的说明书；</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·综合自动化系统设备运行环境及场地的要求；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·提供与多级调度的通信规约要求；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·与其它智能设备的接口规范及要求；</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·招标人认为必须提供的图纸和说明。</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7.2.3 设备供货时提供下列资料：设备的开箱资料，除了7.2.2所述图纸还应包括安装、运行、维护、修理说明书、部件清单资料、工厂试验报告、生产许可证、产品合格证和质量保证体系文件等。</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84" w:name="_Toc1587"/>
      <w:bookmarkStart w:id="185" w:name="_Toc499430221"/>
      <w:bookmarkStart w:id="186" w:name="_Toc468695332"/>
      <w:bookmarkStart w:id="187" w:name="_Toc466356270"/>
      <w:bookmarkStart w:id="188" w:name="_Toc485135071"/>
      <w:bookmarkStart w:id="189" w:name="_Toc468763595"/>
      <w:bookmarkStart w:id="190" w:name="_Toc485134003"/>
      <w:bookmarkStart w:id="191" w:name="_Toc483899339"/>
      <w:bookmarkStart w:id="192" w:name="_Toc485133712"/>
      <w:bookmarkStart w:id="193" w:name="_Toc468695832"/>
      <w:r>
        <w:rPr>
          <w:rFonts w:hint="eastAsia" w:ascii="宋体" w:hAnsi="宋体" w:eastAsia="宋体" w:cs="宋体"/>
          <w:bCs w:val="0"/>
          <w:iCs/>
          <w:snapToGrid w:val="0"/>
          <w:color w:val="auto"/>
          <w:kern w:val="0"/>
          <w:sz w:val="21"/>
          <w:szCs w:val="21"/>
          <w:highlight w:val="none"/>
          <w:lang w:bidi="en-US"/>
        </w:rPr>
        <w:t>7.3 技术服务</w:t>
      </w:r>
      <w:bookmarkEnd w:id="184"/>
      <w:bookmarkEnd w:id="185"/>
      <w:bookmarkEnd w:id="186"/>
      <w:bookmarkEnd w:id="187"/>
      <w:bookmarkEnd w:id="188"/>
      <w:bookmarkEnd w:id="189"/>
      <w:bookmarkEnd w:id="190"/>
      <w:bookmarkEnd w:id="191"/>
      <w:bookmarkEnd w:id="192"/>
      <w:bookmarkEnd w:id="193"/>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7.3.1 为便于合同设备的安装、调试和投运，投标人应自费派出熟练的技术人员或专家到合同现场进行技术服务，指导现场安装、调试和运行。并解答合同设备制造及性能等方面的有关问题，详细解答合同范围内招标人提出的问题。对现场服务的次数、人数、时间、费用应在投标书分项列出。</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7.3.2 由招标人安排适当时间，由投标人技术人员对设备的正确安装、使用和试验给予技术讲课，并在现场调试阶段，对招标人系统管理员进行培训。</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7.3.3 在产品质保期内有制造质量问题的设备，由投标人负责修理或更换，对非投标人责任造成的设备损坏，投标人有优先提供配件和修理的义务。</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7.3.4 对招标人选购的与本合同设备有关的配套设备，投标人有提供技术配合的义务，并不因此而增加任何费用。</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7.3.5 由于投标人的错误指导或建议所致的损失，由投标人负责。</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194" w:name="_Toc485133713"/>
      <w:bookmarkStart w:id="195" w:name="_Toc468695333"/>
      <w:bookmarkStart w:id="196" w:name="_Toc468695833"/>
      <w:bookmarkStart w:id="197" w:name="_Toc485134004"/>
      <w:bookmarkStart w:id="198" w:name="_Toc483899340"/>
      <w:bookmarkStart w:id="199" w:name="_Toc15942"/>
      <w:bookmarkStart w:id="200" w:name="_Toc499430222"/>
      <w:bookmarkStart w:id="201" w:name="_Toc468763596"/>
      <w:bookmarkStart w:id="202" w:name="_Toc466356271"/>
      <w:bookmarkStart w:id="203" w:name="_Toc485135072"/>
      <w:r>
        <w:rPr>
          <w:rFonts w:hint="eastAsia" w:ascii="宋体" w:hAnsi="宋体" w:eastAsia="宋体" w:cs="宋体"/>
          <w:bCs w:val="0"/>
          <w:iCs/>
          <w:snapToGrid w:val="0"/>
          <w:color w:val="auto"/>
          <w:kern w:val="0"/>
          <w:sz w:val="21"/>
          <w:szCs w:val="21"/>
          <w:highlight w:val="none"/>
          <w:lang w:bidi="en-US"/>
        </w:rPr>
        <w:t>7.4 工厂培训</w:t>
      </w:r>
      <w:bookmarkEnd w:id="194"/>
      <w:bookmarkEnd w:id="195"/>
      <w:bookmarkEnd w:id="196"/>
      <w:bookmarkEnd w:id="197"/>
      <w:bookmarkEnd w:id="198"/>
      <w:bookmarkEnd w:id="199"/>
      <w:bookmarkEnd w:id="200"/>
      <w:bookmarkEnd w:id="201"/>
      <w:bookmarkEnd w:id="202"/>
      <w:bookmarkEnd w:id="203"/>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为了使用户掌握合同设备的安装、调试、运行及维护的技能，以保证综合自动化系统的正常安全运行，投标人应接受招标人技术人员去工厂培训。</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在合同生效后1个月内，投标人应提供一份详细的工厂培训计划给招标人。培训计划应包括：培训时间安排，课程内容安排等。该计划招标人有权修改，经双方商定后予以实施；</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对于培训人员，投标人应提供技术文件、图纸、参考资料，还应提供试验设备、工具、安全保护装置，以及其它必需品和工作场所；</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培训人员在投标人技术人员的指导下，应该掌握本合同设备硬件、软件的结构原理，掌握合同设备的安装、调试及诊断维护，学习并参与画面编辑、数据库定义、报表生成、参数设定等工作。</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招标人将派担任综合自动化系统运行、维护、管理的</w:t>
      </w:r>
      <w:r>
        <w:rPr>
          <w:rFonts w:hint="eastAsia" w:ascii="宋体" w:hAnsi="宋体" w:eastAsia="宋体" w:cs="宋体"/>
          <w:color w:val="auto"/>
          <w:sz w:val="21"/>
          <w:szCs w:val="21"/>
          <w:highlight w:val="none"/>
        </w:rPr>
        <w:sym w:font="Symbol" w:char="F05F"/>
      </w:r>
      <w:r>
        <w:rPr>
          <w:rFonts w:hint="eastAsia"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rPr>
        <w:sym w:font="Symbol" w:char="F05F"/>
      </w:r>
      <w:r>
        <w:rPr>
          <w:rFonts w:hint="eastAsia" w:ascii="宋体" w:hAnsi="宋体" w:eastAsia="宋体" w:cs="宋体"/>
          <w:color w:val="auto"/>
          <w:sz w:val="21"/>
          <w:szCs w:val="21"/>
          <w:highlight w:val="none"/>
        </w:rPr>
        <w:t>名专业技术人员去工厂接受培训，为期</w:t>
      </w:r>
      <w:r>
        <w:rPr>
          <w:rFonts w:hint="eastAsia" w:ascii="宋体" w:hAnsi="宋体" w:eastAsia="宋体" w:cs="宋体"/>
          <w:color w:val="auto"/>
          <w:sz w:val="21"/>
          <w:szCs w:val="21"/>
          <w:highlight w:val="none"/>
          <w:u w:val="single"/>
        </w:rPr>
        <w:sym w:font="Symbol" w:char="F05F"/>
      </w:r>
      <w:r>
        <w:rPr>
          <w:rFonts w:hint="eastAsia"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u w:val="single"/>
        </w:rPr>
        <w:sym w:font="Symbol" w:char="F05F"/>
      </w:r>
      <w:r>
        <w:rPr>
          <w:rFonts w:hint="eastAsia" w:ascii="宋体" w:hAnsi="宋体" w:eastAsia="宋体" w:cs="宋体"/>
          <w:color w:val="auto"/>
          <w:sz w:val="21"/>
          <w:szCs w:val="21"/>
          <w:highlight w:val="none"/>
        </w:rPr>
        <w:t>天。</w:t>
      </w:r>
      <w:bookmarkStart w:id="204" w:name="_Toc476454653"/>
      <w:bookmarkStart w:id="205" w:name="_Toc483899341"/>
      <w:bookmarkStart w:id="206" w:name="_Toc485134005"/>
      <w:bookmarkStart w:id="207" w:name="_Toc485135073"/>
      <w:bookmarkStart w:id="208" w:name="_Toc485133714"/>
      <w:bookmarkStart w:id="209" w:name="_Toc499430223"/>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210" w:name="_Toc2203"/>
      <w:r>
        <w:rPr>
          <w:rFonts w:hint="eastAsia" w:ascii="宋体" w:hAnsi="宋体" w:eastAsia="宋体" w:cs="宋体"/>
          <w:b/>
          <w:bCs/>
          <w:snapToGrid w:val="0"/>
          <w:color w:val="auto"/>
          <w:kern w:val="0"/>
          <w:sz w:val="21"/>
          <w:szCs w:val="21"/>
          <w:highlight w:val="none"/>
        </w:rPr>
        <w:t>8. 质量保证和试验</w:t>
      </w:r>
      <w:bookmarkEnd w:id="204"/>
      <w:bookmarkEnd w:id="205"/>
      <w:bookmarkEnd w:id="206"/>
      <w:bookmarkEnd w:id="207"/>
      <w:bookmarkEnd w:id="208"/>
      <w:bookmarkEnd w:id="209"/>
      <w:bookmarkEnd w:id="210"/>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211" w:name="_Toc483899342"/>
      <w:bookmarkStart w:id="212" w:name="_Toc476454654"/>
      <w:bookmarkStart w:id="213" w:name="_Toc485134006"/>
      <w:bookmarkStart w:id="214" w:name="_Toc485135074"/>
      <w:bookmarkStart w:id="215" w:name="_Toc499430224"/>
      <w:bookmarkStart w:id="216" w:name="_Toc24610"/>
      <w:bookmarkStart w:id="217" w:name="_Toc485133715"/>
      <w:r>
        <w:rPr>
          <w:rFonts w:hint="eastAsia" w:ascii="宋体" w:hAnsi="宋体" w:eastAsia="宋体" w:cs="宋体"/>
          <w:bCs w:val="0"/>
          <w:iCs/>
          <w:snapToGrid w:val="0"/>
          <w:color w:val="auto"/>
          <w:kern w:val="0"/>
          <w:sz w:val="21"/>
          <w:szCs w:val="21"/>
          <w:highlight w:val="none"/>
          <w:lang w:bidi="en-US"/>
        </w:rPr>
        <w:t>8.1 质量保证</w:t>
      </w:r>
      <w:bookmarkEnd w:id="211"/>
      <w:bookmarkEnd w:id="212"/>
      <w:bookmarkEnd w:id="213"/>
      <w:bookmarkEnd w:id="214"/>
      <w:bookmarkEnd w:id="215"/>
      <w:bookmarkEnd w:id="216"/>
      <w:bookmarkEnd w:id="217"/>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8.1.1 订购的新产品除应满足本规范书外，投标人还应提供产品的鉴定证书。</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8.1.2 投标人应保证制造过程中的所有工艺、材料等（包括投标人的外购件在内）均应符合规范书的规定。若招标人根据运行经验指定投标人提供某种外购零部件，投标人应积极配合。</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8.1.3 投标人应遵守本规范书中各条款和工作项目的ISO900_1或GB/T19001质量保证体系，该质量保证体系经过国家认证和正常运转。</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218" w:name="_Toc468695410"/>
      <w:bookmarkStart w:id="219" w:name="_Toc480343327"/>
      <w:bookmarkStart w:id="220" w:name="_Toc483899343"/>
      <w:bookmarkStart w:id="221" w:name="_Toc468695910"/>
      <w:bookmarkStart w:id="222" w:name="_Toc480343481"/>
      <w:bookmarkStart w:id="223" w:name="_Toc468763673"/>
      <w:bookmarkStart w:id="224" w:name="_Toc464956149"/>
      <w:bookmarkStart w:id="225" w:name="_Toc480343063"/>
      <w:bookmarkStart w:id="226" w:name="_Toc480343170"/>
      <w:bookmarkStart w:id="227" w:name="_Toc19306"/>
      <w:bookmarkStart w:id="228" w:name="_Toc485135075"/>
      <w:bookmarkStart w:id="229" w:name="_Toc485134007"/>
      <w:bookmarkStart w:id="230" w:name="_Toc480343558"/>
      <w:bookmarkStart w:id="231" w:name="_Toc466432425"/>
      <w:bookmarkStart w:id="232" w:name="_Toc476454655"/>
      <w:bookmarkStart w:id="233" w:name="_Toc485133716"/>
      <w:bookmarkStart w:id="234" w:name="_Toc499430225"/>
      <w:bookmarkStart w:id="235" w:name="_Toc480343404"/>
      <w:r>
        <w:rPr>
          <w:rFonts w:hint="eastAsia" w:ascii="宋体" w:hAnsi="宋体" w:eastAsia="宋体" w:cs="宋体"/>
          <w:bCs w:val="0"/>
          <w:iCs/>
          <w:snapToGrid w:val="0"/>
          <w:color w:val="auto"/>
          <w:kern w:val="0"/>
          <w:sz w:val="21"/>
          <w:szCs w:val="21"/>
          <w:highlight w:val="none"/>
          <w:lang w:bidi="en-US"/>
        </w:rPr>
        <w:t>8.2 试验</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8.2.1 投标人在制造过程中，应对设备的材料、连接、组装、工艺、整体以及功能进行试验和检查，以保证完全符合本规范书和已确认的设计图纸的要求。</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8.2.2 招标人有权在任何时候对设备的质量管理情况，包括设备试验的记录进行检查。</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8.2.3 在试验、检查过程中，如发现任何不符合本规范书要求的硬件和软件，投标人都必须及时更换，由此引起的任何费用都应由投标人承担。</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8.2.4 应进行工厂试验、工厂验收试验和现场试验。</w:t>
      </w:r>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236" w:name="_Toc499430230"/>
      <w:bookmarkStart w:id="237" w:name="_Toc485135080"/>
      <w:bookmarkStart w:id="238" w:name="_Toc485134012"/>
      <w:bookmarkStart w:id="239" w:name="_Toc13228"/>
      <w:bookmarkStart w:id="240" w:name="_Toc485133721"/>
      <w:bookmarkStart w:id="241" w:name="_Toc483899348"/>
      <w:r>
        <w:rPr>
          <w:rFonts w:hint="eastAsia" w:ascii="宋体" w:hAnsi="宋体" w:eastAsia="宋体" w:cs="宋体"/>
          <w:bCs w:val="0"/>
          <w:iCs/>
          <w:snapToGrid w:val="0"/>
          <w:color w:val="auto"/>
          <w:kern w:val="0"/>
          <w:sz w:val="21"/>
          <w:szCs w:val="21"/>
          <w:highlight w:val="none"/>
          <w:lang w:bidi="en-US"/>
        </w:rPr>
        <w:t>8.3 质保期</w:t>
      </w:r>
      <w:bookmarkEnd w:id="236"/>
      <w:bookmarkEnd w:id="237"/>
      <w:bookmarkEnd w:id="238"/>
      <w:bookmarkEnd w:id="239"/>
      <w:bookmarkEnd w:id="240"/>
      <w:bookmarkEnd w:id="241"/>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8.3.1 合同设备的质保期为现场验收合格后起算，质保期为2年；</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8.3.2 设备在合同规定的质保期内，发生损坏和缺陷，或者由于设计错误、材料、工艺、制造、装配、发送等原因造成的损坏，或是不满足合同的要求，招标人将用书面方式通知投标人，投标人应立即免费更换这些有损坏和有缺陷的设备（包括运输费、税收等）；</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8.3.3 在接到招标人通知后，投标人虽经努力改进，但仍不满足合同要求，则招标人可按合同处理或更换这些设备，由此引起的一切费用由投标人承担。</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8.3.4 当系统故障时，投标人应在接到招标人通知的48小时内派人到现场处理事故。</w:t>
      </w:r>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242" w:name="_Toc476454658"/>
      <w:bookmarkStart w:id="243" w:name="_Toc485135081"/>
      <w:bookmarkStart w:id="244" w:name="_Toc483899349"/>
      <w:bookmarkStart w:id="245" w:name="_Toc499430231"/>
      <w:bookmarkStart w:id="246" w:name="_Toc485133722"/>
      <w:bookmarkStart w:id="247" w:name="_Toc15747"/>
      <w:bookmarkStart w:id="248" w:name="_Toc485134013"/>
      <w:r>
        <w:rPr>
          <w:rFonts w:hint="eastAsia" w:ascii="宋体" w:hAnsi="宋体" w:eastAsia="宋体" w:cs="宋体"/>
          <w:b/>
          <w:bCs/>
          <w:snapToGrid w:val="0"/>
          <w:color w:val="auto"/>
          <w:kern w:val="0"/>
          <w:sz w:val="21"/>
          <w:szCs w:val="21"/>
          <w:highlight w:val="none"/>
        </w:rPr>
        <w:t>9. 包装、运输和储存</w:t>
      </w:r>
      <w:bookmarkEnd w:id="242"/>
      <w:bookmarkEnd w:id="243"/>
      <w:bookmarkEnd w:id="244"/>
      <w:bookmarkEnd w:id="245"/>
      <w:bookmarkEnd w:id="246"/>
      <w:bookmarkEnd w:id="247"/>
      <w:bookmarkEnd w:id="248"/>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投标人应负责将所供设备严密包装，防止潮气、锈蚀、淋雨和震动。包装应牢固可靠，应考虑到运输过程中，可能受到的最大加速度所产生的冲击，设备不松动、不损坏、不变形。</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对贵重设备和仪器应考虑与一般设备分开，采用特殊包装，并在箱上注明“小心轻放”等标志。</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设备在装运后投标人应立即将装货通知单一式四份特快专递邮寄给招标人。</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设备在达到目的地后，招标人将进行初步检查，根据提货单校对包装数量，检查设备包装情况，在装运中是否有损坏。</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开箱和最终开箱验收将在现场进行，若设备的质量和数量与合同不符，招标人有权向投标人索赔。</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在上述检查中，若设备的质量和规格与合同不符或发现明显的或隐藏的损坏，招标人将立即通知投标人，投标人应立即修复或更换损坏的部件和设备，所需费用由投标人承担。</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 在包装箱外应标明招标人的订货号、发货号。</w:t>
      </w:r>
    </w:p>
    <w:p>
      <w:pPr>
        <w:pageBreakBefore w:val="0"/>
        <w:kinsoku/>
        <w:wordWrap/>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 随产品提供的技术资料应完整无缺，提供份额符合GB11032的要求。</w:t>
      </w:r>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249" w:name="_Toc21845"/>
      <w:r>
        <w:rPr>
          <w:rFonts w:hint="eastAsia" w:ascii="宋体" w:hAnsi="宋体" w:eastAsia="宋体" w:cs="宋体"/>
          <w:b/>
          <w:bCs/>
          <w:snapToGrid w:val="0"/>
          <w:color w:val="auto"/>
          <w:kern w:val="0"/>
          <w:sz w:val="21"/>
          <w:szCs w:val="21"/>
          <w:highlight w:val="none"/>
        </w:rPr>
        <w:t>10. 其他</w:t>
      </w:r>
      <w:bookmarkEnd w:id="249"/>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10.1投标设备厂家可根据自身产品特点，对微机综合自动化系统组屏方案进行优化。</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监控系统需安装微机防误闭锁系统软件并实现其功能。</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w:t>
      </w:r>
      <w:r>
        <w:rPr>
          <w:rFonts w:hint="eastAsia" w:ascii="宋体" w:hAnsi="宋体" w:cs="宋体"/>
          <w:b/>
          <w:color w:val="auto"/>
          <w:sz w:val="21"/>
          <w:szCs w:val="21"/>
          <w:highlight w:val="none"/>
          <w:lang w:eastAsia="zh-CN"/>
        </w:rPr>
        <w:t>变电站</w:t>
      </w:r>
      <w:r>
        <w:rPr>
          <w:rFonts w:hint="eastAsia" w:ascii="宋体" w:hAnsi="宋体" w:eastAsia="宋体" w:cs="宋体"/>
          <w:b/>
          <w:color w:val="auto"/>
          <w:sz w:val="21"/>
          <w:szCs w:val="21"/>
          <w:highlight w:val="none"/>
        </w:rPr>
        <w:t>监控系统与电网调度系统的通信，监控厂家负责与电网调度系统及建设单位进行协商，提供信息点表给电网调度系统，并与电网调度系统进行远动通信对点</w:t>
      </w:r>
      <w:r>
        <w:rPr>
          <w:rFonts w:hint="eastAsia" w:ascii="宋体" w:hAnsi="宋体" w:eastAsia="宋体" w:cs="宋体"/>
          <w:color w:val="auto"/>
          <w:sz w:val="21"/>
          <w:szCs w:val="21"/>
          <w:highlight w:val="none"/>
        </w:rPr>
        <w:t>。</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10.4</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监控系统与智能电度表的通信，同时智能电度表具备与电量采集系统通信功能(电度表具备双RS-485接口)，监控厂家负责与智能电度表厂家及建设单位进行协商，保证通信正常。</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监控系统与</w:t>
      </w:r>
      <w:r>
        <w:rPr>
          <w:rFonts w:hint="eastAsia" w:ascii="宋体" w:hAnsi="宋体" w:eastAsia="宋体" w:cs="宋体"/>
          <w:color w:val="auto"/>
          <w:sz w:val="21"/>
          <w:szCs w:val="21"/>
          <w:highlight w:val="none"/>
          <w:lang w:val="en-US" w:eastAsia="zh-CN"/>
        </w:rPr>
        <w:t>光伏</w:t>
      </w:r>
      <w:r>
        <w:rPr>
          <w:rFonts w:hint="eastAsia" w:ascii="宋体" w:hAnsi="宋体" w:eastAsia="宋体" w:cs="宋体"/>
          <w:color w:val="auto"/>
          <w:sz w:val="21"/>
          <w:szCs w:val="21"/>
          <w:highlight w:val="none"/>
        </w:rPr>
        <w:t>监控系统、无功补偿监控系统、AGC/AVC功率控制系统、</w:t>
      </w:r>
      <w:r>
        <w:rPr>
          <w:rFonts w:hint="eastAsia" w:ascii="宋体" w:hAnsi="宋体" w:eastAsia="宋体" w:cs="宋体"/>
          <w:color w:val="auto"/>
          <w:sz w:val="21"/>
          <w:szCs w:val="21"/>
          <w:highlight w:val="none"/>
          <w:lang w:val="en-US" w:eastAsia="zh-CN"/>
        </w:rPr>
        <w:t>光</w:t>
      </w:r>
      <w:r>
        <w:rPr>
          <w:rFonts w:hint="eastAsia" w:ascii="宋体" w:hAnsi="宋体" w:eastAsia="宋体" w:cs="宋体"/>
          <w:color w:val="auto"/>
          <w:sz w:val="21"/>
          <w:szCs w:val="21"/>
          <w:highlight w:val="none"/>
        </w:rPr>
        <w:t>功率预测系统、交直流一体化电源系统等系统之间应兼容，并能与各系统进行通信及组态，</w:t>
      </w:r>
      <w:r>
        <w:rPr>
          <w:rFonts w:hint="eastAsia" w:ascii="宋体" w:hAnsi="宋体" w:cs="宋体"/>
          <w:color w:val="auto"/>
          <w:sz w:val="21"/>
          <w:szCs w:val="21"/>
          <w:highlight w:val="none"/>
          <w:lang w:eastAsia="zh-CN"/>
        </w:rPr>
        <w:t>变电站</w:t>
      </w:r>
      <w:r>
        <w:rPr>
          <w:rFonts w:hint="eastAsia" w:ascii="宋体" w:hAnsi="宋体" w:eastAsia="宋体" w:cs="宋体"/>
          <w:color w:val="auto"/>
          <w:sz w:val="21"/>
          <w:szCs w:val="21"/>
          <w:highlight w:val="none"/>
        </w:rPr>
        <w:t>监控厂家与各系统厂家进行协商，保证通信正常。</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10.6投标人有长期提供设备易损件或易损件供应商名单的义务。</w:t>
      </w:r>
    </w:p>
    <w:p>
      <w:pPr>
        <w:pageBreakBefore w:val="0"/>
        <w:kinsoku/>
        <w:wordWrap/>
        <w:topLinePunct w:val="0"/>
        <w:bidi w:val="0"/>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10.7投标人有为招标人免费培训运行维护人员的义务和软件免费升级的义务。</w:t>
      </w:r>
    </w:p>
    <w:p>
      <w:pPr>
        <w:pStyle w:val="2"/>
        <w:keepLines/>
        <w:pageBreakBefore w:val="0"/>
        <w:kinsoku/>
        <w:wordWrap/>
        <w:topLinePunct w:val="0"/>
        <w:autoSpaceDE w:val="0"/>
        <w:autoSpaceDN w:val="0"/>
        <w:bidi w:val="0"/>
        <w:spacing w:line="360" w:lineRule="auto"/>
        <w:jc w:val="left"/>
        <w:textAlignment w:val="auto"/>
        <w:rPr>
          <w:rFonts w:hint="eastAsia" w:ascii="宋体" w:hAnsi="宋体" w:eastAsia="宋体" w:cs="宋体"/>
          <w:b/>
          <w:bCs/>
          <w:snapToGrid w:val="0"/>
          <w:color w:val="auto"/>
          <w:kern w:val="0"/>
          <w:sz w:val="21"/>
          <w:szCs w:val="21"/>
          <w:highlight w:val="none"/>
        </w:rPr>
      </w:pPr>
      <w:bookmarkStart w:id="250" w:name="_Toc13899"/>
      <w:r>
        <w:rPr>
          <w:rFonts w:hint="eastAsia" w:ascii="宋体" w:hAnsi="宋体" w:eastAsia="宋体" w:cs="宋体"/>
          <w:b/>
          <w:bCs/>
          <w:snapToGrid w:val="0"/>
          <w:color w:val="auto"/>
          <w:kern w:val="0"/>
          <w:sz w:val="21"/>
          <w:szCs w:val="21"/>
          <w:highlight w:val="none"/>
        </w:rPr>
        <w:t>11. 供货范围</w:t>
      </w:r>
      <w:bookmarkEnd w:id="250"/>
    </w:p>
    <w:p>
      <w:pPr>
        <w:pStyle w:val="3"/>
        <w:keepLines w:val="0"/>
        <w:pageBreakBefore w:val="0"/>
        <w:widowControl/>
        <w:kinsoku/>
        <w:wordWrap/>
        <w:overflowPunct w:val="0"/>
        <w:topLinePunct w:val="0"/>
        <w:autoSpaceDE w:val="0"/>
        <w:autoSpaceDN w:val="0"/>
        <w:bidi w:val="0"/>
        <w:snapToGrid w:val="0"/>
        <w:spacing w:before="0" w:after="0" w:line="360" w:lineRule="auto"/>
        <w:textAlignment w:val="auto"/>
        <w:rPr>
          <w:rFonts w:hint="eastAsia" w:ascii="宋体" w:hAnsi="宋体" w:eastAsia="宋体" w:cs="宋体"/>
          <w:bCs w:val="0"/>
          <w:iCs/>
          <w:snapToGrid w:val="0"/>
          <w:color w:val="auto"/>
          <w:kern w:val="0"/>
          <w:sz w:val="21"/>
          <w:szCs w:val="21"/>
          <w:highlight w:val="none"/>
          <w:lang w:bidi="en-US"/>
        </w:rPr>
      </w:pPr>
      <w:bookmarkStart w:id="251" w:name="_Toc219"/>
      <w:r>
        <w:rPr>
          <w:rFonts w:hint="eastAsia" w:ascii="宋体" w:hAnsi="宋体" w:eastAsia="宋体" w:cs="宋体"/>
          <w:bCs w:val="0"/>
          <w:iCs/>
          <w:snapToGrid w:val="0"/>
          <w:color w:val="auto"/>
          <w:kern w:val="0"/>
          <w:sz w:val="21"/>
          <w:szCs w:val="21"/>
          <w:highlight w:val="none"/>
          <w:lang w:bidi="en-US"/>
        </w:rPr>
        <w:t>11.1 设备供货范围</w:t>
      </w:r>
      <w:bookmarkEnd w:id="251"/>
    </w:p>
    <w:p>
      <w:pPr>
        <w:spacing w:line="360" w:lineRule="auto"/>
        <w:rPr>
          <w:color w:val="auto"/>
          <w:szCs w:val="21"/>
          <w:highlight w:val="none"/>
        </w:rPr>
      </w:pPr>
      <w:r>
        <w:rPr>
          <w:color w:val="auto"/>
          <w:szCs w:val="21"/>
          <w:highlight w:val="none"/>
        </w:rPr>
        <w:t>表11-1                              设备供货表</w:t>
      </w:r>
    </w:p>
    <w:tbl>
      <w:tblPr>
        <w:tblStyle w:val="84"/>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263"/>
        <w:gridCol w:w="2760"/>
        <w:gridCol w:w="945"/>
        <w:gridCol w:w="675"/>
        <w:gridCol w:w="1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blHeader/>
          <w:jc w:val="center"/>
        </w:trPr>
        <w:tc>
          <w:tcPr>
            <w:tcW w:w="683"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1263"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名       称</w:t>
            </w:r>
          </w:p>
        </w:tc>
        <w:tc>
          <w:tcPr>
            <w:tcW w:w="2760"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型号及规范</w:t>
            </w:r>
          </w:p>
        </w:tc>
        <w:tc>
          <w:tcPr>
            <w:tcW w:w="945"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单位</w:t>
            </w:r>
          </w:p>
        </w:tc>
        <w:tc>
          <w:tcPr>
            <w:tcW w:w="675"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1990" w:type="dxa"/>
          </w:tcPr>
          <w:p>
            <w:pPr>
              <w:adjustRightInd w:val="0"/>
              <w:spacing w:line="276" w:lineRule="auto"/>
              <w:jc w:val="center"/>
              <w:rPr>
                <w:rFonts w:hint="eastAsia" w:ascii="宋体" w:hAnsi="宋体" w:eastAsia="宋体" w:cs="宋体"/>
                <w:color w:val="auto"/>
                <w:sz w:val="18"/>
                <w:szCs w:val="18"/>
                <w:highlight w:val="none"/>
              </w:rPr>
            </w:pPr>
          </w:p>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3" w:type="dxa"/>
            <w:vAlign w:val="center"/>
          </w:tcPr>
          <w:p>
            <w:pPr>
              <w:adjustRightInd w:val="0"/>
              <w:spacing w:line="276" w:lineRule="auto"/>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1</w:t>
            </w:r>
          </w:p>
        </w:tc>
        <w:tc>
          <w:tcPr>
            <w:tcW w:w="1263" w:type="dxa"/>
            <w:vAlign w:val="center"/>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110kV线路</w:t>
            </w:r>
            <w:r>
              <w:rPr>
                <w:rFonts w:hint="eastAsia" w:ascii="宋体" w:hAnsi="宋体" w:eastAsia="宋体" w:cs="宋体"/>
                <w:color w:val="auto"/>
                <w:sz w:val="18"/>
                <w:szCs w:val="18"/>
                <w:highlight w:val="none"/>
              </w:rPr>
              <w:t>测控屏</w:t>
            </w:r>
          </w:p>
        </w:tc>
        <w:tc>
          <w:tcPr>
            <w:tcW w:w="2760" w:type="dxa"/>
            <w:vAlign w:val="center"/>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配置</w:t>
            </w:r>
            <w:r>
              <w:rPr>
                <w:rFonts w:hint="eastAsia" w:ascii="宋体" w:hAnsi="宋体" w:cs="宋体"/>
                <w:color w:val="auto"/>
                <w:sz w:val="18"/>
                <w:szCs w:val="18"/>
                <w:highlight w:val="none"/>
                <w:lang w:val="en-US" w:eastAsia="zh-CN"/>
              </w:rPr>
              <w:t>线路</w:t>
            </w:r>
            <w:r>
              <w:rPr>
                <w:rFonts w:hint="eastAsia" w:ascii="宋体" w:hAnsi="宋体" w:eastAsia="宋体" w:cs="宋体"/>
                <w:color w:val="auto"/>
                <w:sz w:val="18"/>
                <w:szCs w:val="18"/>
                <w:highlight w:val="none"/>
              </w:rPr>
              <w:t>测控装置1台</w:t>
            </w:r>
            <w:r>
              <w:rPr>
                <w:rFonts w:hint="eastAsia" w:ascii="宋体" w:hAnsi="宋体" w:cs="宋体"/>
                <w:color w:val="auto"/>
                <w:sz w:val="18"/>
                <w:szCs w:val="18"/>
                <w:highlight w:val="none"/>
                <w:lang w:eastAsia="zh-CN"/>
              </w:rPr>
              <w:t>，</w:t>
            </w:r>
            <w:r>
              <w:rPr>
                <w:rFonts w:hint="eastAsia" w:ascii="宋体" w:hAnsi="宋体" w:eastAsia="宋体" w:cs="宋体"/>
                <w:color w:val="auto"/>
                <w:sz w:val="18"/>
                <w:szCs w:val="18"/>
                <w:highlight w:val="none"/>
              </w:rPr>
              <w:t>柜及附件，玻璃门封闭结构。</w:t>
            </w:r>
          </w:p>
        </w:tc>
        <w:tc>
          <w:tcPr>
            <w:tcW w:w="945"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面</w:t>
            </w:r>
          </w:p>
        </w:tc>
        <w:tc>
          <w:tcPr>
            <w:tcW w:w="675"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990" w:type="dxa"/>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单一来源，</w:t>
            </w:r>
            <w:r>
              <w:rPr>
                <w:rFonts w:hint="eastAsia" w:ascii="宋体" w:hAnsi="宋体" w:eastAsia="宋体" w:cs="宋体"/>
                <w:color w:val="auto"/>
                <w:sz w:val="18"/>
                <w:szCs w:val="18"/>
                <w:highlight w:val="none"/>
              </w:rPr>
              <w:t>南瑞科技股 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3" w:type="dxa"/>
            <w:vAlign w:val="center"/>
          </w:tcPr>
          <w:p>
            <w:pPr>
              <w:adjustRightInd w:val="0"/>
              <w:spacing w:line="276" w:lineRule="auto"/>
              <w:jc w:val="cente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2</w:t>
            </w:r>
          </w:p>
        </w:tc>
        <w:tc>
          <w:tcPr>
            <w:tcW w:w="1263" w:type="dxa"/>
            <w:vAlign w:val="center"/>
          </w:tcPr>
          <w:p>
            <w:pPr>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二层交换机</w:t>
            </w:r>
          </w:p>
        </w:tc>
        <w:tc>
          <w:tcPr>
            <w:tcW w:w="2760" w:type="dxa"/>
            <w:vAlign w:val="center"/>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 光口、24 千兆电口，AC220V，需重新开孔安装、接线</w:t>
            </w:r>
          </w:p>
        </w:tc>
        <w:tc>
          <w:tcPr>
            <w:tcW w:w="945" w:type="dxa"/>
            <w:vAlign w:val="center"/>
          </w:tcPr>
          <w:p>
            <w:pPr>
              <w:adjustRightInd w:val="0"/>
              <w:spacing w:line="276" w:lineRule="auto"/>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台</w:t>
            </w:r>
          </w:p>
        </w:tc>
        <w:tc>
          <w:tcPr>
            <w:tcW w:w="675" w:type="dxa"/>
            <w:vAlign w:val="center"/>
          </w:tcPr>
          <w:p>
            <w:pPr>
              <w:adjustRightInd w:val="0"/>
              <w:spacing w:line="276" w:lineRule="auto"/>
              <w:jc w:val="center"/>
              <w:rPr>
                <w:rFonts w:hint="eastAsia"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2</w:t>
            </w:r>
          </w:p>
        </w:tc>
        <w:tc>
          <w:tcPr>
            <w:tcW w:w="1990" w:type="dxa"/>
          </w:tcPr>
          <w:p>
            <w:pP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安装在原远动通</w:t>
            </w:r>
          </w:p>
          <w:p>
            <w:pPr>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信接口屏 6P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683" w:type="dxa"/>
            <w:vAlign w:val="center"/>
          </w:tcPr>
          <w:p>
            <w:pPr>
              <w:adjustRightInd w:val="0"/>
              <w:spacing w:line="276" w:lineRule="auto"/>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3</w:t>
            </w:r>
            <w:bookmarkStart w:id="272" w:name="_GoBack"/>
            <w:bookmarkEnd w:id="272"/>
          </w:p>
        </w:tc>
        <w:tc>
          <w:tcPr>
            <w:tcW w:w="1263" w:type="dxa"/>
            <w:vAlign w:val="center"/>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光纤、网线及通信电缆</w:t>
            </w:r>
          </w:p>
        </w:tc>
        <w:tc>
          <w:tcPr>
            <w:tcW w:w="2760" w:type="dxa"/>
            <w:vAlign w:val="center"/>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用于组网，长度足量</w:t>
            </w:r>
          </w:p>
        </w:tc>
        <w:tc>
          <w:tcPr>
            <w:tcW w:w="945"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批</w:t>
            </w:r>
          </w:p>
        </w:tc>
        <w:tc>
          <w:tcPr>
            <w:tcW w:w="675" w:type="dxa"/>
            <w:vAlign w:val="center"/>
          </w:tcPr>
          <w:p>
            <w:pPr>
              <w:adjustRightInd w:val="0"/>
              <w:spacing w:line="276"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990" w:type="dxa"/>
          </w:tcPr>
          <w:p>
            <w:pPr>
              <w:adjustRightInd w:val="0"/>
              <w:spacing w:line="276" w:lineRule="auto"/>
              <w:jc w:val="center"/>
              <w:rPr>
                <w:rFonts w:hint="eastAsia" w:ascii="宋体" w:hAnsi="宋体" w:eastAsia="宋体" w:cs="宋体"/>
                <w:color w:val="auto"/>
                <w:sz w:val="18"/>
                <w:szCs w:val="18"/>
                <w:highlight w:val="none"/>
              </w:rPr>
            </w:pPr>
          </w:p>
        </w:tc>
      </w:tr>
    </w:tbl>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 </w:t>
      </w:r>
      <w:r>
        <w:rPr>
          <w:rFonts w:hint="eastAsia" w:ascii="宋体" w:hAnsi="宋体" w:cs="宋体"/>
          <w:b/>
          <w:color w:val="auto"/>
          <w:sz w:val="21"/>
          <w:szCs w:val="21"/>
          <w:highlight w:val="none"/>
          <w:lang w:val="en-US" w:eastAsia="zh-CN"/>
        </w:rPr>
        <w:t>投标方负责将本期装置接入站内原有监控系统</w:t>
      </w:r>
      <w:r>
        <w:rPr>
          <w:rFonts w:hint="eastAsia" w:ascii="宋体" w:hAnsi="宋体" w:eastAsia="宋体" w:cs="宋体"/>
          <w:b/>
          <w:color w:val="auto"/>
          <w:sz w:val="21"/>
          <w:szCs w:val="21"/>
          <w:highlight w:val="none"/>
        </w:rPr>
        <w:t>。</w:t>
      </w:r>
    </w:p>
    <w:p>
      <w:pPr>
        <w:spacing w:line="360" w:lineRule="auto"/>
        <w:ind w:firstLine="43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 站内组网应采用超五类屏蔽网线。</w:t>
      </w:r>
    </w:p>
    <w:p>
      <w:pPr>
        <w:spacing w:line="360" w:lineRule="auto"/>
        <w:ind w:firstLine="435"/>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3</w:t>
      </w:r>
      <w:r>
        <w:rPr>
          <w:rFonts w:hint="eastAsia" w:ascii="宋体" w:hAnsi="宋体" w:eastAsia="宋体" w:cs="宋体"/>
          <w:b/>
          <w:color w:val="auto"/>
          <w:sz w:val="21"/>
          <w:szCs w:val="21"/>
          <w:highlight w:val="none"/>
          <w:lang w:val="en-US" w:eastAsia="zh-CN"/>
        </w:rPr>
        <w:t>.采用DL/T 860（IEC 61850）规约。</w:t>
      </w:r>
    </w:p>
    <w:p>
      <w:pPr>
        <w:pStyle w:val="3"/>
        <w:keepLines w:val="0"/>
        <w:widowControl/>
        <w:overflowPunct w:val="0"/>
        <w:autoSpaceDE w:val="0"/>
        <w:autoSpaceDN w:val="0"/>
        <w:snapToGrid w:val="0"/>
        <w:spacing w:before="0" w:after="0" w:line="520" w:lineRule="exact"/>
        <w:rPr>
          <w:rFonts w:hint="eastAsia" w:ascii="宋体" w:hAnsi="宋体" w:eastAsia="宋体" w:cs="宋体"/>
          <w:bCs w:val="0"/>
          <w:iCs/>
          <w:snapToGrid w:val="0"/>
          <w:color w:val="auto"/>
          <w:kern w:val="0"/>
          <w:sz w:val="21"/>
          <w:szCs w:val="21"/>
          <w:highlight w:val="none"/>
          <w:lang w:bidi="en-US"/>
        </w:rPr>
      </w:pPr>
      <w:bookmarkStart w:id="252" w:name="_Toc476454643"/>
      <w:bookmarkStart w:id="253" w:name="_Toc485135025"/>
      <w:bookmarkStart w:id="254" w:name="_Toc499430178"/>
      <w:bookmarkStart w:id="255" w:name="_Toc485133958"/>
      <w:bookmarkStart w:id="256" w:name="_Toc485133667"/>
      <w:bookmarkStart w:id="257" w:name="_Toc483899294"/>
      <w:bookmarkStart w:id="258" w:name="_Toc25795"/>
      <w:r>
        <w:rPr>
          <w:rFonts w:hint="eastAsia" w:ascii="宋体" w:hAnsi="宋体" w:eastAsia="宋体" w:cs="宋体"/>
          <w:bCs w:val="0"/>
          <w:iCs/>
          <w:snapToGrid w:val="0"/>
          <w:color w:val="auto"/>
          <w:kern w:val="0"/>
          <w:sz w:val="21"/>
          <w:szCs w:val="21"/>
          <w:highlight w:val="none"/>
          <w:lang w:bidi="en-US"/>
        </w:rPr>
        <w:t>11.2 备品备件</w:t>
      </w:r>
      <w:bookmarkEnd w:id="252"/>
      <w:r>
        <w:rPr>
          <w:rFonts w:hint="eastAsia" w:ascii="宋体" w:hAnsi="宋体" w:eastAsia="宋体" w:cs="宋体"/>
          <w:bCs w:val="0"/>
          <w:iCs/>
          <w:snapToGrid w:val="0"/>
          <w:color w:val="auto"/>
          <w:kern w:val="0"/>
          <w:sz w:val="21"/>
          <w:szCs w:val="21"/>
          <w:highlight w:val="none"/>
          <w:lang w:bidi="en-US"/>
        </w:rPr>
        <w:t>及专用工具</w:t>
      </w:r>
      <w:bookmarkEnd w:id="253"/>
      <w:bookmarkEnd w:id="254"/>
      <w:bookmarkEnd w:id="255"/>
      <w:bookmarkEnd w:id="256"/>
      <w:bookmarkEnd w:id="257"/>
      <w:bookmarkEnd w:id="258"/>
    </w:p>
    <w:p>
      <w:pPr>
        <w:spacing w:line="360" w:lineRule="auto"/>
        <w:rPr>
          <w:rFonts w:hint="eastAsia" w:ascii="宋体" w:hAnsi="宋体" w:eastAsia="宋体" w:cs="宋体"/>
          <w:color w:val="auto"/>
          <w:sz w:val="21"/>
          <w:szCs w:val="21"/>
          <w:highlight w:val="none"/>
        </w:rPr>
      </w:pPr>
      <w:bookmarkStart w:id="259" w:name="_Toc499430179"/>
      <w:bookmarkStart w:id="260" w:name="_Toc485135026"/>
      <w:bookmarkStart w:id="261" w:name="_Toc485133668"/>
      <w:bookmarkStart w:id="262" w:name="_Toc485133959"/>
      <w:bookmarkStart w:id="263" w:name="_Toc483899295"/>
      <w:r>
        <w:rPr>
          <w:rFonts w:hint="eastAsia" w:ascii="宋体" w:hAnsi="宋体" w:eastAsia="宋体" w:cs="宋体"/>
          <w:color w:val="auto"/>
          <w:sz w:val="21"/>
          <w:szCs w:val="21"/>
          <w:highlight w:val="none"/>
        </w:rPr>
        <w:t>11.2.1 备品备件</w:t>
      </w:r>
      <w:bookmarkEnd w:id="259"/>
      <w:bookmarkEnd w:id="260"/>
      <w:bookmarkEnd w:id="261"/>
      <w:bookmarkEnd w:id="262"/>
      <w:bookmarkEnd w:id="263"/>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投标人应提供必要的备品备件，其价格单独列出，并包括在设备的基价内。</w:t>
      </w:r>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备品备件数量应满足系统连续运行三年的要求。招标人在认为必要时有权要求增加或减少备品备件的数量。</w:t>
      </w:r>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在设备使用寿命期间，投标人应保证备品备件的及时供应；当投标人决定中断生产某些组件或设备时，应预先告知招标人，以便招标人增加这些设备的备品备件。</w:t>
      </w:r>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所有备品备件应当是新的，必须能与原件相互替换。</w:t>
      </w:r>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合同订购的全部备品备件，应随设备一并运抵目的地。备品备件应有合格的单独包装，并注明“备品”字样。</w:t>
      </w:r>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投标人提供有关备品备件的保管资料，如存放期限、是否需干燥剂等。</w:t>
      </w:r>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所有备品备件的一些主要部件（如印刷电路板）在发运前，都应逐件进行测试，以保证在综合自动化系统中正常运行。</w:t>
      </w:r>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每一种类的模件，至少应有10%的备品备件。</w:t>
      </w:r>
    </w:p>
    <w:p>
      <w:pPr>
        <w:pStyle w:val="6"/>
        <w:numPr>
          <w:ilvl w:val="0"/>
          <w:numId w:val="16"/>
        </w:numPr>
        <w:spacing w:line="360"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投标书中投标人应列出推荐的备品备件清单，并有详细的说明，以便招标人了解这些备品备件的用途。备品备件清单见表11-2。</w:t>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表11-2</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备品备件清单</w:t>
      </w:r>
    </w:p>
    <w:tbl>
      <w:tblPr>
        <w:tblStyle w:val="84"/>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20"/>
        <w:gridCol w:w="1620"/>
        <w:gridCol w:w="953"/>
        <w:gridCol w:w="900"/>
        <w:gridCol w:w="781"/>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vAlign w:val="center"/>
          </w:tcPr>
          <w:p>
            <w:pPr>
              <w:pStyle w:val="6"/>
              <w:spacing w:line="360" w:lineRule="auto"/>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序号</w:t>
            </w:r>
          </w:p>
        </w:tc>
        <w:tc>
          <w:tcPr>
            <w:tcW w:w="1620" w:type="dxa"/>
            <w:vAlign w:val="center"/>
          </w:tcPr>
          <w:p>
            <w:pPr>
              <w:pStyle w:val="6"/>
              <w:spacing w:line="360" w:lineRule="auto"/>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名称</w:t>
            </w:r>
          </w:p>
        </w:tc>
        <w:tc>
          <w:tcPr>
            <w:tcW w:w="1620" w:type="dxa"/>
            <w:vAlign w:val="center"/>
          </w:tcPr>
          <w:p>
            <w:pPr>
              <w:pStyle w:val="6"/>
              <w:spacing w:line="360" w:lineRule="auto"/>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型号和规范</w:t>
            </w:r>
          </w:p>
        </w:tc>
        <w:tc>
          <w:tcPr>
            <w:tcW w:w="953" w:type="dxa"/>
            <w:vAlign w:val="center"/>
          </w:tcPr>
          <w:p>
            <w:pPr>
              <w:pStyle w:val="6"/>
              <w:spacing w:line="360" w:lineRule="auto"/>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单位</w:t>
            </w:r>
          </w:p>
        </w:tc>
        <w:tc>
          <w:tcPr>
            <w:tcW w:w="900" w:type="dxa"/>
            <w:vAlign w:val="center"/>
          </w:tcPr>
          <w:p>
            <w:pPr>
              <w:pStyle w:val="6"/>
              <w:spacing w:line="360" w:lineRule="auto"/>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781" w:type="dxa"/>
            <w:vAlign w:val="center"/>
          </w:tcPr>
          <w:p>
            <w:pPr>
              <w:pStyle w:val="6"/>
              <w:spacing w:line="360" w:lineRule="auto"/>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用途</w:t>
            </w:r>
          </w:p>
        </w:tc>
        <w:tc>
          <w:tcPr>
            <w:tcW w:w="1681" w:type="dxa"/>
            <w:vAlign w:val="center"/>
          </w:tcPr>
          <w:p>
            <w:pPr>
              <w:pStyle w:val="6"/>
              <w:spacing w:line="360" w:lineRule="auto"/>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28" w:type="dxa"/>
            <w:vAlign w:val="center"/>
          </w:tcPr>
          <w:p>
            <w:pPr>
              <w:pStyle w:val="6"/>
              <w:ind w:firstLine="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620" w:type="dxa"/>
            <w:vAlign w:val="center"/>
          </w:tcPr>
          <w:p>
            <w:pPr>
              <w:pStyle w:val="47"/>
              <w:spacing w:line="240" w:lineRule="auto"/>
              <w:jc w:val="center"/>
              <w:rPr>
                <w:rFonts w:hint="eastAsia" w:ascii="宋体" w:hAnsi="宋体" w:eastAsia="宋体" w:cs="宋体"/>
                <w:color w:val="auto"/>
                <w:sz w:val="18"/>
                <w:szCs w:val="18"/>
                <w:highlight w:val="none"/>
              </w:rPr>
            </w:pPr>
          </w:p>
        </w:tc>
        <w:tc>
          <w:tcPr>
            <w:tcW w:w="1620" w:type="dxa"/>
            <w:vAlign w:val="center"/>
          </w:tcPr>
          <w:p>
            <w:pPr>
              <w:pStyle w:val="47"/>
              <w:spacing w:line="240" w:lineRule="auto"/>
              <w:jc w:val="center"/>
              <w:rPr>
                <w:rFonts w:hint="eastAsia" w:ascii="宋体" w:hAnsi="宋体" w:eastAsia="宋体" w:cs="宋体"/>
                <w:color w:val="auto"/>
                <w:sz w:val="18"/>
                <w:szCs w:val="18"/>
                <w:highlight w:val="none"/>
              </w:rPr>
            </w:pPr>
          </w:p>
        </w:tc>
        <w:tc>
          <w:tcPr>
            <w:tcW w:w="953" w:type="dxa"/>
            <w:vAlign w:val="center"/>
          </w:tcPr>
          <w:p>
            <w:pPr>
              <w:pStyle w:val="47"/>
              <w:spacing w:line="240" w:lineRule="auto"/>
              <w:jc w:val="center"/>
              <w:rPr>
                <w:rFonts w:hint="eastAsia" w:ascii="宋体" w:hAnsi="宋体" w:eastAsia="宋体" w:cs="宋体"/>
                <w:color w:val="auto"/>
                <w:sz w:val="18"/>
                <w:szCs w:val="18"/>
                <w:highlight w:val="none"/>
              </w:rPr>
            </w:pPr>
          </w:p>
        </w:tc>
        <w:tc>
          <w:tcPr>
            <w:tcW w:w="900" w:type="dxa"/>
            <w:vAlign w:val="center"/>
          </w:tcPr>
          <w:p>
            <w:pPr>
              <w:pStyle w:val="47"/>
              <w:spacing w:line="240" w:lineRule="auto"/>
              <w:jc w:val="center"/>
              <w:rPr>
                <w:rFonts w:hint="eastAsia" w:ascii="宋体" w:hAnsi="宋体" w:eastAsia="宋体" w:cs="宋体"/>
                <w:color w:val="auto"/>
                <w:sz w:val="18"/>
                <w:szCs w:val="18"/>
                <w:highlight w:val="none"/>
              </w:rPr>
            </w:pPr>
          </w:p>
        </w:tc>
        <w:tc>
          <w:tcPr>
            <w:tcW w:w="781" w:type="dxa"/>
            <w:vAlign w:val="center"/>
          </w:tcPr>
          <w:p>
            <w:pPr>
              <w:pStyle w:val="47"/>
              <w:spacing w:line="240" w:lineRule="auto"/>
              <w:jc w:val="center"/>
              <w:rPr>
                <w:rFonts w:hint="eastAsia" w:ascii="宋体" w:hAnsi="宋体" w:eastAsia="宋体" w:cs="宋体"/>
                <w:color w:val="auto"/>
                <w:sz w:val="18"/>
                <w:szCs w:val="18"/>
                <w:highlight w:val="none"/>
              </w:rPr>
            </w:pPr>
          </w:p>
        </w:tc>
        <w:tc>
          <w:tcPr>
            <w:tcW w:w="1681" w:type="dxa"/>
          </w:tcPr>
          <w:p>
            <w:pPr>
              <w:pStyle w:val="47"/>
              <w:spacing w:line="240" w:lineRule="auto"/>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vAlign w:val="center"/>
          </w:tcPr>
          <w:p>
            <w:pPr>
              <w:pStyle w:val="47"/>
              <w:spacing w:line="24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620" w:type="dxa"/>
            <w:vAlign w:val="center"/>
          </w:tcPr>
          <w:p>
            <w:pPr>
              <w:pStyle w:val="47"/>
              <w:spacing w:line="240" w:lineRule="auto"/>
              <w:jc w:val="center"/>
              <w:rPr>
                <w:rFonts w:hint="eastAsia" w:ascii="宋体" w:hAnsi="宋体" w:eastAsia="宋体" w:cs="宋体"/>
                <w:color w:val="auto"/>
                <w:sz w:val="18"/>
                <w:szCs w:val="18"/>
                <w:highlight w:val="none"/>
              </w:rPr>
            </w:pPr>
          </w:p>
        </w:tc>
        <w:tc>
          <w:tcPr>
            <w:tcW w:w="1620" w:type="dxa"/>
            <w:vAlign w:val="center"/>
          </w:tcPr>
          <w:p>
            <w:pPr>
              <w:pStyle w:val="47"/>
              <w:spacing w:line="240" w:lineRule="auto"/>
              <w:jc w:val="center"/>
              <w:rPr>
                <w:rFonts w:hint="eastAsia" w:ascii="宋体" w:hAnsi="宋体" w:eastAsia="宋体" w:cs="宋体"/>
                <w:color w:val="auto"/>
                <w:sz w:val="18"/>
                <w:szCs w:val="18"/>
                <w:highlight w:val="none"/>
              </w:rPr>
            </w:pPr>
          </w:p>
        </w:tc>
        <w:tc>
          <w:tcPr>
            <w:tcW w:w="953" w:type="dxa"/>
            <w:vAlign w:val="center"/>
          </w:tcPr>
          <w:p>
            <w:pPr>
              <w:pStyle w:val="47"/>
              <w:spacing w:line="240" w:lineRule="auto"/>
              <w:jc w:val="center"/>
              <w:rPr>
                <w:rFonts w:hint="eastAsia" w:ascii="宋体" w:hAnsi="宋体" w:eastAsia="宋体" w:cs="宋体"/>
                <w:color w:val="auto"/>
                <w:sz w:val="18"/>
                <w:szCs w:val="18"/>
                <w:highlight w:val="none"/>
              </w:rPr>
            </w:pPr>
          </w:p>
        </w:tc>
        <w:tc>
          <w:tcPr>
            <w:tcW w:w="900" w:type="dxa"/>
            <w:vAlign w:val="center"/>
          </w:tcPr>
          <w:p>
            <w:pPr>
              <w:pStyle w:val="47"/>
              <w:spacing w:line="240" w:lineRule="auto"/>
              <w:jc w:val="center"/>
              <w:rPr>
                <w:rFonts w:hint="eastAsia" w:ascii="宋体" w:hAnsi="宋体" w:eastAsia="宋体" w:cs="宋体"/>
                <w:color w:val="auto"/>
                <w:sz w:val="18"/>
                <w:szCs w:val="18"/>
                <w:highlight w:val="none"/>
              </w:rPr>
            </w:pPr>
          </w:p>
        </w:tc>
        <w:tc>
          <w:tcPr>
            <w:tcW w:w="781" w:type="dxa"/>
            <w:vAlign w:val="center"/>
          </w:tcPr>
          <w:p>
            <w:pPr>
              <w:pStyle w:val="47"/>
              <w:spacing w:line="240" w:lineRule="auto"/>
              <w:jc w:val="center"/>
              <w:rPr>
                <w:rFonts w:hint="eastAsia" w:ascii="宋体" w:hAnsi="宋体" w:eastAsia="宋体" w:cs="宋体"/>
                <w:color w:val="auto"/>
                <w:sz w:val="18"/>
                <w:szCs w:val="18"/>
                <w:highlight w:val="none"/>
              </w:rPr>
            </w:pPr>
          </w:p>
        </w:tc>
        <w:tc>
          <w:tcPr>
            <w:tcW w:w="1681" w:type="dxa"/>
          </w:tcPr>
          <w:p>
            <w:pPr>
              <w:pStyle w:val="47"/>
              <w:spacing w:line="240" w:lineRule="auto"/>
              <w:jc w:val="center"/>
              <w:rPr>
                <w:rFonts w:hint="eastAsia" w:ascii="宋体" w:hAnsi="宋体" w:eastAsia="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vAlign w:val="center"/>
          </w:tcPr>
          <w:p>
            <w:pPr>
              <w:pStyle w:val="47"/>
              <w:spacing w:line="240" w:lineRule="auto"/>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p>
        </w:tc>
        <w:tc>
          <w:tcPr>
            <w:tcW w:w="1620" w:type="dxa"/>
            <w:vAlign w:val="center"/>
          </w:tcPr>
          <w:p>
            <w:pPr>
              <w:pStyle w:val="47"/>
              <w:spacing w:line="240" w:lineRule="auto"/>
              <w:jc w:val="center"/>
              <w:rPr>
                <w:rFonts w:hint="eastAsia" w:ascii="宋体" w:hAnsi="宋体" w:eastAsia="宋体" w:cs="宋体"/>
                <w:color w:val="auto"/>
                <w:sz w:val="18"/>
                <w:szCs w:val="18"/>
                <w:highlight w:val="none"/>
              </w:rPr>
            </w:pPr>
          </w:p>
        </w:tc>
        <w:tc>
          <w:tcPr>
            <w:tcW w:w="1620" w:type="dxa"/>
            <w:vAlign w:val="center"/>
          </w:tcPr>
          <w:p>
            <w:pPr>
              <w:pStyle w:val="47"/>
              <w:spacing w:line="240" w:lineRule="auto"/>
              <w:jc w:val="center"/>
              <w:rPr>
                <w:rFonts w:hint="eastAsia" w:ascii="宋体" w:hAnsi="宋体" w:eastAsia="宋体" w:cs="宋体"/>
                <w:color w:val="auto"/>
                <w:sz w:val="18"/>
                <w:szCs w:val="18"/>
                <w:highlight w:val="none"/>
              </w:rPr>
            </w:pPr>
          </w:p>
        </w:tc>
        <w:tc>
          <w:tcPr>
            <w:tcW w:w="953" w:type="dxa"/>
            <w:vAlign w:val="center"/>
          </w:tcPr>
          <w:p>
            <w:pPr>
              <w:pStyle w:val="47"/>
              <w:spacing w:line="240" w:lineRule="auto"/>
              <w:jc w:val="center"/>
              <w:rPr>
                <w:rFonts w:hint="eastAsia" w:ascii="宋体" w:hAnsi="宋体" w:eastAsia="宋体" w:cs="宋体"/>
                <w:color w:val="auto"/>
                <w:sz w:val="18"/>
                <w:szCs w:val="18"/>
                <w:highlight w:val="none"/>
              </w:rPr>
            </w:pPr>
          </w:p>
        </w:tc>
        <w:tc>
          <w:tcPr>
            <w:tcW w:w="900" w:type="dxa"/>
            <w:vAlign w:val="center"/>
          </w:tcPr>
          <w:p>
            <w:pPr>
              <w:pStyle w:val="47"/>
              <w:spacing w:line="240" w:lineRule="auto"/>
              <w:jc w:val="center"/>
              <w:rPr>
                <w:rFonts w:hint="eastAsia" w:ascii="宋体" w:hAnsi="宋体" w:eastAsia="宋体" w:cs="宋体"/>
                <w:color w:val="auto"/>
                <w:sz w:val="18"/>
                <w:szCs w:val="18"/>
                <w:highlight w:val="none"/>
              </w:rPr>
            </w:pPr>
          </w:p>
        </w:tc>
        <w:tc>
          <w:tcPr>
            <w:tcW w:w="781" w:type="dxa"/>
            <w:vAlign w:val="center"/>
          </w:tcPr>
          <w:p>
            <w:pPr>
              <w:pStyle w:val="47"/>
              <w:spacing w:line="240" w:lineRule="auto"/>
              <w:jc w:val="center"/>
              <w:rPr>
                <w:rFonts w:hint="eastAsia" w:ascii="宋体" w:hAnsi="宋体" w:eastAsia="宋体" w:cs="宋体"/>
                <w:color w:val="auto"/>
                <w:sz w:val="18"/>
                <w:szCs w:val="18"/>
                <w:highlight w:val="none"/>
              </w:rPr>
            </w:pPr>
          </w:p>
        </w:tc>
        <w:tc>
          <w:tcPr>
            <w:tcW w:w="1681" w:type="dxa"/>
          </w:tcPr>
          <w:p>
            <w:pPr>
              <w:pStyle w:val="47"/>
              <w:spacing w:line="240" w:lineRule="auto"/>
              <w:jc w:val="center"/>
              <w:rPr>
                <w:rFonts w:hint="eastAsia" w:ascii="宋体" w:hAnsi="宋体" w:eastAsia="宋体" w:cs="宋体"/>
                <w:color w:val="auto"/>
                <w:sz w:val="18"/>
                <w:szCs w:val="18"/>
                <w:highlight w:val="none"/>
              </w:rPr>
            </w:pPr>
          </w:p>
        </w:tc>
      </w:tr>
    </w:tbl>
    <w:p>
      <w:pPr>
        <w:spacing w:line="360" w:lineRule="auto"/>
        <w:rPr>
          <w:rFonts w:hint="eastAsia" w:ascii="宋体" w:hAnsi="宋体" w:eastAsia="宋体" w:cs="宋体"/>
          <w:color w:val="auto"/>
          <w:szCs w:val="21"/>
          <w:highlight w:val="none"/>
        </w:rPr>
      </w:pPr>
      <w:bookmarkStart w:id="264" w:name="_Toc485135027"/>
      <w:bookmarkStart w:id="265" w:name="_Toc483899296"/>
      <w:bookmarkStart w:id="266" w:name="_Toc499430180"/>
      <w:bookmarkStart w:id="267" w:name="_Toc485133960"/>
      <w:bookmarkStart w:id="268" w:name="_Toc485133669"/>
      <w:r>
        <w:rPr>
          <w:rFonts w:hint="eastAsia" w:ascii="宋体" w:hAnsi="宋体" w:eastAsia="宋体" w:cs="宋体"/>
          <w:color w:val="auto"/>
          <w:szCs w:val="21"/>
          <w:highlight w:val="none"/>
        </w:rPr>
        <w:t>11.2.2 专用工具和测试仪器</w:t>
      </w:r>
      <w:bookmarkEnd w:id="264"/>
      <w:bookmarkEnd w:id="265"/>
      <w:bookmarkEnd w:id="266"/>
      <w:bookmarkEnd w:id="267"/>
      <w:bookmarkEnd w:id="268"/>
    </w:p>
    <w:p>
      <w:pPr>
        <w:pStyle w:val="6"/>
        <w:spacing w:line="360" w:lineRule="auto"/>
        <w:ind w:firstLineChars="200"/>
        <w:rPr>
          <w:rFonts w:hint="eastAsia" w:ascii="宋体" w:hAnsi="宋体" w:eastAsia="宋体" w:cs="宋体"/>
          <w:color w:val="auto"/>
          <w:highlight w:val="none"/>
        </w:rPr>
      </w:pPr>
      <w:r>
        <w:rPr>
          <w:rFonts w:hint="eastAsia" w:ascii="宋体" w:hAnsi="宋体" w:eastAsia="宋体" w:cs="宋体"/>
          <w:color w:val="auto"/>
          <w:highlight w:val="none"/>
        </w:rPr>
        <w:t>1）投标人应提供一套专用的维修工具和必要的仪器仪表，以满足系统的维护及测试需要。其价格单独列出，并包括在设备的基价内。</w:t>
      </w:r>
    </w:p>
    <w:p>
      <w:pPr>
        <w:pStyle w:val="6"/>
        <w:spacing w:line="360" w:lineRule="auto"/>
        <w:ind w:firstLineChars="200"/>
        <w:rPr>
          <w:rFonts w:hint="eastAsia" w:ascii="宋体" w:hAnsi="宋体" w:eastAsia="宋体" w:cs="宋体"/>
          <w:color w:val="auto"/>
          <w:highlight w:val="none"/>
        </w:rPr>
      </w:pPr>
      <w:r>
        <w:rPr>
          <w:rFonts w:hint="eastAsia" w:ascii="宋体" w:hAnsi="宋体" w:eastAsia="宋体" w:cs="宋体"/>
          <w:color w:val="auto"/>
          <w:highlight w:val="none"/>
        </w:rPr>
        <w:t>2）除专用工具外，投标人还应向招标人提供一份推荐的维修测试人员必备的标准工具的清单。</w:t>
      </w:r>
    </w:p>
    <w:p>
      <w:pPr>
        <w:pStyle w:val="6"/>
        <w:spacing w:line="360" w:lineRule="auto"/>
        <w:ind w:firstLineChars="200"/>
        <w:rPr>
          <w:rFonts w:hint="eastAsia" w:ascii="宋体" w:hAnsi="宋体" w:eastAsia="宋体" w:cs="宋体"/>
          <w:color w:val="auto"/>
          <w:highlight w:val="none"/>
        </w:rPr>
      </w:pPr>
      <w:r>
        <w:rPr>
          <w:rFonts w:hint="eastAsia" w:ascii="宋体" w:hAnsi="宋体" w:eastAsia="宋体" w:cs="宋体"/>
          <w:color w:val="auto"/>
          <w:highlight w:val="none"/>
        </w:rPr>
        <w:t>3）应提供完整的资料。</w:t>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表11-3</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专用工具及仪器</w:t>
      </w:r>
    </w:p>
    <w:tbl>
      <w:tblPr>
        <w:tblStyle w:val="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632"/>
        <w:gridCol w:w="1608"/>
        <w:gridCol w:w="720"/>
        <w:gridCol w:w="720"/>
        <w:gridCol w:w="1700"/>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6"/>
              <w:spacing w:line="360" w:lineRule="auto"/>
              <w:ind w:firstLine="0"/>
              <w:jc w:val="center"/>
              <w:rPr>
                <w:color w:val="auto"/>
                <w:highlight w:val="none"/>
              </w:rPr>
            </w:pPr>
            <w:r>
              <w:rPr>
                <w:color w:val="auto"/>
                <w:highlight w:val="none"/>
              </w:rPr>
              <w:t>序号</w:t>
            </w:r>
          </w:p>
        </w:tc>
        <w:tc>
          <w:tcPr>
            <w:tcW w:w="1632" w:type="dxa"/>
          </w:tcPr>
          <w:p>
            <w:pPr>
              <w:pStyle w:val="6"/>
              <w:spacing w:line="360" w:lineRule="auto"/>
              <w:ind w:firstLine="0"/>
              <w:jc w:val="center"/>
              <w:rPr>
                <w:color w:val="auto"/>
                <w:highlight w:val="none"/>
              </w:rPr>
            </w:pPr>
            <w:r>
              <w:rPr>
                <w:color w:val="auto"/>
                <w:highlight w:val="none"/>
              </w:rPr>
              <w:t>名称</w:t>
            </w:r>
          </w:p>
        </w:tc>
        <w:tc>
          <w:tcPr>
            <w:tcW w:w="1608" w:type="dxa"/>
          </w:tcPr>
          <w:p>
            <w:pPr>
              <w:pStyle w:val="6"/>
              <w:spacing w:line="360" w:lineRule="auto"/>
              <w:ind w:firstLine="0"/>
              <w:jc w:val="center"/>
              <w:rPr>
                <w:color w:val="auto"/>
                <w:highlight w:val="none"/>
              </w:rPr>
            </w:pPr>
            <w:r>
              <w:rPr>
                <w:color w:val="auto"/>
                <w:highlight w:val="none"/>
              </w:rPr>
              <w:t>型号和规范</w:t>
            </w:r>
          </w:p>
        </w:tc>
        <w:tc>
          <w:tcPr>
            <w:tcW w:w="720" w:type="dxa"/>
          </w:tcPr>
          <w:p>
            <w:pPr>
              <w:pStyle w:val="6"/>
              <w:spacing w:line="360" w:lineRule="auto"/>
              <w:ind w:firstLine="0"/>
              <w:jc w:val="center"/>
              <w:rPr>
                <w:color w:val="auto"/>
                <w:highlight w:val="none"/>
              </w:rPr>
            </w:pPr>
            <w:r>
              <w:rPr>
                <w:color w:val="auto"/>
                <w:highlight w:val="none"/>
              </w:rPr>
              <w:t>单位</w:t>
            </w:r>
          </w:p>
        </w:tc>
        <w:tc>
          <w:tcPr>
            <w:tcW w:w="720" w:type="dxa"/>
          </w:tcPr>
          <w:p>
            <w:pPr>
              <w:pStyle w:val="6"/>
              <w:spacing w:line="360" w:lineRule="auto"/>
              <w:ind w:firstLine="0"/>
              <w:jc w:val="center"/>
              <w:rPr>
                <w:color w:val="auto"/>
                <w:highlight w:val="none"/>
              </w:rPr>
            </w:pPr>
            <w:r>
              <w:rPr>
                <w:color w:val="auto"/>
                <w:highlight w:val="none"/>
              </w:rPr>
              <w:t>数量</w:t>
            </w:r>
          </w:p>
        </w:tc>
        <w:tc>
          <w:tcPr>
            <w:tcW w:w="1700" w:type="dxa"/>
          </w:tcPr>
          <w:p>
            <w:pPr>
              <w:pStyle w:val="6"/>
              <w:spacing w:line="360" w:lineRule="auto"/>
              <w:ind w:firstLine="0"/>
              <w:jc w:val="center"/>
              <w:rPr>
                <w:color w:val="auto"/>
                <w:highlight w:val="none"/>
              </w:rPr>
            </w:pPr>
            <w:r>
              <w:rPr>
                <w:color w:val="auto"/>
                <w:highlight w:val="none"/>
              </w:rPr>
              <w:t>用途</w:t>
            </w:r>
          </w:p>
        </w:tc>
        <w:tc>
          <w:tcPr>
            <w:tcW w:w="992" w:type="dxa"/>
          </w:tcPr>
          <w:p>
            <w:pPr>
              <w:pStyle w:val="6"/>
              <w:spacing w:line="360" w:lineRule="auto"/>
              <w:ind w:firstLine="0"/>
              <w:jc w:val="center"/>
              <w:rPr>
                <w:color w:val="auto"/>
                <w:highlight w:val="none"/>
              </w:rPr>
            </w:pPr>
            <w:r>
              <w:rPr>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6"/>
              <w:ind w:firstLine="0"/>
              <w:jc w:val="center"/>
              <w:rPr>
                <w:color w:val="auto"/>
                <w:highlight w:val="none"/>
              </w:rPr>
            </w:pPr>
            <w:r>
              <w:rPr>
                <w:rFonts w:hint="eastAsia"/>
                <w:color w:val="auto"/>
                <w:highlight w:val="none"/>
              </w:rPr>
              <w:t>1</w:t>
            </w:r>
          </w:p>
        </w:tc>
        <w:tc>
          <w:tcPr>
            <w:tcW w:w="1632" w:type="dxa"/>
            <w:vAlign w:val="center"/>
          </w:tcPr>
          <w:p>
            <w:pPr>
              <w:pStyle w:val="6"/>
              <w:ind w:firstLine="0"/>
              <w:jc w:val="center"/>
              <w:rPr>
                <w:color w:val="auto"/>
                <w:highlight w:val="none"/>
              </w:rPr>
            </w:pPr>
          </w:p>
        </w:tc>
        <w:tc>
          <w:tcPr>
            <w:tcW w:w="1608" w:type="dxa"/>
            <w:vAlign w:val="center"/>
          </w:tcPr>
          <w:p>
            <w:pPr>
              <w:pStyle w:val="6"/>
              <w:ind w:firstLine="0"/>
              <w:jc w:val="center"/>
              <w:rPr>
                <w:color w:val="auto"/>
                <w:highlight w:val="none"/>
              </w:rPr>
            </w:pPr>
          </w:p>
        </w:tc>
        <w:tc>
          <w:tcPr>
            <w:tcW w:w="720" w:type="dxa"/>
            <w:vAlign w:val="center"/>
          </w:tcPr>
          <w:p>
            <w:pPr>
              <w:pStyle w:val="6"/>
              <w:ind w:firstLine="0"/>
              <w:jc w:val="center"/>
              <w:rPr>
                <w:color w:val="auto"/>
                <w:highlight w:val="none"/>
              </w:rPr>
            </w:pPr>
          </w:p>
        </w:tc>
        <w:tc>
          <w:tcPr>
            <w:tcW w:w="720" w:type="dxa"/>
            <w:vAlign w:val="center"/>
          </w:tcPr>
          <w:p>
            <w:pPr>
              <w:pStyle w:val="6"/>
              <w:ind w:firstLine="0"/>
              <w:jc w:val="center"/>
              <w:rPr>
                <w:color w:val="auto"/>
                <w:highlight w:val="none"/>
              </w:rPr>
            </w:pPr>
          </w:p>
        </w:tc>
        <w:tc>
          <w:tcPr>
            <w:tcW w:w="1700" w:type="dxa"/>
            <w:vAlign w:val="center"/>
          </w:tcPr>
          <w:p>
            <w:pPr>
              <w:pStyle w:val="6"/>
              <w:ind w:firstLine="0"/>
              <w:jc w:val="center"/>
              <w:rPr>
                <w:color w:val="auto"/>
                <w:highlight w:val="none"/>
              </w:rPr>
            </w:pPr>
          </w:p>
        </w:tc>
        <w:tc>
          <w:tcPr>
            <w:tcW w:w="992" w:type="dxa"/>
          </w:tcPr>
          <w:p>
            <w:pPr>
              <w:pStyle w:val="6"/>
              <w:ind w:firstLine="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6"/>
              <w:ind w:firstLine="0"/>
              <w:jc w:val="center"/>
              <w:rPr>
                <w:color w:val="auto"/>
                <w:highlight w:val="none"/>
              </w:rPr>
            </w:pPr>
            <w:r>
              <w:rPr>
                <w:rFonts w:hint="eastAsia"/>
                <w:color w:val="auto"/>
                <w:highlight w:val="none"/>
              </w:rPr>
              <w:t>2</w:t>
            </w:r>
          </w:p>
        </w:tc>
        <w:tc>
          <w:tcPr>
            <w:tcW w:w="1632" w:type="dxa"/>
            <w:vAlign w:val="center"/>
          </w:tcPr>
          <w:p>
            <w:pPr>
              <w:pStyle w:val="6"/>
              <w:ind w:firstLine="0"/>
              <w:jc w:val="center"/>
              <w:rPr>
                <w:rFonts w:ascii="宋体" w:hAnsi="宋体"/>
                <w:color w:val="auto"/>
                <w:szCs w:val="21"/>
                <w:highlight w:val="none"/>
              </w:rPr>
            </w:pPr>
          </w:p>
        </w:tc>
        <w:tc>
          <w:tcPr>
            <w:tcW w:w="1608" w:type="dxa"/>
            <w:vAlign w:val="center"/>
          </w:tcPr>
          <w:p>
            <w:pPr>
              <w:pStyle w:val="6"/>
              <w:ind w:firstLine="0"/>
              <w:jc w:val="center"/>
              <w:rPr>
                <w:color w:val="auto"/>
                <w:highlight w:val="none"/>
              </w:rPr>
            </w:pPr>
          </w:p>
        </w:tc>
        <w:tc>
          <w:tcPr>
            <w:tcW w:w="720" w:type="dxa"/>
            <w:vAlign w:val="center"/>
          </w:tcPr>
          <w:p>
            <w:pPr>
              <w:pStyle w:val="6"/>
              <w:ind w:firstLine="0"/>
              <w:jc w:val="center"/>
              <w:rPr>
                <w:rFonts w:ascii="宋体" w:hAnsi="宋体"/>
                <w:color w:val="auto"/>
                <w:szCs w:val="21"/>
                <w:highlight w:val="none"/>
              </w:rPr>
            </w:pPr>
          </w:p>
        </w:tc>
        <w:tc>
          <w:tcPr>
            <w:tcW w:w="720" w:type="dxa"/>
            <w:vAlign w:val="center"/>
          </w:tcPr>
          <w:p>
            <w:pPr>
              <w:pStyle w:val="6"/>
              <w:ind w:firstLine="0"/>
              <w:jc w:val="center"/>
              <w:rPr>
                <w:rFonts w:ascii="宋体" w:hAnsi="宋体"/>
                <w:color w:val="auto"/>
                <w:szCs w:val="21"/>
                <w:highlight w:val="none"/>
              </w:rPr>
            </w:pPr>
          </w:p>
        </w:tc>
        <w:tc>
          <w:tcPr>
            <w:tcW w:w="1700" w:type="dxa"/>
            <w:vAlign w:val="center"/>
          </w:tcPr>
          <w:p>
            <w:pPr>
              <w:pStyle w:val="6"/>
              <w:ind w:firstLine="0"/>
              <w:jc w:val="center"/>
              <w:rPr>
                <w:color w:val="auto"/>
                <w:highlight w:val="none"/>
              </w:rPr>
            </w:pPr>
          </w:p>
        </w:tc>
        <w:tc>
          <w:tcPr>
            <w:tcW w:w="992" w:type="dxa"/>
          </w:tcPr>
          <w:p>
            <w:pPr>
              <w:pStyle w:val="6"/>
              <w:ind w:firstLine="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tcPr>
          <w:p>
            <w:pPr>
              <w:pStyle w:val="6"/>
              <w:ind w:firstLine="0"/>
              <w:jc w:val="center"/>
              <w:rPr>
                <w:color w:val="auto"/>
                <w:highlight w:val="none"/>
              </w:rPr>
            </w:pPr>
            <w:r>
              <w:rPr>
                <w:rFonts w:hint="eastAsia"/>
                <w:color w:val="auto"/>
                <w:highlight w:val="none"/>
              </w:rPr>
              <w:t>3</w:t>
            </w:r>
          </w:p>
        </w:tc>
        <w:tc>
          <w:tcPr>
            <w:tcW w:w="1632" w:type="dxa"/>
            <w:vAlign w:val="center"/>
          </w:tcPr>
          <w:p>
            <w:pPr>
              <w:pStyle w:val="6"/>
              <w:ind w:firstLine="0"/>
              <w:jc w:val="center"/>
              <w:rPr>
                <w:color w:val="auto"/>
                <w:highlight w:val="none"/>
              </w:rPr>
            </w:pPr>
          </w:p>
        </w:tc>
        <w:tc>
          <w:tcPr>
            <w:tcW w:w="1608" w:type="dxa"/>
            <w:vAlign w:val="center"/>
          </w:tcPr>
          <w:p>
            <w:pPr>
              <w:pStyle w:val="6"/>
              <w:ind w:firstLine="0"/>
              <w:jc w:val="center"/>
              <w:rPr>
                <w:color w:val="auto"/>
                <w:highlight w:val="none"/>
              </w:rPr>
            </w:pPr>
          </w:p>
        </w:tc>
        <w:tc>
          <w:tcPr>
            <w:tcW w:w="720" w:type="dxa"/>
            <w:vAlign w:val="center"/>
          </w:tcPr>
          <w:p>
            <w:pPr>
              <w:pStyle w:val="6"/>
              <w:ind w:firstLine="0"/>
              <w:jc w:val="center"/>
              <w:rPr>
                <w:color w:val="auto"/>
                <w:highlight w:val="none"/>
              </w:rPr>
            </w:pPr>
          </w:p>
        </w:tc>
        <w:tc>
          <w:tcPr>
            <w:tcW w:w="720" w:type="dxa"/>
            <w:vAlign w:val="center"/>
          </w:tcPr>
          <w:p>
            <w:pPr>
              <w:pStyle w:val="6"/>
              <w:ind w:firstLine="0"/>
              <w:jc w:val="center"/>
              <w:rPr>
                <w:color w:val="auto"/>
                <w:highlight w:val="none"/>
              </w:rPr>
            </w:pPr>
          </w:p>
        </w:tc>
        <w:tc>
          <w:tcPr>
            <w:tcW w:w="1700" w:type="dxa"/>
            <w:vAlign w:val="center"/>
          </w:tcPr>
          <w:p>
            <w:pPr>
              <w:pStyle w:val="6"/>
              <w:ind w:firstLine="0"/>
              <w:jc w:val="center"/>
              <w:rPr>
                <w:color w:val="auto"/>
                <w:highlight w:val="none"/>
              </w:rPr>
            </w:pPr>
          </w:p>
        </w:tc>
        <w:tc>
          <w:tcPr>
            <w:tcW w:w="992" w:type="dxa"/>
          </w:tcPr>
          <w:p>
            <w:pPr>
              <w:pStyle w:val="6"/>
              <w:ind w:firstLine="0"/>
              <w:jc w:val="center"/>
              <w:rPr>
                <w:color w:val="auto"/>
                <w:highlight w:val="none"/>
              </w:rPr>
            </w:pPr>
          </w:p>
        </w:tc>
      </w:tr>
    </w:tbl>
    <w:p>
      <w:pPr>
        <w:pStyle w:val="2"/>
        <w:keepLines/>
        <w:autoSpaceDE w:val="0"/>
        <w:autoSpaceDN w:val="0"/>
        <w:spacing w:before="240" w:after="60"/>
        <w:jc w:val="left"/>
        <w:rPr>
          <w:rFonts w:hint="eastAsia" w:ascii="宋体" w:hAnsi="宋体" w:eastAsia="宋体" w:cs="宋体"/>
          <w:b/>
          <w:bCs/>
          <w:snapToGrid w:val="0"/>
          <w:color w:val="auto"/>
          <w:kern w:val="0"/>
          <w:sz w:val="21"/>
          <w:szCs w:val="21"/>
          <w:highlight w:val="none"/>
        </w:rPr>
      </w:pPr>
      <w:bookmarkStart w:id="269" w:name="_Toc2673"/>
      <w:r>
        <w:rPr>
          <w:rFonts w:hint="eastAsia" w:ascii="宋体" w:hAnsi="宋体" w:eastAsia="宋体" w:cs="宋体"/>
          <w:b/>
          <w:bCs/>
          <w:snapToGrid w:val="0"/>
          <w:color w:val="auto"/>
          <w:kern w:val="0"/>
          <w:sz w:val="21"/>
          <w:szCs w:val="21"/>
          <w:highlight w:val="none"/>
        </w:rPr>
        <w:t>附录A 技术偏差表</w:t>
      </w:r>
      <w:bookmarkEnd w:id="269"/>
    </w:p>
    <w:p>
      <w:pPr>
        <w:pStyle w:val="6"/>
        <w:spacing w:line="360" w:lineRule="auto"/>
        <w:ind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对技术规范书的意见和同规范书的差异，</w:t>
      </w:r>
    </w:p>
    <w:p>
      <w:pPr>
        <w:pStyle w:val="6"/>
        <w:spacing w:line="360" w:lineRule="auto"/>
        <w:ind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投标人在此确认本标书完全符合招标文件的要求，除以下所列偏差外：</w:t>
      </w:r>
    </w:p>
    <w:p>
      <w:pPr>
        <w:pStyle w:val="6"/>
        <w:spacing w:line="360" w:lineRule="auto"/>
        <w:ind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当我们提供的标书中货物性能和供货范围的描述与招标文件有任何矛盾时，以招标文件为准，以下所列除外：</w:t>
      </w:r>
    </w:p>
    <w:tbl>
      <w:tblPr>
        <w:tblStyle w:val="84"/>
        <w:tblW w:w="83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755"/>
        <w:gridCol w:w="2268"/>
        <w:gridCol w:w="1843"/>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pStyle w:val="6"/>
              <w:spacing w:line="360" w:lineRule="auto"/>
              <w:ind w:firstLine="0"/>
              <w:jc w:val="center"/>
              <w:rPr>
                <w:color w:val="auto"/>
                <w:highlight w:val="none"/>
              </w:rPr>
            </w:pPr>
            <w:r>
              <w:rPr>
                <w:color w:val="auto"/>
                <w:highlight w:val="none"/>
              </w:rPr>
              <w:t>项目号</w:t>
            </w:r>
          </w:p>
        </w:tc>
        <w:tc>
          <w:tcPr>
            <w:tcW w:w="1755" w:type="dxa"/>
            <w:vAlign w:val="center"/>
          </w:tcPr>
          <w:p>
            <w:pPr>
              <w:pStyle w:val="6"/>
              <w:spacing w:line="360" w:lineRule="auto"/>
              <w:ind w:firstLine="0"/>
              <w:jc w:val="center"/>
              <w:rPr>
                <w:color w:val="auto"/>
                <w:highlight w:val="none"/>
              </w:rPr>
            </w:pPr>
            <w:r>
              <w:rPr>
                <w:color w:val="auto"/>
                <w:highlight w:val="none"/>
              </w:rPr>
              <w:t>规     范</w:t>
            </w:r>
          </w:p>
        </w:tc>
        <w:tc>
          <w:tcPr>
            <w:tcW w:w="2268" w:type="dxa"/>
            <w:vAlign w:val="center"/>
          </w:tcPr>
          <w:p>
            <w:pPr>
              <w:pStyle w:val="6"/>
              <w:spacing w:line="360" w:lineRule="auto"/>
              <w:ind w:firstLine="0"/>
              <w:jc w:val="center"/>
              <w:rPr>
                <w:color w:val="auto"/>
                <w:highlight w:val="none"/>
              </w:rPr>
            </w:pPr>
            <w:r>
              <w:rPr>
                <w:color w:val="auto"/>
                <w:highlight w:val="none"/>
              </w:rPr>
              <w:t>参见条款编号</w:t>
            </w:r>
          </w:p>
        </w:tc>
        <w:tc>
          <w:tcPr>
            <w:tcW w:w="1843" w:type="dxa"/>
            <w:vAlign w:val="center"/>
          </w:tcPr>
          <w:p>
            <w:pPr>
              <w:pStyle w:val="6"/>
              <w:spacing w:line="360" w:lineRule="auto"/>
              <w:ind w:firstLine="0"/>
              <w:jc w:val="center"/>
              <w:rPr>
                <w:color w:val="auto"/>
                <w:highlight w:val="none"/>
              </w:rPr>
            </w:pPr>
            <w:r>
              <w:rPr>
                <w:color w:val="auto"/>
                <w:highlight w:val="none"/>
              </w:rPr>
              <w:t>偏     差</w:t>
            </w:r>
          </w:p>
        </w:tc>
        <w:tc>
          <w:tcPr>
            <w:tcW w:w="1276" w:type="dxa"/>
            <w:vAlign w:val="center"/>
          </w:tcPr>
          <w:p>
            <w:pPr>
              <w:pStyle w:val="6"/>
              <w:spacing w:line="360" w:lineRule="auto"/>
              <w:ind w:firstLine="0"/>
              <w:jc w:val="center"/>
              <w:rPr>
                <w:color w:val="auto"/>
                <w:highlight w:val="none"/>
              </w:rPr>
            </w:pPr>
            <w:r>
              <w:rPr>
                <w:color w:val="auto"/>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pStyle w:val="6"/>
              <w:spacing w:line="360" w:lineRule="auto"/>
              <w:ind w:firstLine="0"/>
              <w:jc w:val="center"/>
              <w:rPr>
                <w:color w:val="auto"/>
                <w:highlight w:val="none"/>
              </w:rPr>
            </w:pPr>
          </w:p>
        </w:tc>
        <w:tc>
          <w:tcPr>
            <w:tcW w:w="1755" w:type="dxa"/>
            <w:vAlign w:val="center"/>
          </w:tcPr>
          <w:p>
            <w:pPr>
              <w:pStyle w:val="6"/>
              <w:spacing w:line="360" w:lineRule="auto"/>
              <w:ind w:firstLine="0"/>
              <w:jc w:val="center"/>
              <w:rPr>
                <w:color w:val="auto"/>
                <w:highlight w:val="none"/>
              </w:rPr>
            </w:pPr>
          </w:p>
        </w:tc>
        <w:tc>
          <w:tcPr>
            <w:tcW w:w="2268" w:type="dxa"/>
            <w:vAlign w:val="center"/>
          </w:tcPr>
          <w:p>
            <w:pPr>
              <w:pStyle w:val="6"/>
              <w:spacing w:line="360" w:lineRule="auto"/>
              <w:ind w:firstLine="0"/>
              <w:jc w:val="center"/>
              <w:rPr>
                <w:color w:val="auto"/>
                <w:highlight w:val="none"/>
              </w:rPr>
            </w:pPr>
          </w:p>
        </w:tc>
        <w:tc>
          <w:tcPr>
            <w:tcW w:w="1843" w:type="dxa"/>
            <w:vAlign w:val="center"/>
          </w:tcPr>
          <w:p>
            <w:pPr>
              <w:pStyle w:val="6"/>
              <w:spacing w:line="360" w:lineRule="auto"/>
              <w:ind w:firstLine="0"/>
              <w:jc w:val="center"/>
              <w:rPr>
                <w:color w:val="auto"/>
                <w:highlight w:val="none"/>
              </w:rPr>
            </w:pPr>
          </w:p>
        </w:tc>
        <w:tc>
          <w:tcPr>
            <w:tcW w:w="1276" w:type="dxa"/>
            <w:vAlign w:val="center"/>
          </w:tcPr>
          <w:p>
            <w:pPr>
              <w:pStyle w:val="6"/>
              <w:spacing w:line="360" w:lineRule="auto"/>
              <w:ind w:firstLine="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pStyle w:val="6"/>
              <w:spacing w:line="360" w:lineRule="auto"/>
              <w:ind w:firstLine="0"/>
              <w:jc w:val="center"/>
              <w:rPr>
                <w:color w:val="auto"/>
                <w:highlight w:val="none"/>
              </w:rPr>
            </w:pPr>
          </w:p>
        </w:tc>
        <w:tc>
          <w:tcPr>
            <w:tcW w:w="1755" w:type="dxa"/>
            <w:vAlign w:val="center"/>
          </w:tcPr>
          <w:p>
            <w:pPr>
              <w:pStyle w:val="6"/>
              <w:spacing w:line="360" w:lineRule="auto"/>
              <w:ind w:firstLine="0"/>
              <w:jc w:val="center"/>
              <w:rPr>
                <w:color w:val="auto"/>
                <w:highlight w:val="none"/>
              </w:rPr>
            </w:pPr>
          </w:p>
        </w:tc>
        <w:tc>
          <w:tcPr>
            <w:tcW w:w="2268" w:type="dxa"/>
            <w:vAlign w:val="center"/>
          </w:tcPr>
          <w:p>
            <w:pPr>
              <w:pStyle w:val="6"/>
              <w:spacing w:line="360" w:lineRule="auto"/>
              <w:ind w:firstLine="0"/>
              <w:jc w:val="center"/>
              <w:rPr>
                <w:color w:val="auto"/>
                <w:highlight w:val="none"/>
              </w:rPr>
            </w:pPr>
          </w:p>
        </w:tc>
        <w:tc>
          <w:tcPr>
            <w:tcW w:w="1843" w:type="dxa"/>
            <w:vAlign w:val="center"/>
          </w:tcPr>
          <w:p>
            <w:pPr>
              <w:pStyle w:val="6"/>
              <w:spacing w:line="360" w:lineRule="auto"/>
              <w:ind w:firstLine="0"/>
              <w:jc w:val="center"/>
              <w:rPr>
                <w:color w:val="auto"/>
                <w:highlight w:val="none"/>
              </w:rPr>
            </w:pPr>
          </w:p>
        </w:tc>
        <w:tc>
          <w:tcPr>
            <w:tcW w:w="1276" w:type="dxa"/>
            <w:vAlign w:val="center"/>
          </w:tcPr>
          <w:p>
            <w:pPr>
              <w:pStyle w:val="6"/>
              <w:spacing w:line="360" w:lineRule="auto"/>
              <w:ind w:firstLine="0"/>
              <w:jc w:val="center"/>
              <w:rPr>
                <w:color w:val="auto"/>
                <w:highlight w:val="none"/>
              </w:rPr>
            </w:pPr>
          </w:p>
        </w:tc>
      </w:tr>
    </w:tbl>
    <w:p>
      <w:pPr>
        <w:pStyle w:val="6"/>
        <w:spacing w:line="360" w:lineRule="auto"/>
        <w:ind w:firstLineChars="200"/>
        <w:rPr>
          <w:color w:val="auto"/>
          <w:highlight w:val="none"/>
        </w:rPr>
      </w:pPr>
      <w:r>
        <w:rPr>
          <w:color w:val="auto"/>
          <w:highlight w:val="none"/>
        </w:rPr>
        <w:t>任何影响投标书实质性响应的技术偏差，应列在下表中，且作为替代方案，但符合本技术规范的基本建议书应提交：</w:t>
      </w:r>
    </w:p>
    <w:tbl>
      <w:tblPr>
        <w:tblStyle w:val="8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755"/>
        <w:gridCol w:w="2268"/>
        <w:gridCol w:w="1843"/>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pStyle w:val="6"/>
              <w:spacing w:line="360" w:lineRule="auto"/>
              <w:ind w:firstLine="0"/>
              <w:jc w:val="center"/>
              <w:rPr>
                <w:color w:val="auto"/>
                <w:highlight w:val="none"/>
              </w:rPr>
            </w:pPr>
            <w:r>
              <w:rPr>
                <w:color w:val="auto"/>
                <w:highlight w:val="none"/>
              </w:rPr>
              <w:t>项目号</w:t>
            </w:r>
          </w:p>
        </w:tc>
        <w:tc>
          <w:tcPr>
            <w:tcW w:w="1755" w:type="dxa"/>
            <w:vAlign w:val="center"/>
          </w:tcPr>
          <w:p>
            <w:pPr>
              <w:pStyle w:val="6"/>
              <w:spacing w:line="360" w:lineRule="auto"/>
              <w:ind w:firstLine="0"/>
              <w:jc w:val="center"/>
              <w:rPr>
                <w:color w:val="auto"/>
                <w:highlight w:val="none"/>
              </w:rPr>
            </w:pPr>
            <w:r>
              <w:rPr>
                <w:color w:val="auto"/>
                <w:highlight w:val="none"/>
              </w:rPr>
              <w:t>规     范</w:t>
            </w:r>
          </w:p>
        </w:tc>
        <w:tc>
          <w:tcPr>
            <w:tcW w:w="2268" w:type="dxa"/>
            <w:vAlign w:val="center"/>
          </w:tcPr>
          <w:p>
            <w:pPr>
              <w:pStyle w:val="6"/>
              <w:spacing w:line="360" w:lineRule="auto"/>
              <w:ind w:firstLine="0"/>
              <w:jc w:val="center"/>
              <w:rPr>
                <w:color w:val="auto"/>
                <w:highlight w:val="none"/>
              </w:rPr>
            </w:pPr>
            <w:r>
              <w:rPr>
                <w:color w:val="auto"/>
                <w:highlight w:val="none"/>
              </w:rPr>
              <w:t>参见条款编号</w:t>
            </w:r>
          </w:p>
        </w:tc>
        <w:tc>
          <w:tcPr>
            <w:tcW w:w="1843" w:type="dxa"/>
            <w:vAlign w:val="center"/>
          </w:tcPr>
          <w:p>
            <w:pPr>
              <w:pStyle w:val="6"/>
              <w:spacing w:line="360" w:lineRule="auto"/>
              <w:ind w:firstLine="0"/>
              <w:jc w:val="center"/>
              <w:rPr>
                <w:color w:val="auto"/>
                <w:highlight w:val="none"/>
              </w:rPr>
            </w:pPr>
            <w:r>
              <w:rPr>
                <w:color w:val="auto"/>
                <w:highlight w:val="none"/>
              </w:rPr>
              <w:t>偏     差</w:t>
            </w:r>
          </w:p>
        </w:tc>
        <w:tc>
          <w:tcPr>
            <w:tcW w:w="1418" w:type="dxa"/>
            <w:vAlign w:val="center"/>
          </w:tcPr>
          <w:p>
            <w:pPr>
              <w:jc w:val="center"/>
              <w:rPr>
                <w:color w:val="auto"/>
                <w:highlight w:val="none"/>
              </w:rPr>
            </w:pPr>
            <w:r>
              <w:rPr>
                <w:color w:val="auto"/>
                <w:highlight w:val="none"/>
              </w:rPr>
              <w:t>价格调整</w:t>
            </w:r>
          </w:p>
          <w:p>
            <w:pPr>
              <w:jc w:val="center"/>
              <w:rPr>
                <w:color w:val="auto"/>
                <w:highlight w:val="none"/>
              </w:rPr>
            </w:pPr>
            <w:r>
              <w:rPr>
                <w:color w:val="auto"/>
                <w:highlight w:val="none"/>
              </w:rPr>
              <w:t>(增加或减少)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pStyle w:val="6"/>
              <w:spacing w:line="360" w:lineRule="auto"/>
              <w:ind w:firstLine="0"/>
              <w:jc w:val="center"/>
              <w:rPr>
                <w:color w:val="auto"/>
                <w:highlight w:val="none"/>
              </w:rPr>
            </w:pPr>
          </w:p>
        </w:tc>
        <w:tc>
          <w:tcPr>
            <w:tcW w:w="1755" w:type="dxa"/>
            <w:vAlign w:val="center"/>
          </w:tcPr>
          <w:p>
            <w:pPr>
              <w:pStyle w:val="6"/>
              <w:spacing w:line="360" w:lineRule="auto"/>
              <w:ind w:firstLine="0"/>
              <w:jc w:val="center"/>
              <w:rPr>
                <w:color w:val="auto"/>
                <w:highlight w:val="none"/>
              </w:rPr>
            </w:pPr>
          </w:p>
        </w:tc>
        <w:tc>
          <w:tcPr>
            <w:tcW w:w="2268" w:type="dxa"/>
            <w:vAlign w:val="center"/>
          </w:tcPr>
          <w:p>
            <w:pPr>
              <w:pStyle w:val="6"/>
              <w:spacing w:line="360" w:lineRule="auto"/>
              <w:ind w:firstLine="0"/>
              <w:jc w:val="center"/>
              <w:rPr>
                <w:color w:val="auto"/>
                <w:highlight w:val="none"/>
              </w:rPr>
            </w:pPr>
          </w:p>
        </w:tc>
        <w:tc>
          <w:tcPr>
            <w:tcW w:w="1843" w:type="dxa"/>
            <w:vAlign w:val="center"/>
          </w:tcPr>
          <w:p>
            <w:pPr>
              <w:pStyle w:val="6"/>
              <w:spacing w:line="360" w:lineRule="auto"/>
              <w:ind w:firstLine="0"/>
              <w:jc w:val="center"/>
              <w:rPr>
                <w:color w:val="auto"/>
                <w:highlight w:val="none"/>
              </w:rPr>
            </w:pPr>
          </w:p>
        </w:tc>
        <w:tc>
          <w:tcPr>
            <w:tcW w:w="1418" w:type="dxa"/>
            <w:vAlign w:val="center"/>
          </w:tcPr>
          <w:p>
            <w:pPr>
              <w:pStyle w:val="6"/>
              <w:spacing w:line="360" w:lineRule="auto"/>
              <w:ind w:firstLine="0"/>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pPr>
              <w:pStyle w:val="6"/>
              <w:spacing w:line="360" w:lineRule="auto"/>
              <w:ind w:firstLine="0"/>
              <w:jc w:val="center"/>
              <w:rPr>
                <w:color w:val="auto"/>
                <w:highlight w:val="none"/>
              </w:rPr>
            </w:pPr>
          </w:p>
        </w:tc>
        <w:tc>
          <w:tcPr>
            <w:tcW w:w="1755" w:type="dxa"/>
            <w:vAlign w:val="center"/>
          </w:tcPr>
          <w:p>
            <w:pPr>
              <w:pStyle w:val="6"/>
              <w:spacing w:line="360" w:lineRule="auto"/>
              <w:ind w:firstLine="0"/>
              <w:jc w:val="center"/>
              <w:rPr>
                <w:color w:val="auto"/>
                <w:highlight w:val="none"/>
              </w:rPr>
            </w:pPr>
          </w:p>
        </w:tc>
        <w:tc>
          <w:tcPr>
            <w:tcW w:w="2268" w:type="dxa"/>
            <w:vAlign w:val="center"/>
          </w:tcPr>
          <w:p>
            <w:pPr>
              <w:pStyle w:val="6"/>
              <w:spacing w:line="360" w:lineRule="auto"/>
              <w:ind w:firstLine="0"/>
              <w:jc w:val="center"/>
              <w:rPr>
                <w:color w:val="auto"/>
                <w:highlight w:val="none"/>
              </w:rPr>
            </w:pPr>
          </w:p>
        </w:tc>
        <w:tc>
          <w:tcPr>
            <w:tcW w:w="1843" w:type="dxa"/>
            <w:vAlign w:val="center"/>
          </w:tcPr>
          <w:p>
            <w:pPr>
              <w:pStyle w:val="6"/>
              <w:spacing w:line="360" w:lineRule="auto"/>
              <w:ind w:firstLine="0"/>
              <w:jc w:val="center"/>
              <w:rPr>
                <w:color w:val="auto"/>
                <w:highlight w:val="none"/>
              </w:rPr>
            </w:pPr>
          </w:p>
        </w:tc>
        <w:tc>
          <w:tcPr>
            <w:tcW w:w="1418" w:type="dxa"/>
            <w:vAlign w:val="center"/>
          </w:tcPr>
          <w:p>
            <w:pPr>
              <w:pStyle w:val="6"/>
              <w:spacing w:line="360" w:lineRule="auto"/>
              <w:ind w:firstLine="0"/>
              <w:jc w:val="center"/>
              <w:rPr>
                <w:color w:val="auto"/>
                <w:highlight w:val="none"/>
              </w:rPr>
            </w:pPr>
          </w:p>
        </w:tc>
      </w:tr>
    </w:tbl>
    <w:p>
      <w:pPr>
        <w:pStyle w:val="2"/>
        <w:keepLines/>
        <w:autoSpaceDE w:val="0"/>
        <w:autoSpaceDN w:val="0"/>
        <w:jc w:val="left"/>
        <w:rPr>
          <w:rFonts w:hint="eastAsia" w:ascii="宋体" w:hAnsi="宋体" w:eastAsia="宋体" w:cs="宋体"/>
          <w:b w:val="0"/>
          <w:bCs w:val="0"/>
          <w:snapToGrid w:val="0"/>
          <w:color w:val="auto"/>
          <w:kern w:val="0"/>
          <w:sz w:val="21"/>
          <w:szCs w:val="21"/>
          <w:highlight w:val="none"/>
        </w:rPr>
      </w:pPr>
      <w:bookmarkStart w:id="270" w:name="_Toc4267"/>
      <w:r>
        <w:rPr>
          <w:rFonts w:hint="eastAsia" w:ascii="宋体" w:hAnsi="宋体" w:eastAsia="宋体" w:cs="宋体"/>
          <w:b w:val="0"/>
          <w:bCs w:val="0"/>
          <w:snapToGrid w:val="0"/>
          <w:color w:val="auto"/>
          <w:kern w:val="0"/>
          <w:sz w:val="21"/>
          <w:szCs w:val="21"/>
          <w:highlight w:val="none"/>
        </w:rPr>
        <w:t xml:space="preserve">附图1  </w:t>
      </w:r>
      <w:r>
        <w:rPr>
          <w:rFonts w:hint="eastAsia" w:ascii="宋体" w:hAnsi="宋体" w:cs="宋体"/>
          <w:b w:val="0"/>
          <w:bCs w:val="0"/>
          <w:snapToGrid w:val="0"/>
          <w:color w:val="auto"/>
          <w:kern w:val="0"/>
          <w:sz w:val="21"/>
          <w:szCs w:val="21"/>
          <w:highlight w:val="none"/>
          <w:lang w:eastAsia="zh-CN"/>
        </w:rPr>
        <w:t>变电站</w:t>
      </w:r>
      <w:r>
        <w:rPr>
          <w:rFonts w:hint="eastAsia" w:ascii="宋体" w:hAnsi="宋体" w:eastAsia="宋体" w:cs="宋体"/>
          <w:b w:val="0"/>
          <w:bCs w:val="0"/>
          <w:snapToGrid w:val="0"/>
          <w:color w:val="auto"/>
          <w:kern w:val="0"/>
          <w:sz w:val="21"/>
          <w:szCs w:val="21"/>
          <w:highlight w:val="none"/>
        </w:rPr>
        <w:t>电气主接线图(见附图1）</w:t>
      </w:r>
      <w:bookmarkEnd w:id="270"/>
    </w:p>
    <w:p>
      <w:pPr>
        <w:pStyle w:val="2"/>
        <w:keepLines/>
        <w:autoSpaceDE w:val="0"/>
        <w:autoSpaceDN w:val="0"/>
        <w:jc w:val="left"/>
        <w:rPr>
          <w:rFonts w:hint="eastAsia" w:ascii="宋体" w:hAnsi="宋体" w:eastAsia="宋体" w:cs="宋体"/>
          <w:b w:val="0"/>
          <w:bCs w:val="0"/>
          <w:snapToGrid w:val="0"/>
          <w:color w:val="auto"/>
          <w:kern w:val="0"/>
          <w:sz w:val="21"/>
          <w:szCs w:val="21"/>
          <w:highlight w:val="none"/>
        </w:rPr>
      </w:pPr>
      <w:bookmarkStart w:id="271" w:name="_Toc5601"/>
      <w:r>
        <w:rPr>
          <w:rFonts w:hint="eastAsia" w:ascii="宋体" w:hAnsi="宋体" w:eastAsia="宋体" w:cs="宋体"/>
          <w:b w:val="0"/>
          <w:bCs w:val="0"/>
          <w:snapToGrid w:val="0"/>
          <w:color w:val="auto"/>
          <w:kern w:val="0"/>
          <w:sz w:val="21"/>
          <w:szCs w:val="21"/>
          <w:highlight w:val="none"/>
        </w:rPr>
        <w:t xml:space="preserve">附图2  </w:t>
      </w:r>
      <w:r>
        <w:rPr>
          <w:rFonts w:hint="eastAsia" w:ascii="宋体" w:hAnsi="宋体" w:cs="宋体"/>
          <w:b w:val="0"/>
          <w:bCs w:val="0"/>
          <w:snapToGrid w:val="0"/>
          <w:color w:val="auto"/>
          <w:kern w:val="0"/>
          <w:sz w:val="21"/>
          <w:szCs w:val="21"/>
          <w:highlight w:val="none"/>
          <w:lang w:eastAsia="zh-CN"/>
        </w:rPr>
        <w:t>变电站</w:t>
      </w:r>
      <w:r>
        <w:rPr>
          <w:rFonts w:hint="eastAsia" w:ascii="宋体" w:hAnsi="宋体" w:eastAsia="宋体" w:cs="宋体"/>
          <w:b w:val="0"/>
          <w:bCs w:val="0"/>
          <w:snapToGrid w:val="0"/>
          <w:color w:val="auto"/>
          <w:kern w:val="0"/>
          <w:sz w:val="21"/>
          <w:szCs w:val="21"/>
          <w:highlight w:val="none"/>
        </w:rPr>
        <w:t>监控系统配置图(见附图2）</w:t>
      </w:r>
      <w:bookmarkEnd w:id="271"/>
    </w:p>
    <w:p>
      <w:pPr>
        <w:rPr>
          <w:color w:val="auto"/>
          <w:highlight w:val="none"/>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EU-F1">
    <w:altName w:val="黑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体">
    <w:altName w:val="仿宋"/>
    <w:panose1 w:val="00000000000000000000"/>
    <w:charset w:val="86"/>
    <w:family w:val="roman"/>
    <w:pitch w:val="default"/>
    <w:sig w:usb0="00000000" w:usb1="00000000" w:usb2="00000000" w:usb3="00000000" w:csb0="00000000" w:csb1="00000000"/>
  </w:font>
  <w:font w:name="E-F1">
    <w:altName w:val="Malgun Gothic"/>
    <w:panose1 w:val="00000000000000000000"/>
    <w:charset w:val="81"/>
    <w:family w:val="roman"/>
    <w:pitch w:val="default"/>
    <w:sig w:usb0="00000000" w:usb1="00000000" w:usb2="00000033" w:usb3="00000000" w:csb0="00080000" w:csb1="00000000"/>
  </w:font>
  <w:font w:name="Plotter">
    <w:altName w:val="Times New Roman"/>
    <w:panose1 w:val="00000000000000000000"/>
    <w:charset w:val="00"/>
    <w:family w:val="roman"/>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jc w:val="center"/>
    </w:pPr>
    <w:r>
      <w:rPr>
        <w:rStyle w:val="132"/>
      </w:rPr>
      <w:fldChar w:fldCharType="begin"/>
    </w:r>
    <w:r>
      <w:rPr>
        <w:rStyle w:val="132"/>
      </w:rPr>
      <w:instrText xml:space="preserve"> PAGE </w:instrText>
    </w:r>
    <w:r>
      <w:rPr>
        <w:rStyle w:val="132"/>
      </w:rPr>
      <w:fldChar w:fldCharType="separate"/>
    </w:r>
    <w:r>
      <w:rPr>
        <w:rStyle w:val="132"/>
      </w:rPr>
      <w:t>10</w:t>
    </w:r>
    <w:r>
      <w:rPr>
        <w:rStyle w:val="132"/>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both"/>
    </w:pPr>
    <w:r>
      <w:rPr>
        <w:rFonts w:hint="eastAsia"/>
      </w:rPr>
      <w:t xml:space="preserve">  </w:t>
    </w:r>
    <w:r>
      <w:rPr>
        <w:rFonts w:hint="eastAsia" w:hAnsi="宋体"/>
      </w:rPr>
      <w:t xml:space="preserve">   </w:t>
    </w:r>
    <w:r>
      <w:rPr>
        <w:rFonts w:hint="eastAsia"/>
      </w:rPr>
      <w:t xml:space="preserve">                </w:t>
    </w:r>
    <w:r>
      <w:rPr>
        <w:rFonts w:hint="eastAsia"/>
        <w:lang w:val="en-US" w:eastAsia="zh-CN"/>
      </w:rPr>
      <w:t>22</w:t>
    </w:r>
    <w:r>
      <w:rPr>
        <w:rFonts w:hint="eastAsia"/>
      </w:rPr>
      <w:t>0kV</w:t>
    </w:r>
    <w:r>
      <w:rPr>
        <w:rFonts w:hint="eastAsia"/>
        <w:lang w:eastAsia="zh-CN"/>
      </w:rPr>
      <w:t>变电站</w:t>
    </w:r>
    <w:r>
      <w:rPr>
        <w:rFonts w:hint="eastAsia"/>
      </w:rPr>
      <w:t>微机综合自动化系统技术规范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2"/>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44"/>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3"/>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4"/>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6"/>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9"/>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0">
    <w:nsid w:val="550269FB"/>
    <w:multiLevelType w:val="multilevel"/>
    <w:tmpl w:val="550269FB"/>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560F4D6E"/>
    <w:multiLevelType w:val="multilevel"/>
    <w:tmpl w:val="560F4D6E"/>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5A7B6A29"/>
    <w:multiLevelType w:val="multilevel"/>
    <w:tmpl w:val="5A7B6A29"/>
    <w:lvl w:ilvl="0" w:tentative="0">
      <w:start w:val="1"/>
      <w:numFmt w:val="decimal"/>
      <w:lvlText w:val="%1)"/>
      <w:lvlJc w:val="left"/>
      <w:pPr>
        <w:tabs>
          <w:tab w:val="left" w:pos="660"/>
        </w:tabs>
        <w:ind w:left="660" w:hanging="420"/>
      </w:pPr>
    </w:lvl>
    <w:lvl w:ilvl="1" w:tentative="0">
      <w:start w:val="1"/>
      <w:numFmt w:val="lowerLetter"/>
      <w:lvlText w:val="%2)"/>
      <w:lvlJc w:val="left"/>
      <w:pPr>
        <w:tabs>
          <w:tab w:val="left" w:pos="1080"/>
        </w:tabs>
        <w:ind w:left="1080" w:hanging="420"/>
      </w:pPr>
    </w:lvl>
    <w:lvl w:ilvl="2" w:tentative="0">
      <w:start w:val="1"/>
      <w:numFmt w:val="lowerRoman"/>
      <w:lvlText w:val="%3."/>
      <w:lvlJc w:val="right"/>
      <w:pPr>
        <w:tabs>
          <w:tab w:val="left" w:pos="1500"/>
        </w:tabs>
        <w:ind w:left="1500" w:hanging="420"/>
      </w:pPr>
    </w:lvl>
    <w:lvl w:ilvl="3" w:tentative="0">
      <w:start w:val="1"/>
      <w:numFmt w:val="decimal"/>
      <w:lvlText w:val="%4."/>
      <w:lvlJc w:val="left"/>
      <w:pPr>
        <w:tabs>
          <w:tab w:val="left" w:pos="1920"/>
        </w:tabs>
        <w:ind w:left="1920" w:hanging="420"/>
      </w:pPr>
    </w:lvl>
    <w:lvl w:ilvl="4" w:tentative="0">
      <w:start w:val="1"/>
      <w:numFmt w:val="lowerLetter"/>
      <w:lvlText w:val="%5)"/>
      <w:lvlJc w:val="left"/>
      <w:pPr>
        <w:tabs>
          <w:tab w:val="left" w:pos="2340"/>
        </w:tabs>
        <w:ind w:left="2340" w:hanging="420"/>
      </w:pPr>
    </w:lvl>
    <w:lvl w:ilvl="5" w:tentative="0">
      <w:start w:val="1"/>
      <w:numFmt w:val="lowerRoman"/>
      <w:lvlText w:val="%6."/>
      <w:lvlJc w:val="right"/>
      <w:pPr>
        <w:tabs>
          <w:tab w:val="left" w:pos="2760"/>
        </w:tabs>
        <w:ind w:left="2760" w:hanging="420"/>
      </w:pPr>
    </w:lvl>
    <w:lvl w:ilvl="6" w:tentative="0">
      <w:start w:val="1"/>
      <w:numFmt w:val="decimal"/>
      <w:lvlText w:val="%7."/>
      <w:lvlJc w:val="left"/>
      <w:pPr>
        <w:tabs>
          <w:tab w:val="left" w:pos="3180"/>
        </w:tabs>
        <w:ind w:left="3180" w:hanging="420"/>
      </w:pPr>
    </w:lvl>
    <w:lvl w:ilvl="7" w:tentative="0">
      <w:start w:val="1"/>
      <w:numFmt w:val="lowerLetter"/>
      <w:lvlText w:val="%8)"/>
      <w:lvlJc w:val="left"/>
      <w:pPr>
        <w:tabs>
          <w:tab w:val="left" w:pos="3600"/>
        </w:tabs>
        <w:ind w:left="3600" w:hanging="420"/>
      </w:pPr>
    </w:lvl>
    <w:lvl w:ilvl="8" w:tentative="0">
      <w:start w:val="1"/>
      <w:numFmt w:val="lowerRoman"/>
      <w:lvlText w:val="%9."/>
      <w:lvlJc w:val="right"/>
      <w:pPr>
        <w:tabs>
          <w:tab w:val="left" w:pos="4020"/>
        </w:tabs>
        <w:ind w:left="4020" w:hanging="420"/>
      </w:pPr>
    </w:lvl>
  </w:abstractNum>
  <w:abstractNum w:abstractNumId="13">
    <w:nsid w:val="657D3FBC"/>
    <w:multiLevelType w:val="multilevel"/>
    <w:tmpl w:val="657D3FBC"/>
    <w:lvl w:ilvl="0" w:tentative="0">
      <w:start w:val="1"/>
      <w:numFmt w:val="upperLetter"/>
      <w:pStyle w:val="334"/>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698A33B8"/>
    <w:multiLevelType w:val="multilevel"/>
    <w:tmpl w:val="698A33B8"/>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6A3B367B"/>
    <w:multiLevelType w:val="multilevel"/>
    <w:tmpl w:val="6A3B367B"/>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3"/>
  </w:num>
  <w:num w:numId="12">
    <w:abstractNumId w:val="12"/>
  </w:num>
  <w:num w:numId="13">
    <w:abstractNumId w:val="11"/>
  </w:num>
  <w:num w:numId="14">
    <w:abstractNumId w:val="10"/>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1NDk0OTQ0NjQ0ZjU3MjdmNTdiMzhlMTRhODA2MTYifQ=="/>
  </w:docVars>
  <w:rsids>
    <w:rsidRoot w:val="004C5D3F"/>
    <w:rsid w:val="00005669"/>
    <w:rsid w:val="000205E3"/>
    <w:rsid w:val="00027146"/>
    <w:rsid w:val="00062017"/>
    <w:rsid w:val="000641E2"/>
    <w:rsid w:val="000646A2"/>
    <w:rsid w:val="000B58B2"/>
    <w:rsid w:val="00112173"/>
    <w:rsid w:val="001158B6"/>
    <w:rsid w:val="00147EA4"/>
    <w:rsid w:val="00157E58"/>
    <w:rsid w:val="00163BDF"/>
    <w:rsid w:val="00181CBD"/>
    <w:rsid w:val="001E5EFF"/>
    <w:rsid w:val="001E7A23"/>
    <w:rsid w:val="002347E9"/>
    <w:rsid w:val="00245E84"/>
    <w:rsid w:val="00246273"/>
    <w:rsid w:val="00295AFB"/>
    <w:rsid w:val="00297E2E"/>
    <w:rsid w:val="002A25F0"/>
    <w:rsid w:val="002A48B6"/>
    <w:rsid w:val="002B348C"/>
    <w:rsid w:val="002E74B2"/>
    <w:rsid w:val="00303BEA"/>
    <w:rsid w:val="00310E4A"/>
    <w:rsid w:val="00314A5F"/>
    <w:rsid w:val="00324564"/>
    <w:rsid w:val="00335754"/>
    <w:rsid w:val="003A651A"/>
    <w:rsid w:val="003B66FA"/>
    <w:rsid w:val="003C4EED"/>
    <w:rsid w:val="00404056"/>
    <w:rsid w:val="00404E09"/>
    <w:rsid w:val="0044298D"/>
    <w:rsid w:val="0044540D"/>
    <w:rsid w:val="00450F01"/>
    <w:rsid w:val="0046537F"/>
    <w:rsid w:val="004974B3"/>
    <w:rsid w:val="004C5D3F"/>
    <w:rsid w:val="004D1451"/>
    <w:rsid w:val="004D2E93"/>
    <w:rsid w:val="004F4257"/>
    <w:rsid w:val="004F6999"/>
    <w:rsid w:val="0054151B"/>
    <w:rsid w:val="00544B69"/>
    <w:rsid w:val="00545086"/>
    <w:rsid w:val="00563CCB"/>
    <w:rsid w:val="0057143C"/>
    <w:rsid w:val="00581969"/>
    <w:rsid w:val="005B6AC5"/>
    <w:rsid w:val="005C06E7"/>
    <w:rsid w:val="005E7082"/>
    <w:rsid w:val="005E7BD8"/>
    <w:rsid w:val="005F02FE"/>
    <w:rsid w:val="005F6666"/>
    <w:rsid w:val="006074B7"/>
    <w:rsid w:val="00621E50"/>
    <w:rsid w:val="00633A13"/>
    <w:rsid w:val="00656B43"/>
    <w:rsid w:val="00665ABB"/>
    <w:rsid w:val="00672161"/>
    <w:rsid w:val="006B3D09"/>
    <w:rsid w:val="006C540B"/>
    <w:rsid w:val="006E1485"/>
    <w:rsid w:val="00706102"/>
    <w:rsid w:val="0073477E"/>
    <w:rsid w:val="007476F8"/>
    <w:rsid w:val="0078281B"/>
    <w:rsid w:val="00791625"/>
    <w:rsid w:val="00797FCF"/>
    <w:rsid w:val="007C1355"/>
    <w:rsid w:val="007D30D4"/>
    <w:rsid w:val="007F2FAA"/>
    <w:rsid w:val="008021BE"/>
    <w:rsid w:val="00802F53"/>
    <w:rsid w:val="008043DF"/>
    <w:rsid w:val="008155C1"/>
    <w:rsid w:val="008160D4"/>
    <w:rsid w:val="008166AC"/>
    <w:rsid w:val="008176F4"/>
    <w:rsid w:val="00817978"/>
    <w:rsid w:val="00825D0B"/>
    <w:rsid w:val="0086292E"/>
    <w:rsid w:val="00866F7D"/>
    <w:rsid w:val="008679B1"/>
    <w:rsid w:val="008A256A"/>
    <w:rsid w:val="008E0857"/>
    <w:rsid w:val="00954CDE"/>
    <w:rsid w:val="00956430"/>
    <w:rsid w:val="00987C4B"/>
    <w:rsid w:val="009B49BB"/>
    <w:rsid w:val="009B66E8"/>
    <w:rsid w:val="009C4571"/>
    <w:rsid w:val="009C6225"/>
    <w:rsid w:val="00A06843"/>
    <w:rsid w:val="00A11ABD"/>
    <w:rsid w:val="00A1632A"/>
    <w:rsid w:val="00A3711F"/>
    <w:rsid w:val="00A545E4"/>
    <w:rsid w:val="00A6199F"/>
    <w:rsid w:val="00A6663A"/>
    <w:rsid w:val="00A84AB8"/>
    <w:rsid w:val="00A92975"/>
    <w:rsid w:val="00AC7361"/>
    <w:rsid w:val="00AF3138"/>
    <w:rsid w:val="00B50D78"/>
    <w:rsid w:val="00B83DF1"/>
    <w:rsid w:val="00B9120B"/>
    <w:rsid w:val="00B93455"/>
    <w:rsid w:val="00B935A6"/>
    <w:rsid w:val="00B937C6"/>
    <w:rsid w:val="00BA20E5"/>
    <w:rsid w:val="00BD49C6"/>
    <w:rsid w:val="00BE2B7A"/>
    <w:rsid w:val="00BF395E"/>
    <w:rsid w:val="00C05B3F"/>
    <w:rsid w:val="00C54192"/>
    <w:rsid w:val="00C71597"/>
    <w:rsid w:val="00C847FF"/>
    <w:rsid w:val="00CA1102"/>
    <w:rsid w:val="00CA6ED7"/>
    <w:rsid w:val="00CC0DB1"/>
    <w:rsid w:val="00CC5CC5"/>
    <w:rsid w:val="00CD1875"/>
    <w:rsid w:val="00D25C84"/>
    <w:rsid w:val="00D37EFF"/>
    <w:rsid w:val="00D42329"/>
    <w:rsid w:val="00D80DD8"/>
    <w:rsid w:val="00D84565"/>
    <w:rsid w:val="00DB5DF3"/>
    <w:rsid w:val="00DC3CF9"/>
    <w:rsid w:val="00DF3B9F"/>
    <w:rsid w:val="00DF6450"/>
    <w:rsid w:val="00E011D7"/>
    <w:rsid w:val="00E15F13"/>
    <w:rsid w:val="00E17B81"/>
    <w:rsid w:val="00E413CA"/>
    <w:rsid w:val="00E5237B"/>
    <w:rsid w:val="00E636DB"/>
    <w:rsid w:val="00E84DAD"/>
    <w:rsid w:val="00EB16D1"/>
    <w:rsid w:val="00ED285E"/>
    <w:rsid w:val="00EF7DEF"/>
    <w:rsid w:val="00F107EA"/>
    <w:rsid w:val="00F30372"/>
    <w:rsid w:val="00F65031"/>
    <w:rsid w:val="00F97762"/>
    <w:rsid w:val="00FB1873"/>
    <w:rsid w:val="00FC25CC"/>
    <w:rsid w:val="08A46CF6"/>
    <w:rsid w:val="0D4C5F96"/>
    <w:rsid w:val="0D913A2A"/>
    <w:rsid w:val="134719F6"/>
    <w:rsid w:val="157C23F9"/>
    <w:rsid w:val="210C00DB"/>
    <w:rsid w:val="22D64031"/>
    <w:rsid w:val="29307DB5"/>
    <w:rsid w:val="2F3D58C9"/>
    <w:rsid w:val="304B1363"/>
    <w:rsid w:val="37FB02A2"/>
    <w:rsid w:val="388D6C18"/>
    <w:rsid w:val="39DB1626"/>
    <w:rsid w:val="3A6F0776"/>
    <w:rsid w:val="3D8D7980"/>
    <w:rsid w:val="3E311CFE"/>
    <w:rsid w:val="405255CF"/>
    <w:rsid w:val="41F04165"/>
    <w:rsid w:val="448B6801"/>
    <w:rsid w:val="454944D4"/>
    <w:rsid w:val="45F1166D"/>
    <w:rsid w:val="4926343F"/>
    <w:rsid w:val="4A162E25"/>
    <w:rsid w:val="4DEE3611"/>
    <w:rsid w:val="4FA97833"/>
    <w:rsid w:val="50CF07C9"/>
    <w:rsid w:val="51D60415"/>
    <w:rsid w:val="52881D7C"/>
    <w:rsid w:val="552C309B"/>
    <w:rsid w:val="586E6522"/>
    <w:rsid w:val="636013FD"/>
    <w:rsid w:val="63D30879"/>
    <w:rsid w:val="66A36A3E"/>
    <w:rsid w:val="6D2D29AD"/>
    <w:rsid w:val="6E3110CB"/>
    <w:rsid w:val="6FC203BD"/>
    <w:rsid w:val="777B21B0"/>
    <w:rsid w:val="7AB479D2"/>
    <w:rsid w:val="7B894D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iPriority="99"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99"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8"/>
    <w:qFormat/>
    <w:uiPriority w:val="0"/>
    <w:pPr>
      <w:keepNext/>
      <w:outlineLvl w:val="0"/>
    </w:pPr>
    <w:rPr>
      <w:sz w:val="28"/>
      <w:szCs w:val="20"/>
    </w:rPr>
  </w:style>
  <w:style w:type="paragraph" w:styleId="3">
    <w:name w:val="heading 2"/>
    <w:basedOn w:val="1"/>
    <w:next w:val="1"/>
    <w:link w:val="149"/>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50"/>
    <w:qFormat/>
    <w:uiPriority w:val="0"/>
    <w:pPr>
      <w:keepNext/>
      <w:keepLines/>
      <w:spacing w:before="260" w:after="260" w:line="416" w:lineRule="auto"/>
      <w:outlineLvl w:val="2"/>
    </w:pPr>
    <w:rPr>
      <w:b/>
      <w:bCs/>
      <w:sz w:val="32"/>
      <w:szCs w:val="32"/>
    </w:rPr>
  </w:style>
  <w:style w:type="paragraph" w:styleId="5">
    <w:name w:val="heading 4"/>
    <w:basedOn w:val="1"/>
    <w:next w:val="6"/>
    <w:link w:val="151"/>
    <w:qFormat/>
    <w:uiPriority w:val="0"/>
    <w:pPr>
      <w:keepNext/>
      <w:keepLines/>
      <w:adjustRightInd w:val="0"/>
      <w:spacing w:before="120" w:after="120" w:line="480" w:lineRule="exact"/>
      <w:jc w:val="left"/>
      <w:textAlignment w:val="baseline"/>
      <w:outlineLvl w:val="3"/>
    </w:pPr>
    <w:rPr>
      <w:rFonts w:eastAsia="黑体"/>
      <w:b/>
      <w:kern w:val="0"/>
      <w:sz w:val="28"/>
      <w:szCs w:val="20"/>
    </w:rPr>
  </w:style>
  <w:style w:type="paragraph" w:styleId="7">
    <w:name w:val="heading 5"/>
    <w:basedOn w:val="1"/>
    <w:next w:val="1"/>
    <w:link w:val="152"/>
    <w:qFormat/>
    <w:uiPriority w:val="0"/>
    <w:pPr>
      <w:keepNext/>
      <w:keepLines/>
      <w:adjustRightInd w:val="0"/>
      <w:spacing w:before="60" w:after="60" w:line="480" w:lineRule="exact"/>
      <w:textAlignment w:val="baseline"/>
      <w:outlineLvl w:val="4"/>
    </w:pPr>
    <w:rPr>
      <w:b/>
      <w:kern w:val="0"/>
      <w:sz w:val="24"/>
      <w:szCs w:val="20"/>
    </w:rPr>
  </w:style>
  <w:style w:type="paragraph" w:styleId="8">
    <w:name w:val="heading 6"/>
    <w:basedOn w:val="1"/>
    <w:next w:val="1"/>
    <w:link w:val="153"/>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link w:val="154"/>
    <w:qFormat/>
    <w:uiPriority w:val="0"/>
    <w:pPr>
      <w:keepNext/>
      <w:keepLines/>
      <w:spacing w:before="240" w:after="64" w:line="320" w:lineRule="auto"/>
      <w:outlineLvl w:val="6"/>
    </w:pPr>
    <w:rPr>
      <w:b/>
      <w:bCs/>
      <w:sz w:val="24"/>
    </w:rPr>
  </w:style>
  <w:style w:type="paragraph" w:styleId="10">
    <w:name w:val="heading 8"/>
    <w:basedOn w:val="1"/>
    <w:next w:val="1"/>
    <w:link w:val="155"/>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156"/>
    <w:qFormat/>
    <w:uiPriority w:val="0"/>
    <w:pPr>
      <w:keepNext/>
      <w:keepLines/>
      <w:spacing w:before="240" w:after="64" w:line="320" w:lineRule="auto"/>
      <w:outlineLvl w:val="8"/>
    </w:pPr>
    <w:rPr>
      <w:rFonts w:ascii="Arial" w:hAnsi="Arial" w:eastAsia="黑体"/>
      <w:szCs w:val="21"/>
    </w:rPr>
  </w:style>
  <w:style w:type="character" w:default="1" w:styleId="129">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367"/>
    <w:qFormat/>
    <w:uiPriority w:val="0"/>
    <w:pPr>
      <w:ind w:firstLine="420"/>
    </w:pPr>
    <w:rPr>
      <w:szCs w:val="20"/>
    </w:rPr>
  </w:style>
  <w:style w:type="paragraph" w:styleId="12">
    <w:name w:val="List 3"/>
    <w:basedOn w:val="1"/>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qFormat/>
    <w:uiPriority w:val="0"/>
    <w:pPr>
      <w:numPr>
        <w:ilvl w:val="0"/>
        <w:numId w:val="1"/>
      </w:numPr>
    </w:pPr>
  </w:style>
  <w:style w:type="paragraph" w:styleId="15">
    <w:name w:val="Note Heading"/>
    <w:basedOn w:val="1"/>
    <w:next w:val="1"/>
    <w:link w:val="219"/>
    <w:qFormat/>
    <w:uiPriority w:val="0"/>
    <w:pPr>
      <w:jc w:val="center"/>
    </w:pPr>
  </w:style>
  <w:style w:type="paragraph" w:styleId="16">
    <w:name w:val="List Bullet 4"/>
    <w:basedOn w:val="1"/>
    <w:qFormat/>
    <w:uiPriority w:val="0"/>
    <w:pPr>
      <w:numPr>
        <w:ilvl w:val="0"/>
        <w:numId w:val="2"/>
      </w:numPr>
    </w:pPr>
  </w:style>
  <w:style w:type="paragraph" w:styleId="17">
    <w:name w:val="index 8"/>
    <w:basedOn w:val="1"/>
    <w:next w:val="1"/>
    <w:qFormat/>
    <w:uiPriority w:val="0"/>
    <w:pPr>
      <w:ind w:left="1400" w:leftChars="1400"/>
    </w:pPr>
  </w:style>
  <w:style w:type="paragraph" w:styleId="18">
    <w:name w:val="E-mail Signature"/>
    <w:basedOn w:val="1"/>
    <w:link w:val="210"/>
    <w:qFormat/>
    <w:uiPriority w:val="0"/>
  </w:style>
  <w:style w:type="paragraph" w:styleId="19">
    <w:name w:val="List Number"/>
    <w:basedOn w:val="1"/>
    <w:qFormat/>
    <w:uiPriority w:val="0"/>
    <w:pPr>
      <w:numPr>
        <w:ilvl w:val="0"/>
        <w:numId w:val="3"/>
      </w:numPr>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index 5"/>
    <w:basedOn w:val="1"/>
    <w:next w:val="1"/>
    <w:qFormat/>
    <w:uiPriority w:val="0"/>
    <w:pPr>
      <w:ind w:left="800" w:leftChars="800"/>
    </w:pPr>
  </w:style>
  <w:style w:type="paragraph" w:styleId="22">
    <w:name w:val="List Bullet"/>
    <w:basedOn w:val="1"/>
    <w:qFormat/>
    <w:uiPriority w:val="0"/>
    <w:pPr>
      <w:numPr>
        <w:ilvl w:val="0"/>
        <w:numId w:val="4"/>
      </w:numPr>
    </w:pPr>
  </w:style>
  <w:style w:type="paragraph" w:styleId="23">
    <w:name w:val="envelope address"/>
    <w:basedOn w:val="1"/>
    <w:qFormat/>
    <w:uiPriority w:val="0"/>
    <w:pPr>
      <w:framePr w:w="7920" w:h="1980" w:hSpace="180" w:wrap="around" w:vAnchor="margin" w:hAnchor="page" w:xAlign="center" w:yAlign="bottom"/>
      <w:autoSpaceDE w:val="0"/>
      <w:autoSpaceDN w:val="0"/>
      <w:adjustRightInd w:val="0"/>
      <w:ind w:left="2880"/>
    </w:pPr>
    <w:rPr>
      <w:rFonts w:ascii="宋体"/>
      <w:kern w:val="0"/>
      <w:sz w:val="24"/>
      <w:szCs w:val="20"/>
    </w:rPr>
  </w:style>
  <w:style w:type="paragraph" w:styleId="24">
    <w:name w:val="Document Map"/>
    <w:basedOn w:val="1"/>
    <w:link w:val="163"/>
    <w:qFormat/>
    <w:uiPriority w:val="99"/>
    <w:rPr>
      <w:rFonts w:ascii="宋体"/>
      <w:sz w:val="18"/>
      <w:szCs w:val="18"/>
    </w:rPr>
  </w:style>
  <w:style w:type="paragraph" w:styleId="25">
    <w:name w:val="annotation text"/>
    <w:basedOn w:val="1"/>
    <w:link w:val="182"/>
    <w:qFormat/>
    <w:uiPriority w:val="0"/>
    <w:pPr>
      <w:adjustRightInd w:val="0"/>
      <w:spacing w:line="360" w:lineRule="atLeast"/>
      <w:jc w:val="left"/>
      <w:textAlignment w:val="baseline"/>
    </w:pPr>
    <w:rPr>
      <w:kern w:val="0"/>
      <w:sz w:val="24"/>
      <w:szCs w:val="20"/>
    </w:rPr>
  </w:style>
  <w:style w:type="paragraph" w:styleId="26">
    <w:name w:val="index 6"/>
    <w:basedOn w:val="1"/>
    <w:next w:val="1"/>
    <w:qFormat/>
    <w:uiPriority w:val="0"/>
    <w:pPr>
      <w:ind w:left="1000" w:leftChars="1000"/>
    </w:pPr>
  </w:style>
  <w:style w:type="paragraph" w:styleId="27">
    <w:name w:val="Salutation"/>
    <w:basedOn w:val="1"/>
    <w:next w:val="1"/>
    <w:link w:val="209"/>
    <w:qFormat/>
    <w:uiPriority w:val="0"/>
  </w:style>
  <w:style w:type="paragraph" w:styleId="28">
    <w:name w:val="Body Text 3"/>
    <w:basedOn w:val="1"/>
    <w:link w:val="218"/>
    <w:qFormat/>
    <w:uiPriority w:val="0"/>
    <w:pPr>
      <w:spacing w:after="120"/>
    </w:pPr>
    <w:rPr>
      <w:sz w:val="16"/>
      <w:szCs w:val="16"/>
    </w:rPr>
  </w:style>
  <w:style w:type="paragraph" w:styleId="29">
    <w:name w:val="Closing"/>
    <w:basedOn w:val="1"/>
    <w:link w:val="212"/>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link w:val="166"/>
    <w:qFormat/>
    <w:uiPriority w:val="0"/>
    <w:pPr>
      <w:spacing w:after="120"/>
    </w:pPr>
  </w:style>
  <w:style w:type="paragraph" w:styleId="32">
    <w:name w:val="Body Text Indent"/>
    <w:basedOn w:val="1"/>
    <w:link w:val="162"/>
    <w:qFormat/>
    <w:uiPriority w:val="0"/>
    <w:pPr>
      <w:spacing w:line="360" w:lineRule="auto"/>
      <w:ind w:firstLine="480" w:firstLineChars="200"/>
    </w:pPr>
    <w:rPr>
      <w:rFonts w:ascii="宋体" w:hAnsi="宋体"/>
      <w:sz w:val="24"/>
    </w:r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link w:val="207"/>
    <w:qFormat/>
    <w:uiPriority w:val="0"/>
    <w:rPr>
      <w:i/>
      <w:iCs/>
    </w:rPr>
  </w:style>
  <w:style w:type="paragraph" w:styleId="39">
    <w:name w:val="index 4"/>
    <w:basedOn w:val="1"/>
    <w:next w:val="1"/>
    <w:qFormat/>
    <w:uiPriority w:val="0"/>
    <w:pPr>
      <w:ind w:left="600" w:leftChars="600"/>
    </w:pPr>
  </w:style>
  <w:style w:type="paragraph" w:styleId="40">
    <w:name w:val="toc 5"/>
    <w:basedOn w:val="1"/>
    <w:next w:val="1"/>
    <w:qFormat/>
    <w:uiPriority w:val="0"/>
    <w:pPr>
      <w:ind w:left="840"/>
      <w:jc w:val="left"/>
    </w:pPr>
    <w:rPr>
      <w:sz w:val="18"/>
      <w:szCs w:val="18"/>
    </w:rPr>
  </w:style>
  <w:style w:type="paragraph" w:styleId="41">
    <w:name w:val="toc 3"/>
    <w:basedOn w:val="1"/>
    <w:next w:val="1"/>
    <w:qFormat/>
    <w:uiPriority w:val="0"/>
    <w:pPr>
      <w:ind w:left="420"/>
      <w:jc w:val="left"/>
    </w:pPr>
    <w:rPr>
      <w:i/>
      <w:iCs/>
      <w:sz w:val="20"/>
      <w:szCs w:val="20"/>
    </w:rPr>
  </w:style>
  <w:style w:type="paragraph" w:styleId="42">
    <w:name w:val="Plain Text"/>
    <w:basedOn w:val="1"/>
    <w:link w:val="157"/>
    <w:qFormat/>
    <w:uiPriority w:val="0"/>
    <w:rPr>
      <w:rFonts w:ascii="宋体" w:hAnsi="Courier New"/>
      <w:szCs w:val="20"/>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18"/>
      <w:szCs w:val="18"/>
    </w:rPr>
  </w:style>
  <w:style w:type="paragraph" w:styleId="46">
    <w:name w:val="index 3"/>
    <w:basedOn w:val="1"/>
    <w:next w:val="1"/>
    <w:qFormat/>
    <w:uiPriority w:val="0"/>
    <w:pPr>
      <w:ind w:left="400" w:leftChars="400"/>
    </w:pPr>
  </w:style>
  <w:style w:type="paragraph" w:styleId="47">
    <w:name w:val="Date"/>
    <w:basedOn w:val="1"/>
    <w:next w:val="1"/>
    <w:link w:val="164"/>
    <w:qFormat/>
    <w:uiPriority w:val="0"/>
    <w:pPr>
      <w:adjustRightInd w:val="0"/>
      <w:spacing w:line="360" w:lineRule="atLeast"/>
      <w:textAlignment w:val="baseline"/>
    </w:pPr>
    <w:rPr>
      <w:kern w:val="0"/>
      <w:sz w:val="24"/>
      <w:szCs w:val="20"/>
    </w:rPr>
  </w:style>
  <w:style w:type="paragraph" w:styleId="48">
    <w:name w:val="Body Text Indent 2"/>
    <w:basedOn w:val="1"/>
    <w:link w:val="161"/>
    <w:qFormat/>
    <w:uiPriority w:val="0"/>
    <w:pPr>
      <w:spacing w:line="360" w:lineRule="auto"/>
      <w:ind w:left="840" w:leftChars="400" w:firstLine="480" w:firstLineChars="200"/>
    </w:pPr>
    <w:rPr>
      <w:sz w:val="24"/>
      <w:szCs w:val="20"/>
    </w:rPr>
  </w:style>
  <w:style w:type="paragraph" w:styleId="49">
    <w:name w:val="endnote text"/>
    <w:basedOn w:val="1"/>
    <w:link w:val="310"/>
    <w:qFormat/>
    <w:uiPriority w:val="0"/>
    <w:pPr>
      <w:snapToGrid w:val="0"/>
      <w:jc w:val="left"/>
    </w:pPr>
    <w:rPr>
      <w:rFonts w:ascii="楷体_GB2312" w:eastAsia="楷体_GB2312"/>
      <w:kern w:val="0"/>
      <w:sz w:val="28"/>
      <w:szCs w:val="20"/>
    </w:rPr>
  </w:style>
  <w:style w:type="paragraph" w:styleId="50">
    <w:name w:val="List Continue 5"/>
    <w:basedOn w:val="1"/>
    <w:qFormat/>
    <w:uiPriority w:val="0"/>
    <w:pPr>
      <w:spacing w:after="120"/>
      <w:ind w:left="2100"/>
    </w:pPr>
  </w:style>
  <w:style w:type="paragraph" w:styleId="51">
    <w:name w:val="Balloon Text"/>
    <w:basedOn w:val="1"/>
    <w:link w:val="171"/>
    <w:semiHidden/>
    <w:qFormat/>
    <w:uiPriority w:val="99"/>
    <w:rPr>
      <w:sz w:val="18"/>
      <w:szCs w:val="18"/>
    </w:rPr>
  </w:style>
  <w:style w:type="paragraph" w:styleId="52">
    <w:name w:val="footer"/>
    <w:basedOn w:val="1"/>
    <w:link w:val="147"/>
    <w:unhideWhenUsed/>
    <w:qFormat/>
    <w:uiPriority w:val="99"/>
    <w:pPr>
      <w:tabs>
        <w:tab w:val="center" w:pos="4153"/>
        <w:tab w:val="right" w:pos="8306"/>
      </w:tabs>
      <w:snapToGrid w:val="0"/>
      <w:jc w:val="left"/>
    </w:pPr>
    <w:rPr>
      <w:sz w:val="18"/>
      <w:szCs w:val="18"/>
    </w:rPr>
  </w:style>
  <w:style w:type="paragraph" w:styleId="53">
    <w:name w:val="envelope return"/>
    <w:basedOn w:val="1"/>
    <w:qFormat/>
    <w:uiPriority w:val="0"/>
    <w:pPr>
      <w:snapToGrid w:val="0"/>
    </w:pPr>
    <w:rPr>
      <w:rFonts w:ascii="Arial" w:hAnsi="Arial" w:cs="Arial"/>
    </w:rPr>
  </w:style>
  <w:style w:type="paragraph" w:styleId="54">
    <w:name w:val="header"/>
    <w:basedOn w:val="1"/>
    <w:link w:val="146"/>
    <w:unhideWhenUsed/>
    <w:qFormat/>
    <w:uiPriority w:val="0"/>
    <w:pPr>
      <w:pBdr>
        <w:bottom w:val="single" w:color="auto" w:sz="6" w:space="1"/>
      </w:pBdr>
      <w:tabs>
        <w:tab w:val="center" w:pos="4153"/>
        <w:tab w:val="right" w:pos="8306"/>
      </w:tabs>
      <w:snapToGrid w:val="0"/>
      <w:jc w:val="center"/>
    </w:pPr>
    <w:rPr>
      <w:sz w:val="18"/>
      <w:szCs w:val="18"/>
    </w:rPr>
  </w:style>
  <w:style w:type="paragraph" w:styleId="55">
    <w:name w:val="Signature"/>
    <w:basedOn w:val="1"/>
    <w:link w:val="213"/>
    <w:qFormat/>
    <w:uiPriority w:val="0"/>
    <w:pPr>
      <w:ind w:left="4320"/>
    </w:pPr>
  </w:style>
  <w:style w:type="paragraph" w:styleId="56">
    <w:name w:val="toc 1"/>
    <w:basedOn w:val="1"/>
    <w:next w:val="1"/>
    <w:qFormat/>
    <w:uiPriority w:val="39"/>
    <w:pPr>
      <w:tabs>
        <w:tab w:val="right" w:leader="dot" w:pos="8890"/>
      </w:tabs>
      <w:spacing w:line="440" w:lineRule="exact"/>
    </w:pPr>
  </w:style>
  <w:style w:type="paragraph" w:styleId="57">
    <w:name w:val="List Continue 4"/>
    <w:basedOn w:val="1"/>
    <w:qFormat/>
    <w:uiPriority w:val="0"/>
    <w:pPr>
      <w:spacing w:after="120"/>
      <w:ind w:left="1680"/>
    </w:pPr>
  </w:style>
  <w:style w:type="paragraph" w:styleId="58">
    <w:name w:val="toc 4"/>
    <w:basedOn w:val="1"/>
    <w:next w:val="1"/>
    <w:qFormat/>
    <w:uiPriority w:val="0"/>
    <w:pPr>
      <w:ind w:left="630"/>
      <w:jc w:val="left"/>
    </w:pPr>
    <w:rPr>
      <w:sz w:val="18"/>
      <w:szCs w:val="18"/>
    </w:rPr>
  </w:style>
  <w:style w:type="paragraph" w:styleId="59">
    <w:name w:val="index heading"/>
    <w:basedOn w:val="1"/>
    <w:next w:val="60"/>
    <w:qFormat/>
    <w:uiPriority w:val="0"/>
    <w:pPr>
      <w:adjustRightInd w:val="0"/>
      <w:spacing w:line="490" w:lineRule="exact"/>
      <w:ind w:firstLine="556"/>
      <w:textAlignment w:val="baseline"/>
    </w:pPr>
    <w:rPr>
      <w:rFonts w:eastAsia="仿宋_GB2312"/>
      <w:kern w:val="0"/>
      <w:sz w:val="28"/>
      <w:szCs w:val="20"/>
    </w:rPr>
  </w:style>
  <w:style w:type="paragraph" w:styleId="60">
    <w:name w:val="index 1"/>
    <w:basedOn w:val="1"/>
    <w:next w:val="1"/>
    <w:qFormat/>
    <w:uiPriority w:val="0"/>
  </w:style>
  <w:style w:type="paragraph" w:styleId="61">
    <w:name w:val="Subtitle"/>
    <w:basedOn w:val="1"/>
    <w:link w:val="211"/>
    <w:qFormat/>
    <w:uiPriority w:val="0"/>
    <w:pPr>
      <w:spacing w:before="240" w:after="60" w:line="312" w:lineRule="auto"/>
      <w:jc w:val="center"/>
      <w:outlineLvl w:val="1"/>
    </w:pPr>
    <w:rPr>
      <w:rFonts w:ascii="Arial" w:hAnsi="Arial"/>
      <w:b/>
      <w:bCs/>
      <w:kern w:val="28"/>
      <w:sz w:val="32"/>
      <w:szCs w:val="32"/>
    </w:rPr>
  </w:style>
  <w:style w:type="paragraph" w:styleId="62">
    <w:name w:val="List Number 5"/>
    <w:basedOn w:val="1"/>
    <w:qFormat/>
    <w:uiPriority w:val="0"/>
    <w:pPr>
      <w:numPr>
        <w:ilvl w:val="0"/>
        <w:numId w:val="10"/>
      </w:numPr>
    </w:pPr>
  </w:style>
  <w:style w:type="paragraph" w:styleId="63">
    <w:name w:val="List"/>
    <w:basedOn w:val="1"/>
    <w:qFormat/>
    <w:uiPriority w:val="0"/>
    <w:pPr>
      <w:ind w:left="420" w:hanging="420"/>
    </w:pPr>
    <w:rPr>
      <w:szCs w:val="20"/>
    </w:rPr>
  </w:style>
  <w:style w:type="paragraph" w:styleId="64">
    <w:name w:val="toc 6"/>
    <w:basedOn w:val="1"/>
    <w:next w:val="1"/>
    <w:qFormat/>
    <w:uiPriority w:val="0"/>
    <w:pPr>
      <w:ind w:left="1050"/>
      <w:jc w:val="left"/>
    </w:pPr>
    <w:rPr>
      <w:sz w:val="18"/>
      <w:szCs w:val="18"/>
    </w:rPr>
  </w:style>
  <w:style w:type="paragraph" w:styleId="65">
    <w:name w:val="List 5"/>
    <w:basedOn w:val="1"/>
    <w:qFormat/>
    <w:uiPriority w:val="0"/>
    <w:pPr>
      <w:ind w:left="2100" w:hanging="420"/>
    </w:pPr>
  </w:style>
  <w:style w:type="paragraph" w:styleId="66">
    <w:name w:val="Body Text Indent 3"/>
    <w:basedOn w:val="1"/>
    <w:link w:val="167"/>
    <w:qFormat/>
    <w:uiPriority w:val="0"/>
    <w:pPr>
      <w:spacing w:after="120"/>
      <w:ind w:left="420" w:leftChars="200"/>
    </w:pPr>
    <w:rPr>
      <w:sz w:val="16"/>
      <w:szCs w:val="16"/>
    </w:rPr>
  </w:style>
  <w:style w:type="paragraph" w:styleId="67">
    <w:name w:val="index 7"/>
    <w:basedOn w:val="1"/>
    <w:next w:val="1"/>
    <w:qFormat/>
    <w:uiPriority w:val="0"/>
    <w:pPr>
      <w:ind w:left="1200" w:leftChars="1200"/>
    </w:pPr>
  </w:style>
  <w:style w:type="paragraph" w:styleId="68">
    <w:name w:val="index 9"/>
    <w:basedOn w:val="1"/>
    <w:next w:val="1"/>
    <w:qFormat/>
    <w:uiPriority w:val="0"/>
    <w:pPr>
      <w:ind w:left="1600" w:leftChars="1600"/>
    </w:p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890"/>
      </w:tabs>
      <w:spacing w:line="400" w:lineRule="exact"/>
      <w:ind w:left="420" w:leftChars="200"/>
    </w:pPr>
  </w:style>
  <w:style w:type="paragraph" w:styleId="71">
    <w:name w:val="toc 9"/>
    <w:basedOn w:val="1"/>
    <w:next w:val="1"/>
    <w:qFormat/>
    <w:uiPriority w:val="0"/>
    <w:pPr>
      <w:ind w:left="1680"/>
      <w:jc w:val="left"/>
    </w:pPr>
    <w:rPr>
      <w:sz w:val="18"/>
      <w:szCs w:val="18"/>
    </w:rPr>
  </w:style>
  <w:style w:type="paragraph" w:styleId="72">
    <w:name w:val="Body Text 2"/>
    <w:basedOn w:val="1"/>
    <w:link w:val="217"/>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214"/>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208"/>
    <w:qFormat/>
    <w:uiPriority w:val="0"/>
    <w:rPr>
      <w:rFonts w:ascii="Courier New" w:hAnsi="Courier New"/>
      <w:sz w:val="20"/>
      <w:szCs w:val="20"/>
    </w:rPr>
  </w:style>
  <w:style w:type="paragraph" w:styleId="77">
    <w:name w:val="Normal (Web)"/>
    <w:basedOn w:val="1"/>
    <w:qFormat/>
    <w:uiPriority w:val="99"/>
    <w:pPr>
      <w:widowControl/>
      <w:spacing w:before="100" w:beforeAutospacing="1" w:after="100" w:afterAutospacing="1"/>
      <w:jc w:val="left"/>
    </w:pPr>
    <w:rPr>
      <w:kern w:val="0"/>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style>
  <w:style w:type="paragraph" w:styleId="80">
    <w:name w:val="Title"/>
    <w:basedOn w:val="1"/>
    <w:next w:val="1"/>
    <w:link w:val="181"/>
    <w:qFormat/>
    <w:uiPriority w:val="0"/>
    <w:pPr>
      <w:snapToGrid w:val="0"/>
      <w:spacing w:line="360" w:lineRule="auto"/>
      <w:jc w:val="center"/>
      <w:outlineLvl w:val="0"/>
    </w:pPr>
    <w:rPr>
      <w:rFonts w:ascii="仿宋_GB2312" w:hAnsi="宋体" w:eastAsia="仿宋_GB2312"/>
      <w:b/>
      <w:sz w:val="44"/>
      <w:szCs w:val="44"/>
    </w:rPr>
  </w:style>
  <w:style w:type="paragraph" w:styleId="81">
    <w:name w:val="annotation subject"/>
    <w:basedOn w:val="25"/>
    <w:next w:val="25"/>
    <w:link w:val="185"/>
    <w:qFormat/>
    <w:uiPriority w:val="0"/>
    <w:pPr>
      <w:adjustRightInd/>
      <w:spacing w:line="240" w:lineRule="auto"/>
      <w:textAlignment w:val="auto"/>
    </w:pPr>
    <w:rPr>
      <w:b/>
      <w:bCs/>
      <w:kern w:val="2"/>
      <w:sz w:val="21"/>
      <w:szCs w:val="24"/>
    </w:rPr>
  </w:style>
  <w:style w:type="paragraph" w:styleId="82">
    <w:name w:val="Body Text First Indent"/>
    <w:basedOn w:val="31"/>
    <w:link w:val="215"/>
    <w:qFormat/>
    <w:uiPriority w:val="0"/>
    <w:pPr>
      <w:ind w:firstLine="420"/>
    </w:pPr>
  </w:style>
  <w:style w:type="paragraph" w:styleId="83">
    <w:name w:val="Body Text First Indent 2"/>
    <w:basedOn w:val="32"/>
    <w:link w:val="216"/>
    <w:qFormat/>
    <w:uiPriority w:val="0"/>
    <w:pPr>
      <w:spacing w:after="120" w:line="240" w:lineRule="auto"/>
      <w:ind w:left="420" w:firstLine="420" w:firstLineChars="0"/>
    </w:pPr>
    <w:rPr>
      <w:sz w:val="21"/>
    </w:rPr>
  </w:style>
  <w:style w:type="table" w:styleId="85">
    <w:name w:val="Table Grid"/>
    <w:basedOn w:val="8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86">
    <w:name w:val="Table Theme"/>
    <w:basedOn w:val="8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87">
    <w:name w:val="Table Colorful 1"/>
    <w:basedOn w:val="84"/>
    <w:qFormat/>
    <w:uiPriority w:val="0"/>
    <w:pPr>
      <w:widowControl w:val="0"/>
      <w:jc w:val="both"/>
    </w:pPr>
    <w:rPr>
      <w:rFonts w:ascii="Times New Roman" w:hAnsi="Times New Roman" w:eastAsia="宋体" w:cs="Times New Roman"/>
      <w:color w:val="FFFFFF"/>
      <w:kern w:val="0"/>
      <w:sz w:val="20"/>
      <w:szCs w:val="20"/>
    </w:rPr>
    <w:tblPr>
      <w:tblBorders>
        <w:top w:val="single" w:color="008080" w:sz="12" w:space="0"/>
        <w:left w:val="single" w:color="008080" w:sz="12" w:space="0"/>
        <w:bottom w:val="single" w:color="008080" w:sz="12" w:space="0"/>
        <w:right w:val="single" w:color="008080" w:sz="12" w:space="0"/>
        <w:insideH w:val="single" w:color="00FFFF" w:sz="6" w:space="0"/>
      </w:tblBorders>
      <w:tblCellMar>
        <w:top w:w="0" w:type="dxa"/>
        <w:left w:w="108" w:type="dxa"/>
        <w:bottom w:w="0" w:type="dxa"/>
        <w:right w:w="108" w:type="dxa"/>
      </w:tblCellMar>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88">
    <w:name w:val="Table Colorful 2"/>
    <w:basedOn w:val="84"/>
    <w:qFormat/>
    <w:uiPriority w:val="0"/>
    <w:pPr>
      <w:widowControl w:val="0"/>
      <w:jc w:val="both"/>
    </w:pPr>
    <w:rPr>
      <w:rFonts w:ascii="Times New Roman" w:hAnsi="Times New Roman" w:eastAsia="宋体" w:cs="Times New Roman"/>
      <w:kern w:val="0"/>
      <w:sz w:val="20"/>
      <w:szCs w:val="20"/>
    </w:rPr>
    <w:tblPr>
      <w:tblBorders>
        <w:bottom w:val="single" w:color="000000" w:sz="12" w:space="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89">
    <w:name w:val="Table Colorful 3"/>
    <w:basedOn w:val="84"/>
    <w:qFormat/>
    <w:uiPriority w:val="0"/>
    <w:pPr>
      <w:widowControl w:val="0"/>
      <w:jc w:val="both"/>
    </w:pPr>
    <w:rPr>
      <w:rFonts w:ascii="Times New Roman" w:hAnsi="Times New Roman" w:eastAsia="宋体" w:cs="Times New Roman"/>
      <w:kern w:val="0"/>
      <w:sz w:val="20"/>
      <w:szCs w:val="20"/>
    </w:rPr>
    <w:tblPr>
      <w:tblBorders>
        <w:top w:val="single" w:color="000000" w:sz="18" w:space="0"/>
        <w:left w:val="single" w:color="000000" w:sz="18" w:space="0"/>
        <w:bottom w:val="single" w:color="000000" w:sz="18" w:space="0"/>
        <w:right w:val="single" w:color="000000" w:sz="18" w:space="0"/>
        <w:insideH w:val="single" w:color="C0C0C0" w:sz="6" w:space="0"/>
      </w:tblBorders>
      <w:tblCellMar>
        <w:top w:w="0" w:type="dxa"/>
        <w:left w:w="108" w:type="dxa"/>
        <w:bottom w:w="0" w:type="dxa"/>
        <w:right w:w="108" w:type="dxa"/>
      </w:tblCellMar>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0">
    <w:name w:val="Table Elegant"/>
    <w:basedOn w:val="84"/>
    <w:qFormat/>
    <w:uiPriority w:val="0"/>
    <w:pPr>
      <w:widowControl w:val="0"/>
      <w:jc w:val="both"/>
    </w:pPr>
    <w:rPr>
      <w:rFonts w:ascii="Times New Roman" w:hAnsi="Times New Roman" w:eastAsia="宋体" w:cs="Times New Roman"/>
      <w:kern w:val="0"/>
      <w:sz w:val="20"/>
      <w:szCs w:val="20"/>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91">
    <w:name w:val="Table Classic 1"/>
    <w:basedOn w:val="84"/>
    <w:qFormat/>
    <w:uiPriority w:val="0"/>
    <w:pPr>
      <w:widowControl w:val="0"/>
      <w:jc w:val="both"/>
    </w:pPr>
    <w:rPr>
      <w:rFonts w:ascii="Times New Roman" w:hAnsi="Times New Roman" w:eastAsia="宋体" w:cs="Times New Roman"/>
      <w:kern w:val="0"/>
      <w:sz w:val="20"/>
      <w:szCs w:val="20"/>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2">
    <w:name w:val="Table Classic 2"/>
    <w:basedOn w:val="84"/>
    <w:qFormat/>
    <w:uiPriority w:val="0"/>
    <w:pPr>
      <w:widowControl w:val="0"/>
      <w:jc w:val="both"/>
    </w:pPr>
    <w:rPr>
      <w:rFonts w:ascii="Times New Roman" w:hAnsi="Times New Roman" w:eastAsia="宋体" w:cs="Times New Roman"/>
      <w:kern w:val="0"/>
      <w:sz w:val="20"/>
      <w:szCs w:val="20"/>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3">
    <w:name w:val="Table Classic 3"/>
    <w:basedOn w:val="84"/>
    <w:qFormat/>
    <w:uiPriority w:val="0"/>
    <w:pPr>
      <w:widowControl w:val="0"/>
      <w:jc w:val="both"/>
    </w:pPr>
    <w:rPr>
      <w:rFonts w:ascii="Times New Roman" w:hAnsi="Times New Roman" w:eastAsia="宋体" w:cs="Times New Roman"/>
      <w:color w:val="000080"/>
      <w:kern w:val="0"/>
      <w:sz w:val="20"/>
      <w:szCs w:val="2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4">
    <w:name w:val="Table Classic 4"/>
    <w:basedOn w:val="84"/>
    <w:qFormat/>
    <w:uiPriority w:val="0"/>
    <w:pPr>
      <w:widowControl w:val="0"/>
      <w:jc w:val="both"/>
    </w:pPr>
    <w:rPr>
      <w:rFonts w:ascii="Times New Roman" w:hAnsi="Times New Roman" w:eastAsia="宋体" w:cs="Times New Roman"/>
      <w:kern w:val="0"/>
      <w:sz w:val="20"/>
      <w:szCs w:val="20"/>
    </w:rPr>
    <w:tblPr>
      <w:tblBorders>
        <w:top w:val="single" w:color="000000" w:sz="12" w:space="0"/>
        <w:left w:val="single" w:color="000000" w:sz="6" w:space="0"/>
        <w:bottom w:val="single" w:color="000000" w:sz="12" w:space="0"/>
        <w:right w:val="single" w:color="000000" w:sz="6" w:space="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5">
    <w:name w:val="Table Simple 1"/>
    <w:basedOn w:val="84"/>
    <w:qFormat/>
    <w:uiPriority w:val="0"/>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96">
    <w:name w:val="Table Simple 2"/>
    <w:basedOn w:val="84"/>
    <w:qFormat/>
    <w:uiPriority w:val="0"/>
    <w:pPr>
      <w:widowControl w:val="0"/>
      <w:jc w:val="both"/>
    </w:pPr>
    <w:rPr>
      <w:rFonts w:ascii="Times New Roman" w:hAnsi="Times New Roman" w:eastAsia="宋体" w:cs="Times New Roman"/>
      <w:kern w:val="0"/>
      <w:sz w:val="20"/>
      <w:szCs w:val="20"/>
    </w:rPr>
    <w:tblPr>
      <w:tblCellMar>
        <w:top w:w="0" w:type="dxa"/>
        <w:left w:w="108" w:type="dxa"/>
        <w:bottom w:w="0" w:type="dxa"/>
        <w:right w:w="108" w:type="dxa"/>
      </w:tblCellMa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97">
    <w:name w:val="Table Simple 3"/>
    <w:basedOn w:val="84"/>
    <w:qFormat/>
    <w:uiPriority w:val="0"/>
    <w:pPr>
      <w:widowControl w:val="0"/>
      <w:jc w:val="both"/>
    </w:pPr>
    <w:rPr>
      <w:rFonts w:ascii="Times New Roman" w:hAnsi="Times New Roman" w:eastAsia="宋体" w:cs="Times New Roman"/>
      <w:kern w:val="0"/>
      <w:sz w:val="20"/>
      <w:szCs w:val="2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00" w:fill="FFFFFF"/>
      </w:tcPr>
    </w:tblStylePr>
  </w:style>
  <w:style w:type="table" w:styleId="98">
    <w:name w:val="Table Subtle 1"/>
    <w:basedOn w:val="84"/>
    <w:qFormat/>
    <w:uiPriority w:val="0"/>
    <w:pPr>
      <w:widowControl w:val="0"/>
      <w:jc w:val="both"/>
    </w:pPr>
    <w:rPr>
      <w:rFonts w:ascii="Times New Roman" w:hAnsi="Times New Roman" w:eastAsia="宋体" w:cs="Times New Roman"/>
      <w:kern w:val="0"/>
      <w:sz w:val="20"/>
      <w:szCs w:val="20"/>
    </w:rPr>
    <w:tblPr>
      <w:tblCellMar>
        <w:top w:w="0" w:type="dxa"/>
        <w:left w:w="108" w:type="dxa"/>
        <w:bottom w:w="0" w:type="dxa"/>
        <w:right w:w="108" w:type="dxa"/>
      </w:tblCellMar>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99">
    <w:name w:val="Table Subtle 2"/>
    <w:basedOn w:val="84"/>
    <w:qFormat/>
    <w:uiPriority w:val="0"/>
    <w:pPr>
      <w:widowControl w:val="0"/>
      <w:jc w:val="both"/>
    </w:pPr>
    <w:rPr>
      <w:rFonts w:ascii="Times New Roman" w:hAnsi="Times New Roman" w:eastAsia="宋体" w:cs="Times New Roman"/>
      <w:kern w:val="0"/>
      <w:sz w:val="20"/>
      <w:szCs w:val="20"/>
    </w:rPr>
    <w:tblPr>
      <w:tblBorders>
        <w:left w:val="single" w:color="000000" w:sz="6" w:space="0"/>
        <w:right w:val="single" w:color="000000" w:sz="6" w:space="0"/>
      </w:tblBorders>
      <w:tblCellMar>
        <w:top w:w="0" w:type="dxa"/>
        <w:left w:w="108" w:type="dxa"/>
        <w:bottom w:w="0" w:type="dxa"/>
        <w:right w:w="108" w:type="dxa"/>
      </w:tblCellMar>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0">
    <w:name w:val="Table 3D effects 1"/>
    <w:basedOn w:val="84"/>
    <w:qFormat/>
    <w:uiPriority w:val="0"/>
    <w:pPr>
      <w:widowControl w:val="0"/>
      <w:jc w:val="both"/>
    </w:pPr>
    <w:rPr>
      <w:rFonts w:ascii="Times New Roman" w:hAnsi="Times New Roman" w:eastAsia="宋体" w:cs="Times New Roman"/>
      <w:kern w:val="0"/>
      <w:sz w:val="20"/>
      <w:szCs w:val="20"/>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1">
    <w:name w:val="Table 3D effects 2"/>
    <w:basedOn w:val="84"/>
    <w:qFormat/>
    <w:uiPriority w:val="0"/>
    <w:pPr>
      <w:widowControl w:val="0"/>
      <w:jc w:val="both"/>
    </w:pPr>
    <w:rPr>
      <w:rFonts w:ascii="Times New Roman" w:hAnsi="Times New Roman" w:eastAsia="宋体" w:cs="Times New Roman"/>
      <w:kern w:val="0"/>
      <w:sz w:val="20"/>
      <w:szCs w:val="20"/>
    </w:rPr>
    <w:tblPr>
      <w:tblCellMar>
        <w:top w:w="0" w:type="dxa"/>
        <w:left w:w="108" w:type="dxa"/>
        <w:bottom w:w="0" w:type="dxa"/>
        <w:right w:w="108" w:type="dxa"/>
      </w:tblCellMar>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2">
    <w:name w:val="Table 3D effects 3"/>
    <w:basedOn w:val="84"/>
    <w:qFormat/>
    <w:uiPriority w:val="0"/>
    <w:pPr>
      <w:widowControl w:val="0"/>
      <w:jc w:val="both"/>
    </w:pPr>
    <w:rPr>
      <w:rFonts w:ascii="Times New Roman" w:hAnsi="Times New Roman" w:eastAsia="宋体" w:cs="Times New Roman"/>
      <w:kern w:val="0"/>
      <w:sz w:val="20"/>
      <w:szCs w:val="20"/>
    </w:rPr>
    <w:tblPr>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3">
    <w:name w:val="Table List 1"/>
    <w:basedOn w:val="84"/>
    <w:qFormat/>
    <w:uiPriority w:val="0"/>
    <w:pPr>
      <w:widowControl w:val="0"/>
      <w:jc w:val="both"/>
    </w:pPr>
    <w:rPr>
      <w:rFonts w:ascii="Times New Roman" w:hAnsi="Times New Roman" w:eastAsia="宋体" w:cs="Times New Roman"/>
      <w:kern w:val="0"/>
      <w:sz w:val="20"/>
      <w:szCs w:val="20"/>
    </w:rPr>
    <w:tblPr>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4">
    <w:name w:val="Table List 2"/>
    <w:basedOn w:val="84"/>
    <w:qFormat/>
    <w:uiPriority w:val="0"/>
    <w:pPr>
      <w:widowControl w:val="0"/>
      <w:jc w:val="both"/>
    </w:pPr>
    <w:rPr>
      <w:rFonts w:ascii="Times New Roman" w:hAnsi="Times New Roman" w:eastAsia="宋体" w:cs="Times New Roman"/>
      <w:kern w:val="0"/>
      <w:sz w:val="20"/>
      <w:szCs w:val="20"/>
    </w:rPr>
    <w:tblPr>
      <w:tblBorders>
        <w:bottom w:val="single" w:color="808080" w:sz="12" w:space="0"/>
      </w:tblBorders>
      <w:tblCellMar>
        <w:top w:w="0" w:type="dxa"/>
        <w:left w:w="108" w:type="dxa"/>
        <w:bottom w:w="0" w:type="dxa"/>
        <w:right w:w="108" w:type="dxa"/>
      </w:tblCellMar>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5">
    <w:name w:val="Table List 3"/>
    <w:basedOn w:val="84"/>
    <w:qFormat/>
    <w:uiPriority w:val="0"/>
    <w:pPr>
      <w:widowControl w:val="0"/>
      <w:jc w:val="both"/>
    </w:pPr>
    <w:rPr>
      <w:rFonts w:ascii="Times New Roman" w:hAnsi="Times New Roman" w:eastAsia="宋体" w:cs="Times New Roman"/>
      <w:kern w:val="0"/>
      <w:sz w:val="20"/>
      <w:szCs w:val="20"/>
    </w:rPr>
    <w:tblPr>
      <w:tblBorders>
        <w:top w:val="single" w:color="000000" w:sz="12" w:space="0"/>
        <w:bottom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06">
    <w:name w:val="Table List 4"/>
    <w:basedOn w:val="84"/>
    <w:qFormat/>
    <w:uiPriority w:val="0"/>
    <w:pPr>
      <w:widowControl w:val="0"/>
      <w:jc w:val="both"/>
    </w:pPr>
    <w:rPr>
      <w:rFonts w:ascii="Times New Roman" w:hAnsi="Times New Roman" w:eastAsia="宋体" w:cs="Times New Roman"/>
      <w:kern w:val="0"/>
      <w:sz w:val="20"/>
      <w:szCs w:val="20"/>
    </w:rPr>
    <w:tblPr>
      <w:tblBorders>
        <w:top w:val="single" w:color="000000" w:sz="12" w:space="0"/>
        <w:left w:val="single" w:color="000000" w:sz="12" w:space="0"/>
        <w:bottom w:val="single" w:color="000000" w:sz="12" w:space="0"/>
        <w:right w:val="single" w:color="000000" w:sz="12" w:space="0"/>
        <w:insideH w:val="single" w:color="000000" w:sz="6" w:space="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07">
    <w:name w:val="Table List 5"/>
    <w:basedOn w:val="84"/>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08">
    <w:name w:val="Table List 6"/>
    <w:basedOn w:val="84"/>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09">
    <w:name w:val="Table List 7"/>
    <w:basedOn w:val="84"/>
    <w:qFormat/>
    <w:uiPriority w:val="0"/>
    <w:pPr>
      <w:widowControl w:val="0"/>
      <w:jc w:val="both"/>
    </w:pPr>
    <w:rPr>
      <w:rFonts w:ascii="Times New Roman" w:hAnsi="Times New Roman" w:eastAsia="宋体" w:cs="Times New Roman"/>
      <w:kern w:val="0"/>
      <w:sz w:val="20"/>
      <w:szCs w:val="20"/>
    </w:rPr>
    <w:tblPr>
      <w:tblBorders>
        <w:top w:val="single" w:color="008000" w:sz="12" w:space="0"/>
        <w:left w:val="single" w:color="008000" w:sz="6" w:space="0"/>
        <w:bottom w:val="single" w:color="008000" w:sz="12" w:space="0"/>
        <w:right w:val="single" w:color="008000" w:sz="6" w:space="0"/>
        <w:insideH w:val="single" w:color="000000" w:sz="6" w:space="0"/>
      </w:tblBorders>
      <w:tblCellMar>
        <w:top w:w="0" w:type="dxa"/>
        <w:left w:w="108" w:type="dxa"/>
        <w:bottom w:w="0" w:type="dxa"/>
        <w:right w:w="108" w:type="dxa"/>
      </w:tblCellMar>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0">
    <w:name w:val="Table List 8"/>
    <w:basedOn w:val="84"/>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V w:val="single" w:color="000000" w:sz="6" w:space="0"/>
      </w:tblBorders>
      <w:tblCellMar>
        <w:top w:w="0" w:type="dxa"/>
        <w:left w:w="108" w:type="dxa"/>
        <w:bottom w:w="0" w:type="dxa"/>
        <w:right w:w="108" w:type="dxa"/>
      </w:tblCellMar>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1">
    <w:name w:val="Table Contemporary"/>
    <w:basedOn w:val="84"/>
    <w:qFormat/>
    <w:uiPriority w:val="0"/>
    <w:pPr>
      <w:widowControl w:val="0"/>
      <w:jc w:val="both"/>
    </w:pPr>
    <w:rPr>
      <w:rFonts w:ascii="Times New Roman" w:hAnsi="Times New Roman" w:eastAsia="宋体" w:cs="Times New Roman"/>
      <w:kern w:val="0"/>
      <w:sz w:val="20"/>
      <w:szCs w:val="20"/>
    </w:rPr>
    <w:tblPr>
      <w:tblBorders>
        <w:insideH w:val="single" w:color="FFFFFF" w:sz="18" w:space="0"/>
        <w:insideV w:val="single" w:color="FFFFFF" w:sz="18" w:space="0"/>
      </w:tblBorders>
      <w:tblCellMar>
        <w:top w:w="0" w:type="dxa"/>
        <w:left w:w="108" w:type="dxa"/>
        <w:bottom w:w="0" w:type="dxa"/>
        <w:right w:w="108" w:type="dxa"/>
      </w:tblCellMar>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2">
    <w:name w:val="Table Columns 1"/>
    <w:basedOn w:val="84"/>
    <w:qFormat/>
    <w:uiPriority w:val="0"/>
    <w:pPr>
      <w:widowControl w:val="0"/>
      <w:jc w:val="both"/>
    </w:pPr>
    <w:rPr>
      <w:rFonts w:ascii="Times New Roman" w:hAnsi="Times New Roman" w:eastAsia="宋体" w:cs="Times New Roman"/>
      <w:b/>
      <w:bCs/>
      <w:kern w:val="0"/>
      <w:sz w:val="20"/>
      <w:szCs w:val="2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3">
    <w:name w:val="Table Columns 2"/>
    <w:basedOn w:val="84"/>
    <w:qFormat/>
    <w:uiPriority w:val="0"/>
    <w:pPr>
      <w:widowControl w:val="0"/>
      <w:jc w:val="both"/>
    </w:pPr>
    <w:rPr>
      <w:rFonts w:ascii="Times New Roman" w:hAnsi="Times New Roman" w:eastAsia="宋体" w:cs="Times New Roman"/>
      <w:b/>
      <w:bCs/>
      <w:kern w:val="0"/>
      <w:sz w:val="20"/>
      <w:szCs w:val="20"/>
    </w:rPr>
    <w:tblPr>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4">
    <w:name w:val="Table Columns 3"/>
    <w:basedOn w:val="84"/>
    <w:qFormat/>
    <w:uiPriority w:val="0"/>
    <w:pPr>
      <w:widowControl w:val="0"/>
      <w:jc w:val="both"/>
    </w:pPr>
    <w:rPr>
      <w:rFonts w:ascii="Times New Roman" w:hAnsi="Times New Roman" w:eastAsia="宋体" w:cs="Times New Roman"/>
      <w:b/>
      <w:bCs/>
      <w:kern w:val="0"/>
      <w:sz w:val="20"/>
      <w:szCs w:val="20"/>
    </w:rPr>
    <w:tblPr>
      <w:tblBorders>
        <w:top w:val="single" w:color="000080" w:sz="6" w:space="0"/>
        <w:left w:val="single" w:color="000080" w:sz="6" w:space="0"/>
        <w:bottom w:val="single" w:color="000080" w:sz="6" w:space="0"/>
        <w:right w:val="single" w:color="000080" w:sz="6" w:space="0"/>
        <w:insideV w:val="single" w:color="000080" w:sz="6" w:space="0"/>
      </w:tblBorders>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5">
    <w:name w:val="Table Columns 4"/>
    <w:basedOn w:val="84"/>
    <w:qFormat/>
    <w:uiPriority w:val="0"/>
    <w:pPr>
      <w:widowControl w:val="0"/>
      <w:jc w:val="both"/>
    </w:pPr>
    <w:rPr>
      <w:rFonts w:ascii="Times New Roman" w:hAnsi="Times New Roman" w:eastAsia="宋体" w:cs="Times New Roman"/>
      <w:kern w:val="0"/>
      <w:sz w:val="20"/>
      <w:szCs w:val="20"/>
    </w:rPr>
    <w:tblPr>
      <w:tblCellMar>
        <w:top w:w="0" w:type="dxa"/>
        <w:left w:w="108" w:type="dxa"/>
        <w:bottom w:w="0" w:type="dxa"/>
        <w:right w:w="108" w:type="dxa"/>
      </w:tblCellMa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6">
    <w:name w:val="Table Columns 5"/>
    <w:basedOn w:val="84"/>
    <w:qFormat/>
    <w:uiPriority w:val="0"/>
    <w:pPr>
      <w:widowControl w:val="0"/>
      <w:jc w:val="both"/>
    </w:pPr>
    <w:rPr>
      <w:rFonts w:ascii="Times New Roman" w:hAnsi="Times New Roman" w:eastAsia="宋体" w:cs="Times New Roman"/>
      <w:kern w:val="0"/>
      <w:sz w:val="20"/>
      <w:szCs w:val="20"/>
    </w:rPr>
    <w:tblPr>
      <w:tblBorders>
        <w:top w:val="single" w:color="808080" w:sz="12" w:space="0"/>
        <w:left w:val="single" w:color="808080" w:sz="12" w:space="0"/>
        <w:bottom w:val="single" w:color="808080" w:sz="12" w:space="0"/>
        <w:right w:val="single" w:color="808080" w:sz="12" w:space="0"/>
        <w:insideV w:val="single" w:color="C0C0C0" w:sz="6" w:space="0"/>
      </w:tblBorders>
      <w:tblCellMar>
        <w:top w:w="0" w:type="dxa"/>
        <w:left w:w="108" w:type="dxa"/>
        <w:bottom w:w="0" w:type="dxa"/>
        <w:right w:w="108" w:type="dxa"/>
      </w:tblCellMar>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7">
    <w:name w:val="Table Grid 1"/>
    <w:basedOn w:val="84"/>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2"/>
    <w:basedOn w:val="84"/>
    <w:qFormat/>
    <w:uiPriority w:val="0"/>
    <w:pPr>
      <w:widowControl w:val="0"/>
      <w:jc w:val="both"/>
    </w:pPr>
    <w:rPr>
      <w:rFonts w:ascii="Times New Roman" w:hAnsi="Times New Roman" w:eastAsia="宋体" w:cs="Times New Roman"/>
      <w:kern w:val="0"/>
      <w:sz w:val="20"/>
      <w:szCs w:val="20"/>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9">
    <w:name w:val="Table Grid 3"/>
    <w:basedOn w:val="84"/>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12" w:space="0"/>
        <w:bottom w:val="single" w:color="000000" w:sz="6"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0">
    <w:name w:val="Table Grid 4"/>
    <w:basedOn w:val="84"/>
    <w:qFormat/>
    <w:uiPriority w:val="0"/>
    <w:pPr>
      <w:widowControl w:val="0"/>
      <w:jc w:val="both"/>
    </w:pPr>
    <w:rPr>
      <w:rFonts w:ascii="Times New Roman" w:hAnsi="Times New Roman" w:eastAsia="宋体" w:cs="Times New Roman"/>
      <w:kern w:val="0"/>
      <w:sz w:val="20"/>
      <w:szCs w:val="20"/>
    </w:rPr>
    <w:tblPr>
      <w:tblBorders>
        <w:left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1">
    <w:name w:val="Table Grid 5"/>
    <w:basedOn w:val="84"/>
    <w:qFormat/>
    <w:uiPriority w:val="0"/>
    <w:pPr>
      <w:widowControl w:val="0"/>
      <w:jc w:val="both"/>
    </w:pPr>
    <w:rPr>
      <w:rFonts w:ascii="Times New Roman" w:hAnsi="Times New Roman" w:eastAsia="宋体" w:cs="Times New Roman"/>
      <w:kern w:val="0"/>
      <w:sz w:val="20"/>
      <w:szCs w:val="20"/>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6"/>
    <w:basedOn w:val="84"/>
    <w:qFormat/>
    <w:uiPriority w:val="0"/>
    <w:pPr>
      <w:widowControl w:val="0"/>
      <w:jc w:val="both"/>
    </w:pPr>
    <w:rPr>
      <w:rFonts w:ascii="Times New Roman" w:hAnsi="Times New Roman" w:eastAsia="宋体" w:cs="Times New Roman"/>
      <w:kern w:val="0"/>
      <w:sz w:val="20"/>
      <w:szCs w:val="20"/>
    </w:r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3">
    <w:name w:val="Table Grid 7"/>
    <w:basedOn w:val="84"/>
    <w:qFormat/>
    <w:uiPriority w:val="0"/>
    <w:pPr>
      <w:widowControl w:val="0"/>
      <w:jc w:val="both"/>
    </w:pPr>
    <w:rPr>
      <w:rFonts w:ascii="Times New Roman" w:hAnsi="Times New Roman" w:eastAsia="宋体" w:cs="Times New Roman"/>
      <w:b/>
      <w:bCs/>
      <w:kern w:val="0"/>
      <w:sz w:val="20"/>
      <w:szCs w:val="20"/>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8"/>
    <w:basedOn w:val="84"/>
    <w:qFormat/>
    <w:uiPriority w:val="0"/>
    <w:pPr>
      <w:widowControl w:val="0"/>
      <w:jc w:val="both"/>
    </w:pPr>
    <w:rPr>
      <w:rFonts w:ascii="Times New Roman" w:hAnsi="Times New Roman" w:eastAsia="宋体" w:cs="Times New Roman"/>
      <w:kern w:val="0"/>
      <w:sz w:val="20"/>
      <w:szCs w:val="20"/>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5">
    <w:name w:val="Table Web 1"/>
    <w:basedOn w:val="84"/>
    <w:qFormat/>
    <w:uiPriority w:val="0"/>
    <w:pPr>
      <w:widowControl w:val="0"/>
      <w:jc w:val="both"/>
    </w:pPr>
    <w:rPr>
      <w:rFonts w:ascii="Times New Roman" w:hAnsi="Times New Roman" w:eastAsia="宋体" w:cs="Times New Roman"/>
      <w:kern w:val="0"/>
      <w:sz w:val="20"/>
      <w:szCs w:val="20"/>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26">
    <w:name w:val="Table Web 2"/>
    <w:basedOn w:val="84"/>
    <w:qFormat/>
    <w:uiPriority w:val="0"/>
    <w:pPr>
      <w:widowControl w:val="0"/>
      <w:jc w:val="both"/>
    </w:pPr>
    <w:rPr>
      <w:rFonts w:ascii="Times New Roman" w:hAnsi="Times New Roman" w:eastAsia="宋体" w:cs="Times New Roman"/>
      <w:kern w:val="0"/>
      <w:sz w:val="20"/>
      <w:szCs w:val="20"/>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27">
    <w:name w:val="Table Web 3"/>
    <w:basedOn w:val="84"/>
    <w:qFormat/>
    <w:uiPriority w:val="0"/>
    <w:pPr>
      <w:widowControl w:val="0"/>
      <w:jc w:val="both"/>
    </w:pPr>
    <w:rPr>
      <w:rFonts w:ascii="Times New Roman" w:hAnsi="Times New Roman" w:eastAsia="宋体" w:cs="Times New Roman"/>
      <w:kern w:val="0"/>
      <w:sz w:val="20"/>
      <w:szCs w:val="20"/>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28">
    <w:name w:val="Table Professional"/>
    <w:basedOn w:val="84"/>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styleId="130">
    <w:name w:val="Strong"/>
    <w:qFormat/>
    <w:uiPriority w:val="0"/>
    <w:rPr>
      <w:b/>
      <w:bCs/>
    </w:rPr>
  </w:style>
  <w:style w:type="character" w:styleId="131">
    <w:name w:val="endnote reference"/>
    <w:qFormat/>
    <w:uiPriority w:val="0"/>
    <w:rPr>
      <w:vertAlign w:val="superscript"/>
    </w:rPr>
  </w:style>
  <w:style w:type="character" w:styleId="132">
    <w:name w:val="page number"/>
    <w:basedOn w:val="129"/>
    <w:qFormat/>
    <w:uiPriority w:val="0"/>
  </w:style>
  <w:style w:type="character" w:styleId="133">
    <w:name w:val="FollowedHyperlink"/>
    <w:qFormat/>
    <w:uiPriority w:val="0"/>
    <w:rPr>
      <w:color w:val="800080"/>
      <w:u w:val="single"/>
    </w:rPr>
  </w:style>
  <w:style w:type="character" w:styleId="134">
    <w:name w:val="Emphasis"/>
    <w:qFormat/>
    <w:uiPriority w:val="0"/>
    <w:rPr>
      <w:color w:val="CC0000"/>
    </w:rPr>
  </w:style>
  <w:style w:type="character" w:styleId="135">
    <w:name w:val="line number"/>
    <w:basedOn w:val="129"/>
    <w:qFormat/>
    <w:uiPriority w:val="0"/>
  </w:style>
  <w:style w:type="character" w:styleId="136">
    <w:name w:val="HTML Definition"/>
    <w:qFormat/>
    <w:uiPriority w:val="0"/>
    <w:rPr>
      <w:i/>
      <w:iCs/>
    </w:rPr>
  </w:style>
  <w:style w:type="character" w:styleId="137">
    <w:name w:val="HTML Typewriter"/>
    <w:qFormat/>
    <w:uiPriority w:val="0"/>
    <w:rPr>
      <w:rFonts w:ascii="Courier New" w:hAnsi="Courier New" w:cs="Courier New"/>
      <w:sz w:val="20"/>
      <w:szCs w:val="20"/>
    </w:rPr>
  </w:style>
  <w:style w:type="character" w:styleId="138">
    <w:name w:val="HTML Acronym"/>
    <w:basedOn w:val="129"/>
    <w:qFormat/>
    <w:uiPriority w:val="0"/>
  </w:style>
  <w:style w:type="character" w:styleId="139">
    <w:name w:val="HTML Variable"/>
    <w:qFormat/>
    <w:uiPriority w:val="0"/>
    <w:rPr>
      <w:i/>
      <w:iCs/>
    </w:rPr>
  </w:style>
  <w:style w:type="character" w:styleId="140">
    <w:name w:val="Hyperlink"/>
    <w:qFormat/>
    <w:uiPriority w:val="99"/>
    <w:rPr>
      <w:color w:val="0000FF"/>
      <w:u w:val="single"/>
    </w:rPr>
  </w:style>
  <w:style w:type="character" w:styleId="141">
    <w:name w:val="HTML Code"/>
    <w:qFormat/>
    <w:uiPriority w:val="0"/>
    <w:rPr>
      <w:rFonts w:ascii="Courier New" w:hAnsi="Courier New" w:cs="Courier New"/>
      <w:sz w:val="20"/>
      <w:szCs w:val="20"/>
    </w:rPr>
  </w:style>
  <w:style w:type="character" w:styleId="142">
    <w:name w:val="annotation reference"/>
    <w:qFormat/>
    <w:uiPriority w:val="0"/>
    <w:rPr>
      <w:sz w:val="21"/>
    </w:rPr>
  </w:style>
  <w:style w:type="character" w:styleId="143">
    <w:name w:val="HTML Cite"/>
    <w:qFormat/>
    <w:uiPriority w:val="0"/>
    <w:rPr>
      <w:i/>
      <w:iCs/>
    </w:rPr>
  </w:style>
  <w:style w:type="character" w:styleId="144">
    <w:name w:val="HTML Keyboard"/>
    <w:qFormat/>
    <w:uiPriority w:val="0"/>
    <w:rPr>
      <w:rFonts w:ascii="Courier New" w:hAnsi="Courier New" w:cs="Courier New"/>
      <w:sz w:val="20"/>
      <w:szCs w:val="20"/>
    </w:rPr>
  </w:style>
  <w:style w:type="character" w:styleId="145">
    <w:name w:val="HTML Sample"/>
    <w:qFormat/>
    <w:uiPriority w:val="0"/>
    <w:rPr>
      <w:rFonts w:ascii="Courier New" w:hAnsi="Courier New" w:cs="Courier New"/>
    </w:rPr>
  </w:style>
  <w:style w:type="character" w:customStyle="1" w:styleId="146">
    <w:name w:val="页眉 Char"/>
    <w:basedOn w:val="129"/>
    <w:link w:val="54"/>
    <w:qFormat/>
    <w:uiPriority w:val="0"/>
    <w:rPr>
      <w:sz w:val="18"/>
      <w:szCs w:val="18"/>
    </w:rPr>
  </w:style>
  <w:style w:type="character" w:customStyle="1" w:styleId="147">
    <w:name w:val="页脚 Char"/>
    <w:basedOn w:val="129"/>
    <w:link w:val="52"/>
    <w:qFormat/>
    <w:uiPriority w:val="99"/>
    <w:rPr>
      <w:sz w:val="18"/>
      <w:szCs w:val="18"/>
    </w:rPr>
  </w:style>
  <w:style w:type="character" w:customStyle="1" w:styleId="148">
    <w:name w:val="标题 1 Char"/>
    <w:basedOn w:val="129"/>
    <w:link w:val="2"/>
    <w:qFormat/>
    <w:uiPriority w:val="0"/>
    <w:rPr>
      <w:rFonts w:ascii="Times New Roman" w:hAnsi="Times New Roman" w:eastAsia="宋体" w:cs="Times New Roman"/>
      <w:sz w:val="28"/>
      <w:szCs w:val="20"/>
    </w:rPr>
  </w:style>
  <w:style w:type="character" w:customStyle="1" w:styleId="149">
    <w:name w:val="标题 2 Char"/>
    <w:basedOn w:val="129"/>
    <w:link w:val="3"/>
    <w:qFormat/>
    <w:uiPriority w:val="0"/>
    <w:rPr>
      <w:rFonts w:ascii="Cambria" w:hAnsi="Cambria" w:eastAsia="宋体" w:cs="Times New Roman"/>
      <w:b/>
      <w:bCs/>
      <w:sz w:val="32"/>
      <w:szCs w:val="32"/>
    </w:rPr>
  </w:style>
  <w:style w:type="character" w:customStyle="1" w:styleId="150">
    <w:name w:val="标题 3 Char"/>
    <w:basedOn w:val="129"/>
    <w:link w:val="4"/>
    <w:qFormat/>
    <w:uiPriority w:val="0"/>
    <w:rPr>
      <w:rFonts w:ascii="Times New Roman" w:hAnsi="Times New Roman" w:eastAsia="宋体" w:cs="Times New Roman"/>
      <w:b/>
      <w:bCs/>
      <w:sz w:val="32"/>
      <w:szCs w:val="32"/>
    </w:rPr>
  </w:style>
  <w:style w:type="character" w:customStyle="1" w:styleId="151">
    <w:name w:val="标题 4 Char"/>
    <w:basedOn w:val="129"/>
    <w:link w:val="5"/>
    <w:qFormat/>
    <w:uiPriority w:val="0"/>
    <w:rPr>
      <w:rFonts w:ascii="Times New Roman" w:hAnsi="Times New Roman" w:eastAsia="黑体" w:cs="Times New Roman"/>
      <w:b/>
      <w:kern w:val="0"/>
      <w:sz w:val="28"/>
      <w:szCs w:val="20"/>
    </w:rPr>
  </w:style>
  <w:style w:type="character" w:customStyle="1" w:styleId="152">
    <w:name w:val="标题 5 Char"/>
    <w:basedOn w:val="129"/>
    <w:link w:val="7"/>
    <w:qFormat/>
    <w:uiPriority w:val="0"/>
    <w:rPr>
      <w:rFonts w:ascii="Times New Roman" w:hAnsi="Times New Roman" w:eastAsia="宋体" w:cs="Times New Roman"/>
      <w:b/>
      <w:kern w:val="0"/>
      <w:sz w:val="24"/>
      <w:szCs w:val="20"/>
    </w:rPr>
  </w:style>
  <w:style w:type="character" w:customStyle="1" w:styleId="153">
    <w:name w:val="标题 6 Char"/>
    <w:basedOn w:val="129"/>
    <w:link w:val="8"/>
    <w:qFormat/>
    <w:uiPriority w:val="0"/>
    <w:rPr>
      <w:rFonts w:ascii="Arial" w:hAnsi="Arial" w:eastAsia="黑体" w:cs="Times New Roman"/>
      <w:b/>
      <w:bCs/>
      <w:sz w:val="24"/>
      <w:szCs w:val="24"/>
    </w:rPr>
  </w:style>
  <w:style w:type="character" w:customStyle="1" w:styleId="154">
    <w:name w:val="标题 7 Char"/>
    <w:basedOn w:val="129"/>
    <w:link w:val="9"/>
    <w:uiPriority w:val="0"/>
    <w:rPr>
      <w:rFonts w:ascii="Times New Roman" w:hAnsi="Times New Roman" w:eastAsia="宋体" w:cs="Times New Roman"/>
      <w:b/>
      <w:bCs/>
      <w:sz w:val="24"/>
      <w:szCs w:val="24"/>
    </w:rPr>
  </w:style>
  <w:style w:type="character" w:customStyle="1" w:styleId="155">
    <w:name w:val="标题 8 Char"/>
    <w:basedOn w:val="129"/>
    <w:link w:val="10"/>
    <w:qFormat/>
    <w:uiPriority w:val="0"/>
    <w:rPr>
      <w:rFonts w:ascii="Arial" w:hAnsi="Arial" w:eastAsia="黑体" w:cs="Times New Roman"/>
      <w:sz w:val="24"/>
      <w:szCs w:val="24"/>
    </w:rPr>
  </w:style>
  <w:style w:type="character" w:customStyle="1" w:styleId="156">
    <w:name w:val="标题 9 Char"/>
    <w:basedOn w:val="129"/>
    <w:link w:val="11"/>
    <w:qFormat/>
    <w:uiPriority w:val="0"/>
    <w:rPr>
      <w:rFonts w:ascii="Arial" w:hAnsi="Arial" w:eastAsia="黑体" w:cs="Times New Roman"/>
      <w:szCs w:val="21"/>
    </w:rPr>
  </w:style>
  <w:style w:type="character" w:customStyle="1" w:styleId="157">
    <w:name w:val="纯文本 Char"/>
    <w:basedOn w:val="129"/>
    <w:link w:val="42"/>
    <w:qFormat/>
    <w:uiPriority w:val="0"/>
    <w:rPr>
      <w:rFonts w:ascii="宋体" w:hAnsi="Courier New" w:eastAsia="宋体" w:cs="Times New Roman"/>
      <w:szCs w:val="20"/>
    </w:rPr>
  </w:style>
  <w:style w:type="paragraph" w:customStyle="1" w:styleId="158">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kern w:val="0"/>
      <w:sz w:val="52"/>
      <w:szCs w:val="20"/>
      <w:lang w:val="en-US" w:eastAsia="zh-CN" w:bidi="ar-SA"/>
    </w:rPr>
  </w:style>
  <w:style w:type="paragraph" w:customStyle="1" w:styleId="159">
    <w:name w:val="2"/>
    <w:basedOn w:val="1"/>
    <w:next w:val="42"/>
    <w:qFormat/>
    <w:uiPriority w:val="0"/>
    <w:rPr>
      <w:rFonts w:ascii="宋体" w:hAnsi="Courier New"/>
      <w:sz w:val="24"/>
      <w:szCs w:val="20"/>
    </w:rPr>
  </w:style>
  <w:style w:type="paragraph" w:customStyle="1" w:styleId="160">
    <w:name w:val="3"/>
    <w:basedOn w:val="1"/>
    <w:next w:val="42"/>
    <w:qFormat/>
    <w:uiPriority w:val="0"/>
    <w:rPr>
      <w:rFonts w:ascii="宋体" w:hAnsi="Courier New" w:cs="Courier New"/>
      <w:szCs w:val="21"/>
    </w:rPr>
  </w:style>
  <w:style w:type="character" w:customStyle="1" w:styleId="161">
    <w:name w:val="正文文本缩进 2 Char"/>
    <w:basedOn w:val="129"/>
    <w:link w:val="48"/>
    <w:qFormat/>
    <w:uiPriority w:val="0"/>
    <w:rPr>
      <w:rFonts w:ascii="Times New Roman" w:hAnsi="Times New Roman" w:eastAsia="宋体" w:cs="Times New Roman"/>
      <w:sz w:val="24"/>
      <w:szCs w:val="20"/>
    </w:rPr>
  </w:style>
  <w:style w:type="character" w:customStyle="1" w:styleId="162">
    <w:name w:val="正文文本缩进 Char"/>
    <w:basedOn w:val="129"/>
    <w:link w:val="32"/>
    <w:uiPriority w:val="0"/>
    <w:rPr>
      <w:rFonts w:ascii="宋体" w:hAnsi="宋体" w:eastAsia="宋体" w:cs="Times New Roman"/>
      <w:sz w:val="24"/>
      <w:szCs w:val="24"/>
    </w:rPr>
  </w:style>
  <w:style w:type="character" w:customStyle="1" w:styleId="163">
    <w:name w:val="文档结构图 Char"/>
    <w:basedOn w:val="129"/>
    <w:link w:val="24"/>
    <w:uiPriority w:val="99"/>
    <w:rPr>
      <w:rFonts w:ascii="宋体" w:hAnsi="Times New Roman" w:eastAsia="宋体" w:cs="Times New Roman"/>
      <w:sz w:val="18"/>
      <w:szCs w:val="18"/>
    </w:rPr>
  </w:style>
  <w:style w:type="character" w:customStyle="1" w:styleId="164">
    <w:name w:val="日期 Char"/>
    <w:basedOn w:val="129"/>
    <w:link w:val="47"/>
    <w:qFormat/>
    <w:uiPriority w:val="0"/>
    <w:rPr>
      <w:rFonts w:ascii="Times New Roman" w:hAnsi="Times New Roman" w:eastAsia="宋体" w:cs="Times New Roman"/>
      <w:kern w:val="0"/>
      <w:sz w:val="24"/>
      <w:szCs w:val="20"/>
    </w:rPr>
  </w:style>
  <w:style w:type="paragraph" w:customStyle="1" w:styleId="165">
    <w:name w:val="Char Char Char Char Char Char Char Char Char Char"/>
    <w:basedOn w:val="24"/>
    <w:qFormat/>
    <w:uiPriority w:val="0"/>
    <w:pPr>
      <w:spacing w:line="360" w:lineRule="auto"/>
      <w:ind w:firstLine="437" w:firstLineChars="200"/>
      <w:jc w:val="center"/>
    </w:pPr>
    <w:rPr>
      <w:rFonts w:hAnsi="宋体"/>
      <w:sz w:val="24"/>
      <w:szCs w:val="24"/>
      <w:lang w:val="fr-FR"/>
    </w:rPr>
  </w:style>
  <w:style w:type="character" w:customStyle="1" w:styleId="166">
    <w:name w:val="正文文本 Char"/>
    <w:basedOn w:val="129"/>
    <w:link w:val="31"/>
    <w:qFormat/>
    <w:uiPriority w:val="0"/>
    <w:rPr>
      <w:rFonts w:ascii="Times New Roman" w:hAnsi="Times New Roman" w:eastAsia="宋体" w:cs="Times New Roman"/>
      <w:szCs w:val="24"/>
    </w:rPr>
  </w:style>
  <w:style w:type="character" w:customStyle="1" w:styleId="167">
    <w:name w:val="正文文本缩进 3 Char"/>
    <w:basedOn w:val="129"/>
    <w:link w:val="66"/>
    <w:qFormat/>
    <w:uiPriority w:val="0"/>
    <w:rPr>
      <w:rFonts w:ascii="Times New Roman" w:hAnsi="Times New Roman" w:eastAsia="宋体" w:cs="Times New Roman"/>
      <w:sz w:val="16"/>
      <w:szCs w:val="16"/>
    </w:rPr>
  </w:style>
  <w:style w:type="paragraph" w:customStyle="1" w:styleId="168">
    <w:name w:val="nei"/>
    <w:qFormat/>
    <w:uiPriority w:val="0"/>
    <w:pPr>
      <w:spacing w:line="360" w:lineRule="auto"/>
    </w:pPr>
    <w:rPr>
      <w:rFonts w:ascii="Arial" w:hAnsi="Arial" w:eastAsia="宋体" w:cs="Times New Roman"/>
      <w:bCs/>
      <w:kern w:val="2"/>
      <w:sz w:val="28"/>
      <w:szCs w:val="28"/>
      <w:lang w:val="en-US" w:eastAsia="zh-CN" w:bidi="ar-SA"/>
    </w:rPr>
  </w:style>
  <w:style w:type="paragraph" w:customStyle="1" w:styleId="169">
    <w:name w:val="Char"/>
    <w:basedOn w:val="1"/>
    <w:qFormat/>
    <w:uiPriority w:val="0"/>
    <w:pPr>
      <w:adjustRightInd w:val="0"/>
      <w:spacing w:line="360" w:lineRule="atLeast"/>
      <w:textAlignment w:val="baseline"/>
    </w:pPr>
    <w:rPr>
      <w:rFonts w:ascii="Tahoma" w:hAnsi="Tahoma"/>
      <w:sz w:val="24"/>
      <w:szCs w:val="20"/>
    </w:rPr>
  </w:style>
  <w:style w:type="paragraph" w:customStyle="1" w:styleId="170">
    <w:name w:val="Char Char Char Char1 Char Char"/>
    <w:basedOn w:val="1"/>
    <w:qFormat/>
    <w:uiPriority w:val="0"/>
  </w:style>
  <w:style w:type="character" w:customStyle="1" w:styleId="171">
    <w:name w:val="批注框文本 Char"/>
    <w:basedOn w:val="129"/>
    <w:link w:val="51"/>
    <w:semiHidden/>
    <w:uiPriority w:val="99"/>
    <w:rPr>
      <w:rFonts w:ascii="Times New Roman" w:hAnsi="Times New Roman" w:eastAsia="宋体" w:cs="Times New Roman"/>
      <w:sz w:val="18"/>
      <w:szCs w:val="18"/>
    </w:rPr>
  </w:style>
  <w:style w:type="paragraph" w:customStyle="1" w:styleId="172">
    <w:name w:val="Char Char Char Char Char Char1 Char"/>
    <w:basedOn w:val="1"/>
    <w:qFormat/>
    <w:uiPriority w:val="0"/>
  </w:style>
  <w:style w:type="paragraph" w:customStyle="1" w:styleId="173">
    <w:name w:val="默认段落字体 Para Char Char Char Char"/>
    <w:basedOn w:val="1"/>
    <w:link w:val="233"/>
    <w:qFormat/>
    <w:uiPriority w:val="0"/>
    <w:rPr>
      <w:szCs w:val="20"/>
    </w:rPr>
  </w:style>
  <w:style w:type="paragraph" w:customStyle="1" w:styleId="174">
    <w:name w:val="font6"/>
    <w:basedOn w:val="1"/>
    <w:qFormat/>
    <w:uiPriority w:val="0"/>
    <w:pPr>
      <w:widowControl/>
      <w:spacing w:before="100" w:beforeAutospacing="1" w:after="100" w:afterAutospacing="1"/>
      <w:jc w:val="left"/>
    </w:pPr>
    <w:rPr>
      <w:rFonts w:hint="eastAsia" w:ascii="宋体" w:hAnsi="宋体" w:cs="Arial Unicode MS"/>
      <w:kern w:val="0"/>
      <w:sz w:val="20"/>
      <w:szCs w:val="20"/>
    </w:rPr>
  </w:style>
  <w:style w:type="paragraph" w:customStyle="1" w:styleId="175">
    <w:name w:val="Char Char Char Char Char"/>
    <w:basedOn w:val="1"/>
    <w:qFormat/>
    <w:uiPriority w:val="0"/>
  </w:style>
  <w:style w:type="paragraph" w:customStyle="1" w:styleId="176">
    <w:name w:val="样式"/>
    <w:qFormat/>
    <w:uiPriority w:val="0"/>
    <w:pPr>
      <w:widowControl w:val="0"/>
      <w:adjustRightInd w:val="0"/>
      <w:spacing w:line="360" w:lineRule="auto"/>
      <w:ind w:firstLine="482"/>
      <w:jc w:val="both"/>
      <w:textAlignment w:val="baseline"/>
    </w:pPr>
    <w:rPr>
      <w:rFonts w:ascii="Times New Roman" w:hAnsi="Times New Roman" w:eastAsia="宋体" w:cs="Times New Roman"/>
      <w:kern w:val="0"/>
      <w:sz w:val="24"/>
      <w:szCs w:val="20"/>
      <w:lang w:val="en-US" w:eastAsia="zh-CN" w:bidi="ar-SA"/>
    </w:rPr>
  </w:style>
  <w:style w:type="paragraph" w:customStyle="1" w:styleId="177">
    <w:name w:val="默认段落字体 Para Char"/>
    <w:basedOn w:val="1"/>
    <w:semiHidden/>
    <w:qFormat/>
    <w:uiPriority w:val="0"/>
    <w:rPr>
      <w:rFonts w:eastAsia="黑体"/>
      <w:sz w:val="32"/>
      <w:szCs w:val="32"/>
    </w:rPr>
  </w:style>
  <w:style w:type="paragraph" w:customStyle="1" w:styleId="178">
    <w:name w:val="样式2"/>
    <w:link w:val="179"/>
    <w:qFormat/>
    <w:uiPriority w:val="0"/>
    <w:pPr>
      <w:widowControl w:val="0"/>
      <w:spacing w:line="312" w:lineRule="exact"/>
      <w:jc w:val="both"/>
    </w:pPr>
    <w:rPr>
      <w:rFonts w:ascii="EU-F1" w:hAnsi="Times New Roman" w:eastAsia="黑体" w:cs="Times New Roman"/>
      <w:color w:val="000000"/>
      <w:kern w:val="2"/>
      <w:sz w:val="21"/>
      <w:szCs w:val="21"/>
      <w:lang w:val="en-US" w:eastAsia="zh-CN" w:bidi="ar-SA"/>
    </w:rPr>
  </w:style>
  <w:style w:type="character" w:customStyle="1" w:styleId="179">
    <w:name w:val="样式2 Char"/>
    <w:link w:val="178"/>
    <w:qFormat/>
    <w:uiPriority w:val="0"/>
    <w:rPr>
      <w:rFonts w:ascii="EU-F1" w:hAnsi="Times New Roman" w:eastAsia="黑体" w:cs="Times New Roman"/>
      <w:color w:val="000000"/>
      <w:szCs w:val="21"/>
    </w:rPr>
  </w:style>
  <w:style w:type="paragraph" w:customStyle="1" w:styleId="180">
    <w:name w:val="正文样式A0"/>
    <w:basedOn w:val="1"/>
    <w:qFormat/>
    <w:uiPriority w:val="0"/>
    <w:pPr>
      <w:spacing w:line="360" w:lineRule="atLeast"/>
      <w:ind w:firstLine="200" w:firstLineChars="200"/>
    </w:pPr>
    <w:rPr>
      <w:rFonts w:ascii="Arial" w:hAnsi="Arial" w:cs="宋体"/>
      <w:sz w:val="24"/>
      <w:szCs w:val="20"/>
    </w:rPr>
  </w:style>
  <w:style w:type="character" w:customStyle="1" w:styleId="181">
    <w:name w:val="标题 Char"/>
    <w:basedOn w:val="129"/>
    <w:link w:val="80"/>
    <w:uiPriority w:val="0"/>
    <w:rPr>
      <w:rFonts w:ascii="仿宋_GB2312" w:hAnsi="宋体" w:eastAsia="仿宋_GB2312" w:cs="Times New Roman"/>
      <w:b/>
      <w:sz w:val="44"/>
      <w:szCs w:val="44"/>
    </w:rPr>
  </w:style>
  <w:style w:type="character" w:customStyle="1" w:styleId="182">
    <w:name w:val="批注文字 Char"/>
    <w:basedOn w:val="129"/>
    <w:link w:val="25"/>
    <w:qFormat/>
    <w:uiPriority w:val="0"/>
    <w:rPr>
      <w:rFonts w:ascii="Times New Roman" w:hAnsi="Times New Roman" w:eastAsia="宋体" w:cs="Times New Roman"/>
      <w:kern w:val="0"/>
      <w:sz w:val="24"/>
      <w:szCs w:val="20"/>
    </w:rPr>
  </w:style>
  <w:style w:type="paragraph" w:customStyle="1" w:styleId="183">
    <w:name w:val="Char2"/>
    <w:basedOn w:val="1"/>
    <w:semiHidden/>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4">
    <w:name w:val="表格内字体字号"/>
    <w:basedOn w:val="1"/>
    <w:qFormat/>
    <w:uiPriority w:val="0"/>
    <w:pPr>
      <w:topLinePunct/>
      <w:snapToGrid w:val="0"/>
      <w:spacing w:beforeLines="20" w:afterLines="20"/>
      <w:ind w:left="30" w:leftChars="30" w:right="30" w:rightChars="30"/>
      <w:jc w:val="center"/>
    </w:pPr>
    <w:rPr>
      <w:sz w:val="18"/>
      <w:szCs w:val="18"/>
    </w:rPr>
  </w:style>
  <w:style w:type="character" w:customStyle="1" w:styleId="185">
    <w:name w:val="批注主题 Char"/>
    <w:basedOn w:val="182"/>
    <w:link w:val="81"/>
    <w:qFormat/>
    <w:uiPriority w:val="0"/>
    <w:rPr>
      <w:b/>
      <w:bCs/>
      <w:szCs w:val="24"/>
    </w:rPr>
  </w:style>
  <w:style w:type="paragraph" w:customStyle="1" w:styleId="186">
    <w:name w:val="a"/>
    <w:basedOn w:val="1"/>
    <w:uiPriority w:val="0"/>
    <w:pPr>
      <w:adjustRightInd w:val="0"/>
      <w:spacing w:before="60" w:after="60" w:line="315" w:lineRule="atLeast"/>
      <w:jc w:val="left"/>
      <w:textAlignment w:val="baseline"/>
    </w:pPr>
    <w:rPr>
      <w:rFonts w:ascii="宋体"/>
      <w:kern w:val="0"/>
      <w:sz w:val="24"/>
      <w:szCs w:val="20"/>
    </w:rPr>
  </w:style>
  <w:style w:type="paragraph" w:customStyle="1" w:styleId="187">
    <w:name w:val="样式1"/>
    <w:basedOn w:val="1"/>
    <w:next w:val="23"/>
    <w:qFormat/>
    <w:uiPriority w:val="0"/>
    <w:pPr>
      <w:autoSpaceDE w:val="0"/>
      <w:autoSpaceDN w:val="0"/>
      <w:adjustRightInd w:val="0"/>
    </w:pPr>
    <w:rPr>
      <w:rFonts w:ascii="宋体"/>
      <w:kern w:val="0"/>
      <w:szCs w:val="20"/>
    </w:rPr>
  </w:style>
  <w:style w:type="paragraph" w:customStyle="1" w:styleId="188">
    <w:name w:val="TOC Heading"/>
    <w:basedOn w:val="2"/>
    <w:next w:val="1"/>
    <w:qFormat/>
    <w:uiPriority w:val="39"/>
    <w:pPr>
      <w:keepLines/>
      <w:widowControl/>
      <w:spacing w:before="480" w:line="276" w:lineRule="auto"/>
      <w:jc w:val="left"/>
      <w:outlineLvl w:val="9"/>
    </w:pPr>
    <w:rPr>
      <w:rFonts w:ascii="Cambria" w:hAnsi="Cambria"/>
      <w:b/>
      <w:bCs/>
      <w:color w:val="365F91"/>
      <w:kern w:val="0"/>
      <w:szCs w:val="28"/>
    </w:rPr>
  </w:style>
  <w:style w:type="paragraph" w:customStyle="1" w:styleId="189">
    <w:name w:val="Defaul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 w:type="paragraph" w:customStyle="1" w:styleId="190">
    <w:name w:val="Char Char2 Char"/>
    <w:basedOn w:val="1"/>
    <w:qFormat/>
    <w:uiPriority w:val="0"/>
    <w:pPr>
      <w:keepNext/>
      <w:keepLines/>
      <w:pageBreakBefore/>
      <w:tabs>
        <w:tab w:val="left" w:pos="845"/>
      </w:tabs>
      <w:ind w:left="845" w:hanging="420"/>
    </w:pPr>
    <w:rPr>
      <w:rFonts w:ascii="Tahoma" w:hAnsi="Tahoma"/>
      <w:sz w:val="24"/>
      <w:szCs w:val="20"/>
    </w:rPr>
  </w:style>
  <w:style w:type="paragraph" w:customStyle="1" w:styleId="191">
    <w:name w:val="标准"/>
    <w:basedOn w:val="1"/>
    <w:uiPriority w:val="0"/>
    <w:pPr>
      <w:adjustRightInd w:val="0"/>
      <w:spacing w:line="360" w:lineRule="auto"/>
      <w:textAlignment w:val="baseline"/>
    </w:pPr>
    <w:rPr>
      <w:rFonts w:eastAsia="仿宋体"/>
      <w:kern w:val="0"/>
      <w:sz w:val="28"/>
      <w:szCs w:val="20"/>
    </w:rPr>
  </w:style>
  <w:style w:type="paragraph" w:customStyle="1" w:styleId="192">
    <w:name w:val="p0"/>
    <w:basedOn w:val="1"/>
    <w:qFormat/>
    <w:uiPriority w:val="0"/>
    <w:pPr>
      <w:widowControl/>
    </w:pPr>
    <w:rPr>
      <w:kern w:val="0"/>
      <w:szCs w:val="21"/>
    </w:rPr>
  </w:style>
  <w:style w:type="paragraph" w:customStyle="1" w:styleId="193">
    <w:name w:val="样式6"/>
    <w:basedOn w:val="1"/>
    <w:link w:val="194"/>
    <w:uiPriority w:val="0"/>
    <w:pPr>
      <w:topLinePunct/>
      <w:spacing w:before="160" w:after="60"/>
      <w:jc w:val="center"/>
    </w:pPr>
    <w:rPr>
      <w:rFonts w:eastAsia="黑体"/>
      <w:szCs w:val="21"/>
    </w:rPr>
  </w:style>
  <w:style w:type="character" w:customStyle="1" w:styleId="194">
    <w:name w:val="样式6 Char"/>
    <w:link w:val="193"/>
    <w:qFormat/>
    <w:uiPriority w:val="0"/>
    <w:rPr>
      <w:rFonts w:ascii="Times New Roman" w:hAnsi="Times New Roman" w:eastAsia="黑体" w:cs="Times New Roman"/>
      <w:szCs w:val="21"/>
    </w:rPr>
  </w:style>
  <w:style w:type="paragraph" w:customStyle="1" w:styleId="195">
    <w:name w:val="图说"/>
    <w:basedOn w:val="1"/>
    <w:link w:val="248"/>
    <w:semiHidden/>
    <w:qFormat/>
    <w:uiPriority w:val="0"/>
    <w:pPr>
      <w:topLinePunct/>
      <w:spacing w:before="40" w:after="160"/>
      <w:jc w:val="center"/>
    </w:pPr>
    <w:rPr>
      <w:sz w:val="18"/>
      <w:szCs w:val="20"/>
    </w:rPr>
  </w:style>
  <w:style w:type="paragraph" w:customStyle="1" w:styleId="196">
    <w:name w:val="样式3"/>
    <w:basedOn w:val="4"/>
    <w:semiHidden/>
    <w:qFormat/>
    <w:uiPriority w:val="0"/>
    <w:pPr>
      <w:tabs>
        <w:tab w:val="left" w:pos="709"/>
      </w:tabs>
      <w:topLinePunct/>
      <w:spacing w:before="0" w:after="0" w:line="720" w:lineRule="auto"/>
      <w:jc w:val="left"/>
    </w:pPr>
    <w:rPr>
      <w:rFonts w:ascii="Arial" w:hAnsi="Arial" w:eastAsia="黑体"/>
      <w:b w:val="0"/>
      <w:bCs w:val="0"/>
      <w:sz w:val="30"/>
      <w:szCs w:val="30"/>
    </w:rPr>
  </w:style>
  <w:style w:type="paragraph" w:customStyle="1" w:styleId="197">
    <w:name w:val="样式4"/>
    <w:basedOn w:val="5"/>
    <w:semiHidden/>
    <w:qFormat/>
    <w:uiPriority w:val="0"/>
    <w:pPr>
      <w:topLinePunct/>
      <w:adjustRightInd/>
      <w:spacing w:before="0" w:after="0" w:line="480" w:lineRule="auto"/>
      <w:ind w:firstLine="420"/>
      <w:jc w:val="both"/>
      <w:textAlignment w:val="auto"/>
    </w:pPr>
    <w:rPr>
      <w:rFonts w:eastAsia="楷体_GB2312"/>
      <w:b w:val="0"/>
      <w:kern w:val="2"/>
      <w:sz w:val="24"/>
    </w:rPr>
  </w:style>
  <w:style w:type="paragraph" w:customStyle="1" w:styleId="198">
    <w:name w:val="样式5"/>
    <w:semiHidden/>
    <w:uiPriority w:val="0"/>
    <w:pPr>
      <w:snapToGrid w:val="0"/>
      <w:spacing w:before="160" w:after="40"/>
      <w:jc w:val="center"/>
    </w:pPr>
    <w:rPr>
      <w:rFonts w:ascii="Times New Roman" w:hAnsi="Times New Roman" w:eastAsia="宋体" w:cs="宋体"/>
      <w:kern w:val="2"/>
      <w:sz w:val="18"/>
      <w:szCs w:val="20"/>
      <w:lang w:val="en-US" w:eastAsia="zh-CN" w:bidi="ar-SA"/>
    </w:rPr>
  </w:style>
  <w:style w:type="paragraph" w:customStyle="1" w:styleId="199">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00">
    <w:name w:val="标题 3 + 小四 段前: 0 磅 段后: 0 磅 行距: 1.5 倍行距"/>
    <w:basedOn w:val="4"/>
    <w:next w:val="4"/>
    <w:semiHidden/>
    <w:qFormat/>
    <w:uiPriority w:val="0"/>
    <w:pPr>
      <w:spacing w:before="0" w:after="0" w:line="360" w:lineRule="auto"/>
    </w:pPr>
    <w:rPr>
      <w:rFonts w:cs="宋体"/>
      <w:sz w:val="24"/>
      <w:szCs w:val="20"/>
    </w:rPr>
  </w:style>
  <w:style w:type="paragraph" w:customStyle="1" w:styleId="201">
    <w:name w:val="默认段落字体 Para Char Char Char Char Char"/>
    <w:basedOn w:val="1"/>
    <w:semiHidden/>
    <w:uiPriority w:val="0"/>
    <w:rPr>
      <w:rFonts w:ascii="宋体" w:hAnsi="宋体"/>
      <w:b/>
      <w:color w:val="000000"/>
      <w:sz w:val="24"/>
    </w:rPr>
  </w:style>
  <w:style w:type="paragraph" w:customStyle="1" w:styleId="202">
    <w:name w:val="Char Char Char Char Char Char Char"/>
    <w:basedOn w:val="1"/>
    <w:semiHidden/>
    <w:qFormat/>
    <w:uiPriority w:val="0"/>
  </w:style>
  <w:style w:type="paragraph" w:customStyle="1" w:styleId="203">
    <w:name w:val="jl 正文 Char Char"/>
    <w:basedOn w:val="1"/>
    <w:link w:val="204"/>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204">
    <w:name w:val="jl 正文 Char Char Char"/>
    <w:link w:val="203"/>
    <w:semiHidden/>
    <w:uiPriority w:val="0"/>
    <w:rPr>
      <w:rFonts w:ascii="宋体" w:hAnsi="Times New Roman" w:eastAsia="宋体" w:cs="Times New Roman"/>
      <w:sz w:val="24"/>
      <w:szCs w:val="24"/>
    </w:rPr>
  </w:style>
  <w:style w:type="paragraph" w:customStyle="1" w:styleId="205">
    <w:name w:val="jl 三级 Char"/>
    <w:basedOn w:val="1"/>
    <w:link w:val="206"/>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206">
    <w:name w:val="jl 三级 Char Char"/>
    <w:link w:val="205"/>
    <w:semiHidden/>
    <w:uiPriority w:val="0"/>
    <w:rPr>
      <w:rFonts w:ascii="宋体" w:hAnsi="宋体" w:eastAsia="宋体" w:cs="Times New Roman"/>
      <w:b/>
      <w:color w:val="000000"/>
      <w:sz w:val="24"/>
      <w:szCs w:val="24"/>
    </w:rPr>
  </w:style>
  <w:style w:type="character" w:customStyle="1" w:styleId="207">
    <w:name w:val="HTML 地址 Char"/>
    <w:basedOn w:val="129"/>
    <w:link w:val="38"/>
    <w:qFormat/>
    <w:uiPriority w:val="0"/>
    <w:rPr>
      <w:rFonts w:ascii="Times New Roman" w:hAnsi="Times New Roman" w:eastAsia="宋体" w:cs="Times New Roman"/>
      <w:i/>
      <w:iCs/>
      <w:szCs w:val="24"/>
    </w:rPr>
  </w:style>
  <w:style w:type="character" w:customStyle="1" w:styleId="208">
    <w:name w:val="HTML 预设格式 Char"/>
    <w:basedOn w:val="129"/>
    <w:link w:val="76"/>
    <w:uiPriority w:val="0"/>
    <w:rPr>
      <w:rFonts w:ascii="Courier New" w:hAnsi="Courier New" w:eastAsia="宋体" w:cs="Times New Roman"/>
      <w:sz w:val="20"/>
      <w:szCs w:val="20"/>
    </w:rPr>
  </w:style>
  <w:style w:type="character" w:customStyle="1" w:styleId="209">
    <w:name w:val="称呼 Char"/>
    <w:basedOn w:val="129"/>
    <w:link w:val="27"/>
    <w:qFormat/>
    <w:uiPriority w:val="0"/>
    <w:rPr>
      <w:rFonts w:ascii="Times New Roman" w:hAnsi="Times New Roman" w:eastAsia="宋体" w:cs="Times New Roman"/>
      <w:szCs w:val="24"/>
    </w:rPr>
  </w:style>
  <w:style w:type="character" w:customStyle="1" w:styleId="210">
    <w:name w:val="电子邮件签名 Char"/>
    <w:basedOn w:val="129"/>
    <w:link w:val="18"/>
    <w:qFormat/>
    <w:uiPriority w:val="0"/>
    <w:rPr>
      <w:rFonts w:ascii="Times New Roman" w:hAnsi="Times New Roman" w:eastAsia="宋体" w:cs="Times New Roman"/>
      <w:szCs w:val="24"/>
    </w:rPr>
  </w:style>
  <w:style w:type="character" w:customStyle="1" w:styleId="211">
    <w:name w:val="副标题 Char"/>
    <w:basedOn w:val="129"/>
    <w:link w:val="61"/>
    <w:uiPriority w:val="0"/>
    <w:rPr>
      <w:rFonts w:ascii="Arial" w:hAnsi="Arial" w:eastAsia="宋体" w:cs="Times New Roman"/>
      <w:b/>
      <w:bCs/>
      <w:kern w:val="28"/>
      <w:sz w:val="32"/>
      <w:szCs w:val="32"/>
    </w:rPr>
  </w:style>
  <w:style w:type="character" w:customStyle="1" w:styleId="212">
    <w:name w:val="结束语 Char"/>
    <w:basedOn w:val="129"/>
    <w:link w:val="29"/>
    <w:qFormat/>
    <w:uiPriority w:val="0"/>
    <w:rPr>
      <w:rFonts w:ascii="Times New Roman" w:hAnsi="Times New Roman" w:eastAsia="宋体" w:cs="Times New Roman"/>
      <w:szCs w:val="24"/>
    </w:rPr>
  </w:style>
  <w:style w:type="character" w:customStyle="1" w:styleId="213">
    <w:name w:val="签名 Char"/>
    <w:basedOn w:val="129"/>
    <w:link w:val="55"/>
    <w:qFormat/>
    <w:uiPriority w:val="0"/>
    <w:rPr>
      <w:rFonts w:ascii="Times New Roman" w:hAnsi="Times New Roman" w:eastAsia="宋体" w:cs="Times New Roman"/>
      <w:szCs w:val="24"/>
    </w:rPr>
  </w:style>
  <w:style w:type="character" w:customStyle="1" w:styleId="214">
    <w:name w:val="信息标题 Char"/>
    <w:basedOn w:val="129"/>
    <w:link w:val="75"/>
    <w:qFormat/>
    <w:uiPriority w:val="0"/>
    <w:rPr>
      <w:rFonts w:ascii="Arial" w:hAnsi="Arial" w:eastAsia="宋体" w:cs="Times New Roman"/>
      <w:sz w:val="24"/>
      <w:szCs w:val="24"/>
      <w:shd w:val="pct20" w:color="auto" w:fill="auto"/>
    </w:rPr>
  </w:style>
  <w:style w:type="character" w:customStyle="1" w:styleId="215">
    <w:name w:val="正文首行缩进 Char"/>
    <w:basedOn w:val="166"/>
    <w:link w:val="82"/>
    <w:qFormat/>
    <w:uiPriority w:val="0"/>
  </w:style>
  <w:style w:type="character" w:customStyle="1" w:styleId="216">
    <w:name w:val="正文首行缩进 2 Char"/>
    <w:basedOn w:val="162"/>
    <w:link w:val="83"/>
    <w:qFormat/>
    <w:uiPriority w:val="0"/>
  </w:style>
  <w:style w:type="character" w:customStyle="1" w:styleId="217">
    <w:name w:val="正文文本 2 Char"/>
    <w:basedOn w:val="129"/>
    <w:link w:val="72"/>
    <w:qFormat/>
    <w:uiPriority w:val="0"/>
    <w:rPr>
      <w:rFonts w:ascii="Times New Roman" w:hAnsi="Times New Roman" w:eastAsia="宋体" w:cs="Times New Roman"/>
      <w:szCs w:val="24"/>
    </w:rPr>
  </w:style>
  <w:style w:type="character" w:customStyle="1" w:styleId="218">
    <w:name w:val="正文文本 3 Char"/>
    <w:basedOn w:val="129"/>
    <w:link w:val="28"/>
    <w:qFormat/>
    <w:uiPriority w:val="0"/>
    <w:rPr>
      <w:rFonts w:ascii="Times New Roman" w:hAnsi="Times New Roman" w:eastAsia="宋体" w:cs="Times New Roman"/>
      <w:sz w:val="16"/>
      <w:szCs w:val="16"/>
    </w:rPr>
  </w:style>
  <w:style w:type="character" w:customStyle="1" w:styleId="219">
    <w:name w:val="注释标题 Char"/>
    <w:basedOn w:val="129"/>
    <w:link w:val="15"/>
    <w:qFormat/>
    <w:uiPriority w:val="0"/>
    <w:rPr>
      <w:rFonts w:ascii="Times New Roman" w:hAnsi="Times New Roman" w:eastAsia="宋体" w:cs="Times New Roman"/>
      <w:szCs w:val="24"/>
    </w:rPr>
  </w:style>
  <w:style w:type="paragraph" w:customStyle="1" w:styleId="220">
    <w:name w:val="附录"/>
    <w:basedOn w:val="2"/>
    <w:qFormat/>
    <w:uiPriority w:val="0"/>
    <w:pPr>
      <w:keepLines/>
      <w:topLinePunct/>
      <w:spacing w:line="960" w:lineRule="auto"/>
      <w:ind w:firstLine="420"/>
      <w:jc w:val="center"/>
      <w:textAlignment w:val="baseline"/>
    </w:pPr>
    <w:rPr>
      <w:rFonts w:eastAsia="黑体"/>
      <w:szCs w:val="28"/>
    </w:rPr>
  </w:style>
  <w:style w:type="paragraph" w:customStyle="1" w:styleId="221">
    <w:name w:val="样式7"/>
    <w:basedOn w:val="1"/>
    <w:qFormat/>
    <w:uiPriority w:val="0"/>
    <w:pPr>
      <w:snapToGrid w:val="0"/>
    </w:pPr>
  </w:style>
  <w:style w:type="paragraph" w:customStyle="1" w:styleId="222">
    <w:name w:val="表头"/>
    <w:basedOn w:val="1"/>
    <w:link w:val="224"/>
    <w:qFormat/>
    <w:uiPriority w:val="0"/>
    <w:pPr>
      <w:topLinePunct/>
      <w:spacing w:before="160" w:after="60"/>
      <w:jc w:val="center"/>
    </w:pPr>
    <w:rPr>
      <w:rFonts w:eastAsia="黑体"/>
      <w:szCs w:val="21"/>
    </w:rPr>
  </w:style>
  <w:style w:type="paragraph" w:customStyle="1" w:styleId="223">
    <w:name w:val="表文"/>
    <w:basedOn w:val="1"/>
    <w:qFormat/>
    <w:uiPriority w:val="0"/>
    <w:pPr>
      <w:topLinePunct/>
      <w:spacing w:before="40" w:after="40"/>
    </w:pPr>
    <w:rPr>
      <w:sz w:val="18"/>
      <w:szCs w:val="18"/>
    </w:rPr>
  </w:style>
  <w:style w:type="character" w:customStyle="1" w:styleId="224">
    <w:name w:val="表头 Char"/>
    <w:link w:val="222"/>
    <w:qFormat/>
    <w:uiPriority w:val="0"/>
    <w:rPr>
      <w:rFonts w:ascii="Times New Roman" w:hAnsi="Times New Roman" w:eastAsia="黑体" w:cs="Times New Roman"/>
      <w:szCs w:val="21"/>
    </w:rPr>
  </w:style>
  <w:style w:type="character" w:customStyle="1" w:styleId="225">
    <w:name w:val="标题 1 Char Char"/>
    <w:qFormat/>
    <w:uiPriority w:val="0"/>
    <w:rPr>
      <w:rFonts w:eastAsia="宋体"/>
      <w:b/>
      <w:kern w:val="44"/>
      <w:sz w:val="44"/>
      <w:lang w:val="en-US" w:eastAsia="zh-CN" w:bidi="ar-SA"/>
    </w:rPr>
  </w:style>
  <w:style w:type="paragraph" w:customStyle="1" w:styleId="226">
    <w:name w:val="附录一"/>
    <w:basedOn w:val="42"/>
    <w:link w:val="227"/>
    <w:qFormat/>
    <w:uiPriority w:val="0"/>
    <w:pPr>
      <w:spacing w:line="480" w:lineRule="auto"/>
    </w:pPr>
    <w:rPr>
      <w:rFonts w:ascii="EU-F1" w:hAnsi="Times New Roman" w:eastAsia="黑体"/>
      <w:szCs w:val="21"/>
    </w:rPr>
  </w:style>
  <w:style w:type="character" w:customStyle="1" w:styleId="227">
    <w:name w:val="附录一 Char"/>
    <w:link w:val="226"/>
    <w:qFormat/>
    <w:uiPriority w:val="0"/>
    <w:rPr>
      <w:rFonts w:ascii="EU-F1" w:hAnsi="Times New Roman" w:eastAsia="黑体" w:cs="Times New Roman"/>
      <w:szCs w:val="21"/>
    </w:rPr>
  </w:style>
  <w:style w:type="paragraph" w:customStyle="1" w:styleId="228">
    <w:name w:val="附录二"/>
    <w:basedOn w:val="42"/>
    <w:link w:val="250"/>
    <w:qFormat/>
    <w:uiPriority w:val="0"/>
    <w:pPr>
      <w:spacing w:line="312" w:lineRule="exact"/>
    </w:pPr>
    <w:rPr>
      <w:rFonts w:ascii="EU-F1" w:hAnsi="Times New Roman" w:eastAsia="黑体"/>
      <w:kern w:val="21"/>
      <w:szCs w:val="21"/>
    </w:rPr>
  </w:style>
  <w:style w:type="paragraph" w:customStyle="1" w:styleId="229">
    <w:name w:val="D1"/>
    <w:basedOn w:val="226"/>
    <w:qFormat/>
    <w:uiPriority w:val="0"/>
  </w:style>
  <w:style w:type="paragraph" w:customStyle="1" w:styleId="230">
    <w:name w:val="B"/>
    <w:basedOn w:val="222"/>
    <w:qFormat/>
    <w:uiPriority w:val="0"/>
    <w:pPr>
      <w:tabs>
        <w:tab w:val="center" w:pos="4706"/>
        <w:tab w:val="right" w:pos="9044"/>
      </w:tabs>
      <w:spacing w:line="312" w:lineRule="exact"/>
    </w:pPr>
    <w:rPr>
      <w:rFonts w:ascii="E-F1"/>
    </w:rPr>
  </w:style>
  <w:style w:type="paragraph" w:customStyle="1" w:styleId="231">
    <w:name w:val="D2"/>
    <w:basedOn w:val="228"/>
    <w:link w:val="254"/>
    <w:qFormat/>
    <w:uiPriority w:val="0"/>
  </w:style>
  <w:style w:type="paragraph" w:customStyle="1" w:styleId="232">
    <w:name w:val="D3"/>
    <w:basedOn w:val="173"/>
    <w:link w:val="234"/>
    <w:qFormat/>
    <w:uiPriority w:val="0"/>
    <w:pPr>
      <w:topLinePunct/>
      <w:spacing w:line="312" w:lineRule="exact"/>
    </w:pPr>
    <w:rPr>
      <w:rFonts w:ascii="黑体" w:eastAsia="黑体"/>
      <w:szCs w:val="21"/>
    </w:rPr>
  </w:style>
  <w:style w:type="character" w:customStyle="1" w:styleId="233">
    <w:name w:val="默认段落字体 Para Char Char Char Char Char1"/>
    <w:link w:val="173"/>
    <w:qFormat/>
    <w:uiPriority w:val="0"/>
    <w:rPr>
      <w:rFonts w:ascii="Times New Roman" w:hAnsi="Times New Roman" w:eastAsia="宋体" w:cs="Times New Roman"/>
      <w:szCs w:val="20"/>
    </w:rPr>
  </w:style>
  <w:style w:type="character" w:customStyle="1" w:styleId="234">
    <w:name w:val="D3 Char Char"/>
    <w:link w:val="232"/>
    <w:qFormat/>
    <w:uiPriority w:val="0"/>
    <w:rPr>
      <w:rFonts w:ascii="黑体" w:hAnsi="Times New Roman" w:eastAsia="黑体" w:cs="Times New Roman"/>
      <w:szCs w:val="21"/>
    </w:rPr>
  </w:style>
  <w:style w:type="paragraph" w:customStyle="1" w:styleId="235">
    <w:name w:val="EUF"/>
    <w:basedOn w:val="173"/>
    <w:link w:val="236"/>
    <w:qFormat/>
    <w:uiPriority w:val="0"/>
    <w:pPr>
      <w:topLinePunct/>
      <w:spacing w:line="312" w:lineRule="exact"/>
    </w:pPr>
    <w:rPr>
      <w:rFonts w:ascii="EU-F1" w:eastAsia="EU-F1"/>
      <w:szCs w:val="21"/>
    </w:rPr>
  </w:style>
  <w:style w:type="character" w:customStyle="1" w:styleId="236">
    <w:name w:val="EUF Char"/>
    <w:link w:val="235"/>
    <w:qFormat/>
    <w:uiPriority w:val="0"/>
    <w:rPr>
      <w:rFonts w:ascii="EU-F1" w:hAnsi="Times New Roman" w:eastAsia="EU-F1" w:cs="Times New Roman"/>
      <w:szCs w:val="21"/>
    </w:rPr>
  </w:style>
  <w:style w:type="character" w:customStyle="1" w:styleId="237">
    <w:name w:val="Char Char2"/>
    <w:qFormat/>
    <w:uiPriority w:val="0"/>
    <w:rPr>
      <w:rFonts w:eastAsia="宋体"/>
      <w:b/>
      <w:bCs/>
      <w:kern w:val="44"/>
      <w:sz w:val="21"/>
      <w:szCs w:val="28"/>
      <w:lang w:val="en-US" w:eastAsia="zh-CN" w:bidi="ar-SA"/>
    </w:rPr>
  </w:style>
  <w:style w:type="paragraph" w:customStyle="1" w:styleId="238">
    <w:name w:val="样式 首行缩进:  0 厘米 行距: 单倍行距 Char"/>
    <w:basedOn w:val="1"/>
    <w:qFormat/>
    <w:uiPriority w:val="0"/>
    <w:pPr>
      <w:topLinePunct/>
      <w:adjustRightInd w:val="0"/>
      <w:textAlignment w:val="baseline"/>
    </w:pPr>
    <w:rPr>
      <w:kern w:val="0"/>
      <w:szCs w:val="21"/>
    </w:rPr>
  </w:style>
  <w:style w:type="paragraph" w:customStyle="1" w:styleId="239">
    <w:name w:val="样式 Arial 首行缩进:  2 字符"/>
    <w:basedOn w:val="1"/>
    <w:qFormat/>
    <w:uiPriority w:val="0"/>
    <w:pPr>
      <w:topLinePunct/>
      <w:ind w:firstLine="403" w:firstLineChars="200"/>
    </w:pPr>
    <w:rPr>
      <w:szCs w:val="21"/>
    </w:rPr>
  </w:style>
  <w:style w:type="character" w:customStyle="1" w:styleId="240">
    <w:name w:val="样式 Arial"/>
    <w:qFormat/>
    <w:uiPriority w:val="0"/>
    <w:rPr>
      <w:rFonts w:hint="default" w:ascii="Times New Roman" w:hAnsi="Times New Roman" w:eastAsia="宋体" w:cs="Times New Roman"/>
      <w:sz w:val="21"/>
      <w:szCs w:val="21"/>
    </w:rPr>
  </w:style>
  <w:style w:type="paragraph" w:customStyle="1" w:styleId="241">
    <w:name w:val="样式 标题 1 + 首行缩进:  2 字符 段前: 1 行 段后: 1 行"/>
    <w:basedOn w:val="2"/>
    <w:qFormat/>
    <w:uiPriority w:val="0"/>
    <w:pPr>
      <w:keepLines/>
      <w:topLinePunct/>
      <w:spacing w:beforeLines="100" w:afterLines="100"/>
    </w:pPr>
    <w:rPr>
      <w:rFonts w:eastAsia="黑体"/>
      <w:kern w:val="44"/>
      <w:sz w:val="21"/>
      <w:szCs w:val="28"/>
    </w:rPr>
  </w:style>
  <w:style w:type="paragraph" w:customStyle="1" w:styleId="242">
    <w:name w:val="样式 样式 标题 2 + 段前: 0.5 行 段后: 0.5 行 + 首行缩进:  2 字符 段前: 0.5 行 段后: 0..."/>
    <w:basedOn w:val="1"/>
    <w:qFormat/>
    <w:uiPriority w:val="0"/>
    <w:pPr>
      <w:keepNext/>
      <w:keepLines/>
      <w:topLinePunct/>
      <w:adjustRightInd w:val="0"/>
      <w:spacing w:beforeLines="50" w:afterLines="50"/>
      <w:jc w:val="left"/>
      <w:outlineLvl w:val="1"/>
    </w:pPr>
    <w:rPr>
      <w:rFonts w:eastAsia="黑体"/>
      <w:kern w:val="0"/>
      <w:szCs w:val="21"/>
    </w:rPr>
  </w:style>
  <w:style w:type="paragraph" w:customStyle="1" w:styleId="243">
    <w:name w:val="Char1"/>
    <w:basedOn w:val="1"/>
    <w:semiHidden/>
    <w:qFormat/>
    <w:uiPriority w:val="0"/>
    <w:pPr>
      <w:topLinePunct/>
    </w:pPr>
    <w:rPr>
      <w:szCs w:val="21"/>
    </w:rPr>
  </w:style>
  <w:style w:type="paragraph" w:customStyle="1" w:styleId="244">
    <w:name w:val="wang正文"/>
    <w:basedOn w:val="1"/>
    <w:link w:val="245"/>
    <w:qFormat/>
    <w:uiPriority w:val="0"/>
    <w:pPr>
      <w:tabs>
        <w:tab w:val="left" w:pos="6840"/>
      </w:tabs>
      <w:topLinePunct/>
      <w:ind w:firstLine="420"/>
    </w:pPr>
    <w:rPr>
      <w:kern w:val="0"/>
    </w:rPr>
  </w:style>
  <w:style w:type="character" w:customStyle="1" w:styleId="245">
    <w:name w:val="wang正文 Char"/>
    <w:link w:val="244"/>
    <w:qFormat/>
    <w:uiPriority w:val="0"/>
    <w:rPr>
      <w:rFonts w:ascii="Times New Roman" w:hAnsi="Times New Roman" w:eastAsia="宋体" w:cs="Times New Roman"/>
      <w:kern w:val="0"/>
      <w:szCs w:val="24"/>
    </w:rPr>
  </w:style>
  <w:style w:type="paragraph" w:customStyle="1" w:styleId="246">
    <w:name w:val="正文格式"/>
    <w:basedOn w:val="1"/>
    <w:link w:val="247"/>
    <w:qFormat/>
    <w:uiPriority w:val="0"/>
    <w:pPr>
      <w:topLinePunct/>
      <w:ind w:firstLine="420" w:firstLineChars="200"/>
    </w:pPr>
    <w:rPr>
      <w:rFonts w:ascii="宋体" w:hAnsi="宋体"/>
      <w:bCs/>
      <w:szCs w:val="21"/>
    </w:rPr>
  </w:style>
  <w:style w:type="character" w:customStyle="1" w:styleId="247">
    <w:name w:val="正文格式 Char"/>
    <w:link w:val="246"/>
    <w:qFormat/>
    <w:uiPriority w:val="0"/>
    <w:rPr>
      <w:rFonts w:ascii="宋体" w:hAnsi="宋体" w:eastAsia="宋体" w:cs="Times New Roman"/>
      <w:bCs/>
      <w:szCs w:val="21"/>
    </w:rPr>
  </w:style>
  <w:style w:type="character" w:customStyle="1" w:styleId="248">
    <w:name w:val="图说 Char"/>
    <w:link w:val="195"/>
    <w:semiHidden/>
    <w:qFormat/>
    <w:uiPriority w:val="0"/>
    <w:rPr>
      <w:rFonts w:ascii="Times New Roman" w:hAnsi="Times New Roman" w:eastAsia="宋体" w:cs="Times New Roman"/>
      <w:sz w:val="18"/>
      <w:szCs w:val="20"/>
    </w:rPr>
  </w:style>
  <w:style w:type="paragraph" w:customStyle="1" w:styleId="249">
    <w:name w:val="F1"/>
    <w:basedOn w:val="228"/>
    <w:link w:val="251"/>
    <w:qFormat/>
    <w:uiPriority w:val="0"/>
    <w:pPr>
      <w:topLinePunct/>
    </w:pPr>
    <w:rPr>
      <w:kern w:val="2"/>
    </w:rPr>
  </w:style>
  <w:style w:type="character" w:customStyle="1" w:styleId="250">
    <w:name w:val="附录二 Char"/>
    <w:link w:val="228"/>
    <w:qFormat/>
    <w:uiPriority w:val="0"/>
    <w:rPr>
      <w:rFonts w:ascii="EU-F1" w:hAnsi="Times New Roman" w:eastAsia="黑体" w:cs="Times New Roman"/>
      <w:kern w:val="21"/>
      <w:szCs w:val="21"/>
    </w:rPr>
  </w:style>
  <w:style w:type="character" w:customStyle="1" w:styleId="251">
    <w:name w:val="F1 Char"/>
    <w:link w:val="249"/>
    <w:qFormat/>
    <w:uiPriority w:val="0"/>
    <w:rPr>
      <w:rFonts w:ascii="EU-F1" w:hAnsi="Times New Roman" w:eastAsia="黑体" w:cs="Times New Roman"/>
      <w:szCs w:val="21"/>
    </w:rPr>
  </w:style>
  <w:style w:type="paragraph" w:customStyle="1" w:styleId="252">
    <w:name w:val="二级条标题"/>
    <w:basedOn w:val="1"/>
    <w:next w:val="1"/>
    <w:qFormat/>
    <w:uiPriority w:val="0"/>
    <w:pPr>
      <w:widowControl/>
      <w:tabs>
        <w:tab w:val="left" w:pos="1680"/>
      </w:tabs>
      <w:ind w:left="1680" w:hanging="420"/>
      <w:jc w:val="left"/>
      <w:outlineLvl w:val="3"/>
    </w:pPr>
    <w:rPr>
      <w:rFonts w:eastAsia="黑体"/>
      <w:kern w:val="0"/>
      <w:szCs w:val="20"/>
    </w:rPr>
  </w:style>
  <w:style w:type="paragraph" w:customStyle="1" w:styleId="253">
    <w:name w:val="t"/>
    <w:basedOn w:val="42"/>
    <w:qFormat/>
    <w:uiPriority w:val="0"/>
    <w:pPr>
      <w:overflowPunct w:val="0"/>
      <w:topLinePunct/>
      <w:spacing w:beforeLines="50" w:afterLines="50"/>
      <w:jc w:val="center"/>
    </w:pPr>
    <w:rPr>
      <w:rFonts w:ascii="Times New Roman" w:hAnsi="Times New Roman" w:eastAsia="黑体"/>
      <w:color w:val="000000"/>
      <w:szCs w:val="21"/>
    </w:rPr>
  </w:style>
  <w:style w:type="character" w:customStyle="1" w:styleId="254">
    <w:name w:val="D2 Char Char"/>
    <w:basedOn w:val="250"/>
    <w:link w:val="231"/>
    <w:qFormat/>
    <w:uiPriority w:val="0"/>
  </w:style>
  <w:style w:type="paragraph" w:customStyle="1" w:styleId="255">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56">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257">
    <w:name w:val="正文1"/>
    <w:basedOn w:val="187"/>
    <w:semiHidden/>
    <w:qFormat/>
    <w:uiPriority w:val="0"/>
    <w:pPr>
      <w:tabs>
        <w:tab w:val="left" w:pos="2160"/>
      </w:tabs>
      <w:autoSpaceDE/>
      <w:autoSpaceDN/>
      <w:spacing w:line="490" w:lineRule="exact"/>
      <w:jc w:val="center"/>
      <w:textAlignment w:val="baseline"/>
    </w:pPr>
    <w:rPr>
      <w:rFonts w:ascii="仿宋_GB2312" w:eastAsia="仿宋_GB2312"/>
      <w:sz w:val="34"/>
    </w:rPr>
  </w:style>
  <w:style w:type="paragraph" w:customStyle="1" w:styleId="258">
    <w:name w:val="font5"/>
    <w:basedOn w:val="1"/>
    <w:semiHidden/>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59">
    <w:name w:val="font7"/>
    <w:basedOn w:val="1"/>
    <w:semiHidden/>
    <w:qFormat/>
    <w:uiPriority w:val="0"/>
    <w:pPr>
      <w:widowControl/>
      <w:spacing w:before="100" w:beforeAutospacing="1" w:after="100" w:afterAutospacing="1"/>
      <w:jc w:val="left"/>
    </w:pPr>
    <w:rPr>
      <w:color w:val="000000"/>
      <w:kern w:val="0"/>
      <w:sz w:val="20"/>
      <w:szCs w:val="20"/>
    </w:rPr>
  </w:style>
  <w:style w:type="paragraph" w:customStyle="1" w:styleId="260">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61">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62">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3">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64">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65">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6">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67">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6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69">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70">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271">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2">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73">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74">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75">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76">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77">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78">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79">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80">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81">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82">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83">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84">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85">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86">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87">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88">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89">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90">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91">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92">
    <w:name w:val="图形标题"/>
    <w:basedOn w:val="20"/>
    <w:semiHidden/>
    <w:qFormat/>
    <w:uiPriority w:val="0"/>
    <w:pPr>
      <w:spacing w:before="0" w:after="0"/>
      <w:jc w:val="center"/>
    </w:pPr>
    <w:rPr>
      <w:rFonts w:ascii="宋体" w:hAnsi="Plotter" w:eastAsia="宋体"/>
      <w:sz w:val="21"/>
    </w:rPr>
  </w:style>
  <w:style w:type="paragraph" w:customStyle="1" w:styleId="293">
    <w:name w:val="font0"/>
    <w:basedOn w:val="1"/>
    <w:semiHidden/>
    <w:qFormat/>
    <w:uiPriority w:val="0"/>
    <w:pPr>
      <w:widowControl/>
      <w:spacing w:before="100" w:beforeAutospacing="1" w:after="100" w:afterAutospacing="1"/>
      <w:jc w:val="left"/>
    </w:pPr>
    <w:rPr>
      <w:rFonts w:hint="eastAsia" w:ascii="宋体"/>
      <w:kern w:val="0"/>
      <w:sz w:val="24"/>
    </w:rPr>
  </w:style>
  <w:style w:type="paragraph" w:customStyle="1" w:styleId="294">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95">
    <w:name w:val="样式 标题 2 + 黑体 段前: 10.25 磅 段后: 10.25 磅 行距: 单倍行距"/>
    <w:basedOn w:val="3"/>
    <w:qFormat/>
    <w:uiPriority w:val="0"/>
    <w:pPr>
      <w:adjustRightInd w:val="0"/>
      <w:spacing w:beforeLines="50" w:afterLines="50" w:line="240" w:lineRule="auto"/>
      <w:jc w:val="left"/>
      <w:textAlignment w:val="baseline"/>
    </w:pPr>
    <w:rPr>
      <w:rFonts w:ascii="黑体" w:hAnsi="黑体" w:eastAsia="黑体"/>
      <w:b w:val="0"/>
      <w:bCs w:val="0"/>
      <w:kern w:val="0"/>
      <w:sz w:val="21"/>
      <w:szCs w:val="20"/>
    </w:rPr>
  </w:style>
  <w:style w:type="paragraph" w:customStyle="1" w:styleId="296">
    <w:name w:val="段"/>
    <w:qFormat/>
    <w:uiPriority w:val="0"/>
    <w:pPr>
      <w:ind w:firstLine="200" w:firstLineChars="200"/>
      <w:jc w:val="both"/>
    </w:pPr>
    <w:rPr>
      <w:rFonts w:ascii="宋体" w:hAnsi="Times New Roman" w:eastAsia="宋体" w:cs="Times New Roman"/>
      <w:kern w:val="0"/>
      <w:sz w:val="21"/>
      <w:szCs w:val="20"/>
      <w:lang w:val="en-US" w:eastAsia="zh-CN" w:bidi="ar-SA"/>
    </w:rPr>
  </w:style>
  <w:style w:type="paragraph" w:customStyle="1" w:styleId="297">
    <w:name w:val="xl139"/>
    <w:basedOn w:val="1"/>
    <w:qFormat/>
    <w:uiPriority w:val="0"/>
    <w:pPr>
      <w:widowControl/>
      <w:pBdr>
        <w:left w:val="single" w:color="auto" w:sz="8" w:space="0"/>
      </w:pBdr>
      <w:spacing w:before="100" w:beforeAutospacing="1" w:after="100" w:afterAutospacing="1"/>
      <w:jc w:val="center"/>
      <w:textAlignment w:val="center"/>
    </w:pPr>
    <w:rPr>
      <w:rFonts w:ascii="Arial" w:hAnsi="Arial" w:cs="Arial"/>
      <w:b/>
      <w:bCs/>
      <w:kern w:val="0"/>
      <w:sz w:val="24"/>
    </w:rPr>
  </w:style>
  <w:style w:type="paragraph" w:customStyle="1" w:styleId="298">
    <w:name w:val="D4"/>
    <w:basedOn w:val="244"/>
    <w:link w:val="317"/>
    <w:qFormat/>
    <w:uiPriority w:val="0"/>
    <w:pPr>
      <w:tabs>
        <w:tab w:val="clear" w:pos="6840"/>
      </w:tabs>
      <w:overflowPunct w:val="0"/>
      <w:spacing w:line="312" w:lineRule="exact"/>
      <w:ind w:left="840" w:leftChars="200" w:hanging="420" w:hangingChars="200"/>
    </w:pPr>
  </w:style>
  <w:style w:type="paragraph" w:customStyle="1" w:styleId="299">
    <w:name w:val="二级标题"/>
    <w:basedOn w:val="3"/>
    <w:qFormat/>
    <w:uiPriority w:val="0"/>
    <w:pPr>
      <w:tabs>
        <w:tab w:val="left" w:pos="6840"/>
      </w:tabs>
      <w:autoSpaceDE w:val="0"/>
      <w:autoSpaceDN w:val="0"/>
      <w:adjustRightInd w:val="0"/>
      <w:spacing w:beforeLines="100" w:afterLines="50" w:line="240" w:lineRule="auto"/>
      <w:ind w:firstLine="200" w:firstLineChars="200"/>
      <w:textAlignment w:val="baseline"/>
    </w:pPr>
    <w:rPr>
      <w:rFonts w:ascii="Arial" w:hAnsi="Arial" w:eastAsia="黑体"/>
      <w:kern w:val="0"/>
      <w:sz w:val="24"/>
      <w:szCs w:val="24"/>
    </w:rPr>
  </w:style>
  <w:style w:type="paragraph" w:customStyle="1" w:styleId="300">
    <w:name w:val="三级标题"/>
    <w:basedOn w:val="4"/>
    <w:qFormat/>
    <w:uiPriority w:val="0"/>
    <w:pPr>
      <w:adjustRightInd w:val="0"/>
      <w:spacing w:beforeLines="50" w:afterLines="50" w:line="240" w:lineRule="auto"/>
      <w:ind w:firstLine="200" w:firstLineChars="200"/>
      <w:jc w:val="left"/>
      <w:textAlignment w:val="baseline"/>
    </w:pPr>
    <w:rPr>
      <w:bCs w:val="0"/>
      <w:kern w:val="0"/>
      <w:sz w:val="24"/>
      <w:szCs w:val="20"/>
    </w:rPr>
  </w:style>
  <w:style w:type="character" w:customStyle="1" w:styleId="301">
    <w:name w:val="三级标题 Char"/>
    <w:qFormat/>
    <w:uiPriority w:val="0"/>
    <w:rPr>
      <w:rFonts w:eastAsia="宋体"/>
      <w:b/>
      <w:sz w:val="24"/>
      <w:lang w:val="en-US" w:eastAsia="zh-CN" w:bidi="ar-SA"/>
    </w:rPr>
  </w:style>
  <w:style w:type="paragraph" w:customStyle="1" w:styleId="302">
    <w:name w:val="样式 wang正文 + 首行缩进:  2 字符1"/>
    <w:basedOn w:val="244"/>
    <w:qFormat/>
    <w:uiPriority w:val="0"/>
    <w:pPr>
      <w:topLinePunct w:val="0"/>
      <w:autoSpaceDE w:val="0"/>
      <w:autoSpaceDN w:val="0"/>
      <w:adjustRightInd w:val="0"/>
      <w:ind w:firstLine="640" w:firstLineChars="200"/>
      <w:jc w:val="left"/>
      <w:textAlignment w:val="baseline"/>
    </w:pPr>
    <w:rPr>
      <w:rFonts w:cs="宋体"/>
      <w:sz w:val="24"/>
    </w:rPr>
  </w:style>
  <w:style w:type="paragraph" w:customStyle="1" w:styleId="303">
    <w:name w:val="一级标题"/>
    <w:basedOn w:val="2"/>
    <w:qFormat/>
    <w:uiPriority w:val="0"/>
    <w:pPr>
      <w:tabs>
        <w:tab w:val="left" w:pos="6840"/>
      </w:tabs>
      <w:spacing w:beforeLines="100" w:afterLines="150"/>
      <w:jc w:val="center"/>
    </w:pPr>
    <w:rPr>
      <w:rFonts w:ascii="隶书" w:eastAsia="黑体"/>
      <w:b/>
      <w:sz w:val="30"/>
      <w:szCs w:val="32"/>
    </w:rPr>
  </w:style>
  <w:style w:type="character" w:customStyle="1" w:styleId="304">
    <w:name w:val="一级标题 Char"/>
    <w:qFormat/>
    <w:uiPriority w:val="0"/>
    <w:rPr>
      <w:rFonts w:ascii="隶书" w:eastAsia="黑体"/>
      <w:b/>
      <w:kern w:val="2"/>
      <w:sz w:val="30"/>
      <w:szCs w:val="32"/>
      <w:lang w:val="en-US" w:eastAsia="zh-CN" w:bidi="ar-SA"/>
    </w:rPr>
  </w:style>
  <w:style w:type="paragraph" w:customStyle="1" w:styleId="305">
    <w:name w:val="正文标题1"/>
    <w:basedOn w:val="1"/>
    <w:next w:val="1"/>
    <w:qFormat/>
    <w:uiPriority w:val="0"/>
    <w:pPr>
      <w:tabs>
        <w:tab w:val="left" w:pos="360"/>
      </w:tabs>
      <w:spacing w:before="120" w:after="120" w:line="360" w:lineRule="auto"/>
    </w:pPr>
    <w:rPr>
      <w:b/>
      <w:sz w:val="32"/>
      <w:szCs w:val="20"/>
    </w:rPr>
  </w:style>
  <w:style w:type="character" w:customStyle="1" w:styleId="306">
    <w:name w:val="批注主题 Char1"/>
    <w:qFormat/>
    <w:uiPriority w:val="0"/>
    <w:rPr>
      <w:rFonts w:eastAsia="宋体"/>
      <w:b/>
      <w:bCs/>
      <w:kern w:val="44"/>
      <w:sz w:val="21"/>
      <w:szCs w:val="21"/>
      <w:lang w:val="en-US" w:eastAsia="zh-CN" w:bidi="ar-SA"/>
    </w:rPr>
  </w:style>
  <w:style w:type="character" w:customStyle="1" w:styleId="307">
    <w:name w:val="发布"/>
    <w:qFormat/>
    <w:uiPriority w:val="0"/>
    <w:rPr>
      <w:rFonts w:ascii="黑体" w:eastAsia="黑体"/>
      <w:spacing w:val="22"/>
      <w:w w:val="100"/>
      <w:position w:val="3"/>
      <w:sz w:val="28"/>
    </w:rPr>
  </w:style>
  <w:style w:type="paragraph" w:customStyle="1" w:styleId="308">
    <w:name w:val="封面标准英文名称"/>
    <w:qFormat/>
    <w:uiPriority w:val="0"/>
    <w:pPr>
      <w:widowControl w:val="0"/>
      <w:spacing w:before="370" w:line="400" w:lineRule="exact"/>
      <w:jc w:val="center"/>
    </w:pPr>
    <w:rPr>
      <w:rFonts w:ascii="Times New Roman" w:hAnsi="Times New Roman" w:eastAsia="宋体" w:cs="Times New Roman"/>
      <w:kern w:val="0"/>
      <w:sz w:val="28"/>
      <w:szCs w:val="20"/>
      <w:lang w:val="en-US" w:eastAsia="zh-CN" w:bidi="ar-SA"/>
    </w:rPr>
  </w:style>
  <w:style w:type="paragraph" w:customStyle="1" w:styleId="309">
    <w:name w:val="名称"/>
    <w:basedOn w:val="1"/>
    <w:next w:val="296"/>
    <w:qFormat/>
    <w:uiPriority w:val="0"/>
    <w:pPr>
      <w:widowControl/>
      <w:shd w:val="clear" w:color="FFFFFF" w:fill="FFFFFF"/>
      <w:spacing w:before="640" w:after="560" w:line="460" w:lineRule="exact"/>
      <w:jc w:val="center"/>
    </w:pPr>
    <w:rPr>
      <w:rFonts w:ascii="黑体" w:eastAsia="黑体"/>
      <w:b/>
      <w:kern w:val="0"/>
      <w:sz w:val="32"/>
      <w:szCs w:val="20"/>
    </w:rPr>
  </w:style>
  <w:style w:type="character" w:customStyle="1" w:styleId="310">
    <w:name w:val="尾注文本 Char"/>
    <w:basedOn w:val="129"/>
    <w:link w:val="49"/>
    <w:qFormat/>
    <w:uiPriority w:val="0"/>
    <w:rPr>
      <w:rFonts w:ascii="楷体_GB2312" w:hAnsi="Times New Roman" w:eastAsia="楷体_GB2312" w:cs="Times New Roman"/>
      <w:kern w:val="0"/>
      <w:sz w:val="28"/>
      <w:szCs w:val="20"/>
    </w:rPr>
  </w:style>
  <w:style w:type="character" w:customStyle="1" w:styleId="311">
    <w:name w:val="h Char"/>
    <w:semiHidden/>
    <w:qFormat/>
    <w:locked/>
    <w:uiPriority w:val="0"/>
    <w:rPr>
      <w:rFonts w:eastAsia="宋体"/>
      <w:kern w:val="2"/>
      <w:sz w:val="18"/>
      <w:szCs w:val="18"/>
      <w:lang w:val="en-US" w:eastAsia="zh-CN" w:bidi="ar-SA"/>
    </w:rPr>
  </w:style>
  <w:style w:type="paragraph" w:customStyle="1" w:styleId="312">
    <w:name w:val="Char Char Char Char Char2 Char2"/>
    <w:basedOn w:val="1"/>
    <w:qFormat/>
    <w:uiPriority w:val="0"/>
    <w:rPr>
      <w:szCs w:val="20"/>
    </w:rPr>
  </w:style>
  <w:style w:type="paragraph" w:customStyle="1" w:styleId="313">
    <w:name w:val="Char Char1 Char Char Char"/>
    <w:basedOn w:val="24"/>
    <w:qFormat/>
    <w:uiPriority w:val="0"/>
    <w:pPr>
      <w:shd w:val="clear" w:color="auto" w:fill="000080"/>
    </w:pPr>
    <w:rPr>
      <w:rFonts w:ascii="Tahoma" w:hAnsi="Tahoma"/>
      <w:sz w:val="24"/>
      <w:szCs w:val="24"/>
    </w:rPr>
  </w:style>
  <w:style w:type="paragraph" w:customStyle="1" w:styleId="314">
    <w:name w:val="Z"/>
    <w:basedOn w:val="1"/>
    <w:qFormat/>
    <w:uiPriority w:val="0"/>
    <w:pPr>
      <w:topLinePunct/>
      <w:ind w:right="210" w:rightChars="100" w:firstLine="360" w:firstLineChars="200"/>
    </w:pPr>
    <w:rPr>
      <w:rFonts w:hAnsi="宋体"/>
      <w:color w:val="000000"/>
      <w:sz w:val="18"/>
      <w:szCs w:val="18"/>
    </w:rPr>
  </w:style>
  <w:style w:type="paragraph" w:customStyle="1" w:styleId="315">
    <w:name w:val="数字EU"/>
    <w:basedOn w:val="1"/>
    <w:link w:val="316"/>
    <w:qFormat/>
    <w:uiPriority w:val="0"/>
    <w:pPr>
      <w:wordWrap w:val="0"/>
      <w:overflowPunct w:val="0"/>
      <w:topLinePunct/>
    </w:pPr>
    <w:rPr>
      <w:rFonts w:ascii="EU-F1"/>
      <w:kern w:val="21"/>
      <w:szCs w:val="21"/>
    </w:rPr>
  </w:style>
  <w:style w:type="character" w:customStyle="1" w:styleId="316">
    <w:name w:val="数字EU Char"/>
    <w:link w:val="315"/>
    <w:qFormat/>
    <w:uiPriority w:val="0"/>
    <w:rPr>
      <w:rFonts w:ascii="EU-F1" w:hAnsi="Times New Roman" w:eastAsia="宋体" w:cs="Times New Roman"/>
      <w:kern w:val="21"/>
      <w:szCs w:val="21"/>
    </w:rPr>
  </w:style>
  <w:style w:type="character" w:customStyle="1" w:styleId="317">
    <w:name w:val="D4 Char"/>
    <w:basedOn w:val="245"/>
    <w:link w:val="298"/>
    <w:qFormat/>
    <w:uiPriority w:val="0"/>
  </w:style>
  <w:style w:type="paragraph" w:customStyle="1" w:styleId="318">
    <w:name w:val="注标题"/>
    <w:basedOn w:val="1"/>
    <w:qFormat/>
    <w:uiPriority w:val="0"/>
    <w:pPr>
      <w:topLinePunct/>
    </w:pPr>
    <w:rPr>
      <w:sz w:val="18"/>
      <w:szCs w:val="20"/>
    </w:rPr>
  </w:style>
  <w:style w:type="paragraph" w:customStyle="1" w:styleId="319">
    <w:name w:val="标准书脚_偶数页"/>
    <w:qFormat/>
    <w:uiPriority w:val="0"/>
    <w:pPr>
      <w:spacing w:before="120"/>
    </w:pPr>
    <w:rPr>
      <w:rFonts w:ascii="Times New Roman" w:hAnsi="Times New Roman" w:eastAsia="宋体" w:cs="Times New Roman"/>
      <w:kern w:val="0"/>
      <w:sz w:val="18"/>
      <w:szCs w:val="20"/>
      <w:lang w:val="en-US" w:eastAsia="zh-CN" w:bidi="ar-SA"/>
    </w:rPr>
  </w:style>
  <w:style w:type="paragraph" w:customStyle="1" w:styleId="320">
    <w:name w:val="标准书脚_奇数页"/>
    <w:qFormat/>
    <w:uiPriority w:val="0"/>
    <w:pPr>
      <w:spacing w:before="120"/>
      <w:jc w:val="right"/>
    </w:pPr>
    <w:rPr>
      <w:rFonts w:ascii="Times New Roman" w:hAnsi="Times New Roman" w:eastAsia="宋体" w:cs="Times New Roman"/>
      <w:kern w:val="0"/>
      <w:sz w:val="18"/>
      <w:szCs w:val="20"/>
      <w:lang w:val="en-US" w:eastAsia="zh-CN" w:bidi="ar-SA"/>
    </w:rPr>
  </w:style>
  <w:style w:type="paragraph" w:customStyle="1" w:styleId="321">
    <w:name w:val="标准书眉_奇数页"/>
    <w:next w:val="1"/>
    <w:qFormat/>
    <w:uiPriority w:val="0"/>
    <w:pPr>
      <w:tabs>
        <w:tab w:val="center" w:pos="4154"/>
        <w:tab w:val="right" w:pos="8306"/>
      </w:tabs>
      <w:spacing w:after="120"/>
      <w:jc w:val="right"/>
    </w:pPr>
    <w:rPr>
      <w:rFonts w:ascii="Times New Roman" w:hAnsi="Times New Roman" w:eastAsia="宋体" w:cs="Times New Roman"/>
      <w:kern w:val="0"/>
      <w:sz w:val="21"/>
      <w:szCs w:val="20"/>
      <w:lang w:val="en-US" w:eastAsia="zh-CN" w:bidi="ar-SA"/>
    </w:rPr>
  </w:style>
  <w:style w:type="paragraph" w:customStyle="1" w:styleId="322">
    <w:name w:val="标准书眉_偶数页"/>
    <w:basedOn w:val="321"/>
    <w:next w:val="1"/>
    <w:qFormat/>
    <w:uiPriority w:val="0"/>
    <w:pPr>
      <w:jc w:val="left"/>
    </w:pPr>
  </w:style>
  <w:style w:type="paragraph" w:customStyle="1" w:styleId="323">
    <w:name w:val="标准书眉一"/>
    <w:qFormat/>
    <w:uiPriority w:val="0"/>
    <w:pPr>
      <w:jc w:val="both"/>
    </w:pPr>
    <w:rPr>
      <w:rFonts w:ascii="Times New Roman" w:hAnsi="Times New Roman" w:eastAsia="宋体" w:cs="Times New Roman"/>
      <w:kern w:val="0"/>
      <w:sz w:val="20"/>
      <w:szCs w:val="20"/>
      <w:lang w:val="en-US" w:eastAsia="zh-CN" w:bidi="ar-SA"/>
    </w:rPr>
  </w:style>
  <w:style w:type="paragraph" w:customStyle="1" w:styleId="324">
    <w:name w:val="发布部门"/>
    <w:next w:val="1"/>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kern w:val="0"/>
      <w:sz w:val="36"/>
      <w:szCs w:val="20"/>
      <w:lang w:val="en-US" w:eastAsia="zh-CN" w:bidi="ar-SA"/>
    </w:rPr>
  </w:style>
  <w:style w:type="paragraph" w:customStyle="1" w:styleId="325">
    <w:name w:val="发布日期"/>
    <w:qFormat/>
    <w:uiPriority w:val="0"/>
    <w:pPr>
      <w:framePr w:w="4000" w:h="473" w:hRule="exact" w:hSpace="180" w:vSpace="180" w:wrap="around" w:vAnchor="margin" w:hAnchor="margin" w:y="13511" w:anchorLock="1"/>
    </w:pPr>
    <w:rPr>
      <w:rFonts w:ascii="Times New Roman" w:hAnsi="Times New Roman" w:eastAsia="黑体" w:cs="Times New Roman"/>
      <w:kern w:val="0"/>
      <w:sz w:val="28"/>
      <w:szCs w:val="20"/>
      <w:lang w:val="en-US" w:eastAsia="zh-CN" w:bidi="ar-SA"/>
    </w:rPr>
  </w:style>
  <w:style w:type="paragraph" w:customStyle="1" w:styleId="32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kern w:val="0"/>
      <w:sz w:val="28"/>
      <w:szCs w:val="20"/>
      <w:lang w:val="en-US" w:eastAsia="zh-CN" w:bidi="ar-SA"/>
    </w:rPr>
  </w:style>
  <w:style w:type="paragraph" w:customStyle="1" w:styleId="327">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kern w:val="0"/>
      <w:sz w:val="52"/>
      <w:szCs w:val="20"/>
      <w:lang w:val="en-US" w:eastAsia="zh-CN" w:bidi="ar-SA"/>
    </w:rPr>
  </w:style>
  <w:style w:type="paragraph" w:customStyle="1" w:styleId="328">
    <w:name w:val="封面标准文稿编辑信息"/>
    <w:qFormat/>
    <w:uiPriority w:val="0"/>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329">
    <w:name w:val="封面标准文稿类别"/>
    <w:qFormat/>
    <w:uiPriority w:val="0"/>
    <w:pPr>
      <w:spacing w:before="440" w:line="400" w:lineRule="exact"/>
      <w:jc w:val="center"/>
    </w:pPr>
    <w:rPr>
      <w:rFonts w:ascii="宋体" w:hAnsi="Times New Roman" w:eastAsia="宋体" w:cs="Times New Roman"/>
      <w:kern w:val="0"/>
      <w:sz w:val="24"/>
      <w:szCs w:val="20"/>
      <w:lang w:val="en-US" w:eastAsia="zh-CN" w:bidi="ar-SA"/>
    </w:rPr>
  </w:style>
  <w:style w:type="paragraph" w:customStyle="1" w:styleId="330">
    <w:name w:val="封面一致性程度标识"/>
    <w:qFormat/>
    <w:uiPriority w:val="0"/>
    <w:pPr>
      <w:spacing w:before="440" w:line="400" w:lineRule="exact"/>
      <w:jc w:val="center"/>
    </w:pPr>
    <w:rPr>
      <w:rFonts w:ascii="宋体" w:hAnsi="Times New Roman" w:eastAsia="宋体" w:cs="Times New Roman"/>
      <w:kern w:val="0"/>
      <w:sz w:val="28"/>
      <w:szCs w:val="20"/>
      <w:lang w:val="en-US" w:eastAsia="zh-CN" w:bidi="ar-SA"/>
    </w:rPr>
  </w:style>
  <w:style w:type="paragraph" w:customStyle="1" w:styleId="331">
    <w:name w:val="封面正文"/>
    <w:qFormat/>
    <w:uiPriority w:val="0"/>
    <w:pPr>
      <w:jc w:val="both"/>
    </w:pPr>
    <w:rPr>
      <w:rFonts w:ascii="Times New Roman" w:hAnsi="Times New Roman" w:eastAsia="宋体" w:cs="Times New Roman"/>
      <w:kern w:val="0"/>
      <w:sz w:val="20"/>
      <w:szCs w:val="20"/>
      <w:lang w:val="en-US" w:eastAsia="zh-CN" w:bidi="ar-SA"/>
    </w:rPr>
  </w:style>
  <w:style w:type="paragraph" w:customStyle="1" w:styleId="332">
    <w:name w:val="实施日期"/>
    <w:basedOn w:val="325"/>
    <w:qFormat/>
    <w:uiPriority w:val="0"/>
    <w:pPr>
      <w:framePr w:hSpace="0" w:xAlign="right"/>
      <w:jc w:val="right"/>
    </w:pPr>
  </w:style>
  <w:style w:type="paragraph" w:customStyle="1" w:styleId="333">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kern w:val="0"/>
      <w:sz w:val="21"/>
      <w:szCs w:val="20"/>
      <w:lang w:val="en-US" w:eastAsia="zh-CN" w:bidi="ar-SA"/>
    </w:rPr>
  </w:style>
  <w:style w:type="paragraph" w:customStyle="1" w:styleId="334">
    <w:name w:val="附录标识"/>
    <w:basedOn w:val="1"/>
    <w:qFormat/>
    <w:uiPriority w:val="0"/>
    <w:pPr>
      <w:widowControl/>
      <w:numPr>
        <w:ilvl w:val="0"/>
        <w:numId w:val="11"/>
      </w:numPr>
      <w:shd w:val="clear" w:color="FFFFFF" w:fill="FFFFFF"/>
      <w:tabs>
        <w:tab w:val="left" w:pos="6405"/>
      </w:tabs>
      <w:spacing w:before="640" w:after="200"/>
      <w:jc w:val="center"/>
      <w:outlineLvl w:val="0"/>
    </w:pPr>
    <w:rPr>
      <w:rFonts w:ascii="黑体" w:eastAsia="黑体"/>
      <w:kern w:val="0"/>
      <w:szCs w:val="20"/>
    </w:rPr>
  </w:style>
  <w:style w:type="paragraph" w:customStyle="1" w:styleId="335">
    <w:name w:val="前言、引言标题"/>
    <w:next w:val="1"/>
    <w:qFormat/>
    <w:uiPriority w:val="0"/>
    <w:pPr>
      <w:shd w:val="clear" w:color="FFFFFF" w:fill="FFFFFF"/>
      <w:tabs>
        <w:tab w:val="left" w:pos="1020"/>
      </w:tabs>
      <w:spacing w:before="640" w:after="560"/>
      <w:ind w:left="1020" w:hanging="420"/>
      <w:jc w:val="center"/>
      <w:outlineLvl w:val="0"/>
    </w:pPr>
    <w:rPr>
      <w:rFonts w:ascii="黑体" w:hAnsi="Times New Roman" w:eastAsia="黑体" w:cs="Times New Roman"/>
      <w:kern w:val="0"/>
      <w:sz w:val="32"/>
      <w:szCs w:val="20"/>
      <w:lang w:val="en-US" w:eastAsia="zh-CN" w:bidi="ar-SA"/>
    </w:rPr>
  </w:style>
  <w:style w:type="paragraph" w:customStyle="1" w:styleId="336">
    <w:name w:val="章标题"/>
    <w:next w:val="1"/>
    <w:qFormat/>
    <w:uiPriority w:val="0"/>
    <w:pPr>
      <w:tabs>
        <w:tab w:val="left" w:pos="1440"/>
      </w:tabs>
      <w:spacing w:beforeLines="50" w:afterLines="50"/>
      <w:ind w:left="1440" w:hanging="420"/>
      <w:jc w:val="both"/>
      <w:outlineLvl w:val="1"/>
    </w:pPr>
    <w:rPr>
      <w:rFonts w:ascii="黑体" w:hAnsi="Times New Roman" w:eastAsia="黑体" w:cs="Times New Roman"/>
      <w:kern w:val="0"/>
      <w:sz w:val="21"/>
      <w:szCs w:val="20"/>
      <w:lang w:val="en-US" w:eastAsia="zh-CN" w:bidi="ar-SA"/>
    </w:rPr>
  </w:style>
  <w:style w:type="character" w:customStyle="1" w:styleId="337">
    <w:name w:val="章标题 Char"/>
    <w:qFormat/>
    <w:uiPriority w:val="0"/>
    <w:rPr>
      <w:rFonts w:ascii="黑体" w:eastAsia="黑体"/>
      <w:sz w:val="21"/>
      <w:lang w:val="en-US" w:eastAsia="zh-CN" w:bidi="ar-SA"/>
    </w:rPr>
  </w:style>
  <w:style w:type="paragraph" w:customStyle="1" w:styleId="338">
    <w:name w:val="一级条标题"/>
    <w:basedOn w:val="336"/>
    <w:next w:val="1"/>
    <w:qFormat/>
    <w:uiPriority w:val="0"/>
    <w:pPr>
      <w:spacing w:beforeLines="0" w:afterLines="0"/>
      <w:ind w:left="1440" w:hanging="420"/>
      <w:outlineLvl w:val="2"/>
    </w:pPr>
  </w:style>
  <w:style w:type="character" w:customStyle="1" w:styleId="339">
    <w:name w:val="一级条标题 Char"/>
    <w:basedOn w:val="337"/>
    <w:qFormat/>
    <w:uiPriority w:val="0"/>
  </w:style>
  <w:style w:type="character" w:customStyle="1" w:styleId="340">
    <w:name w:val="二级条标题 Char"/>
    <w:basedOn w:val="339"/>
    <w:qFormat/>
    <w:uiPriority w:val="0"/>
  </w:style>
  <w:style w:type="paragraph" w:customStyle="1" w:styleId="341">
    <w:name w:val="三级条标题"/>
    <w:basedOn w:val="252"/>
    <w:next w:val="1"/>
    <w:qFormat/>
    <w:uiPriority w:val="0"/>
    <w:pPr>
      <w:tabs>
        <w:tab w:val="clear" w:pos="1680"/>
      </w:tabs>
      <w:ind w:left="0" w:firstLine="0"/>
      <w:jc w:val="both"/>
      <w:outlineLvl w:val="4"/>
    </w:pPr>
    <w:rPr>
      <w:rFonts w:ascii="黑体"/>
    </w:rPr>
  </w:style>
  <w:style w:type="paragraph" w:customStyle="1" w:styleId="342">
    <w:name w:val="四级条标题"/>
    <w:basedOn w:val="341"/>
    <w:next w:val="1"/>
    <w:qFormat/>
    <w:uiPriority w:val="0"/>
    <w:pPr>
      <w:outlineLvl w:val="5"/>
    </w:pPr>
  </w:style>
  <w:style w:type="paragraph" w:customStyle="1" w:styleId="343">
    <w:name w:val="五级条标题"/>
    <w:basedOn w:val="342"/>
    <w:next w:val="1"/>
    <w:qFormat/>
    <w:uiPriority w:val="0"/>
    <w:pPr>
      <w:outlineLvl w:val="6"/>
    </w:pPr>
  </w:style>
  <w:style w:type="paragraph" w:customStyle="1" w:styleId="344">
    <w:name w:val="附录章标题"/>
    <w:next w:val="1"/>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szCs w:val="20"/>
      <w:lang w:val="en-US" w:eastAsia="zh-CN" w:bidi="ar-SA"/>
    </w:rPr>
  </w:style>
  <w:style w:type="paragraph" w:customStyle="1" w:styleId="345">
    <w:name w:val="附录一级条标题"/>
    <w:basedOn w:val="344"/>
    <w:next w:val="1"/>
    <w:qFormat/>
    <w:uiPriority w:val="0"/>
    <w:pPr>
      <w:autoSpaceDN w:val="0"/>
      <w:spacing w:beforeLines="0" w:afterLines="0"/>
      <w:outlineLvl w:val="2"/>
    </w:pPr>
  </w:style>
  <w:style w:type="paragraph" w:customStyle="1" w:styleId="346">
    <w:name w:val="附录二级条标题"/>
    <w:basedOn w:val="345"/>
    <w:next w:val="1"/>
    <w:qFormat/>
    <w:uiPriority w:val="0"/>
    <w:pPr>
      <w:outlineLvl w:val="3"/>
    </w:pPr>
  </w:style>
  <w:style w:type="paragraph" w:customStyle="1" w:styleId="347">
    <w:name w:val="附录三级条标题"/>
    <w:basedOn w:val="346"/>
    <w:next w:val="1"/>
    <w:qFormat/>
    <w:uiPriority w:val="0"/>
    <w:pPr>
      <w:outlineLvl w:val="4"/>
    </w:pPr>
  </w:style>
  <w:style w:type="paragraph" w:customStyle="1" w:styleId="348">
    <w:name w:val="附录四级条标题"/>
    <w:basedOn w:val="347"/>
    <w:next w:val="1"/>
    <w:qFormat/>
    <w:uiPriority w:val="0"/>
    <w:pPr>
      <w:outlineLvl w:val="5"/>
    </w:pPr>
  </w:style>
  <w:style w:type="paragraph" w:customStyle="1" w:styleId="349">
    <w:name w:val="附录五级条标题"/>
    <w:basedOn w:val="348"/>
    <w:next w:val="1"/>
    <w:qFormat/>
    <w:uiPriority w:val="0"/>
    <w:pPr>
      <w:outlineLvl w:val="6"/>
    </w:pPr>
  </w:style>
  <w:style w:type="paragraph" w:customStyle="1" w:styleId="350">
    <w:name w:val="目次、标准名称标题"/>
    <w:basedOn w:val="335"/>
    <w:next w:val="1"/>
    <w:qFormat/>
    <w:uiPriority w:val="0"/>
    <w:pPr>
      <w:tabs>
        <w:tab w:val="clear" w:pos="1020"/>
      </w:tabs>
      <w:spacing w:line="460" w:lineRule="exact"/>
      <w:ind w:left="0" w:firstLine="0"/>
    </w:pPr>
  </w:style>
  <w:style w:type="paragraph" w:customStyle="1" w:styleId="351">
    <w:name w:val="字母编号列项（一级）"/>
    <w:qFormat/>
    <w:uiPriority w:val="0"/>
    <w:pPr>
      <w:ind w:left="840" w:leftChars="200" w:hanging="420" w:hangingChars="200"/>
      <w:jc w:val="both"/>
    </w:pPr>
    <w:rPr>
      <w:rFonts w:ascii="宋体" w:hAnsi="Times New Roman" w:eastAsia="宋体" w:cs="Times New Roman"/>
      <w:kern w:val="0"/>
      <w:sz w:val="21"/>
      <w:szCs w:val="20"/>
      <w:lang w:val="en-US" w:eastAsia="zh-CN" w:bidi="ar-SA"/>
    </w:rPr>
  </w:style>
  <w:style w:type="character" w:customStyle="1" w:styleId="352">
    <w:name w:val="wbtr_mn"/>
    <w:basedOn w:val="129"/>
    <w:qFormat/>
    <w:uiPriority w:val="0"/>
  </w:style>
  <w:style w:type="paragraph" w:customStyle="1" w:styleId="353">
    <w:name w:val="Char Char Char Char Char1 Char Char Char Char Char Char Char"/>
    <w:basedOn w:val="1"/>
    <w:qFormat/>
    <w:uiPriority w:val="0"/>
  </w:style>
  <w:style w:type="paragraph" w:customStyle="1" w:styleId="354">
    <w:name w:val="列出段落1"/>
    <w:basedOn w:val="1"/>
    <w:qFormat/>
    <w:uiPriority w:val="0"/>
    <w:pPr>
      <w:ind w:firstLine="420" w:firstLineChars="200"/>
    </w:pPr>
  </w:style>
  <w:style w:type="paragraph" w:styleId="355">
    <w:name w:val="List Paragraph"/>
    <w:basedOn w:val="1"/>
    <w:qFormat/>
    <w:uiPriority w:val="0"/>
    <w:pPr>
      <w:ind w:firstLine="420" w:firstLineChars="200"/>
    </w:pPr>
  </w:style>
  <w:style w:type="character" w:customStyle="1" w:styleId="356">
    <w:name w:val="样式 标题 1 + 加粗 Char"/>
    <w:qFormat/>
    <w:uiPriority w:val="0"/>
    <w:rPr>
      <w:rFonts w:ascii="汉仪大宋简" w:eastAsia="黑体"/>
      <w:b/>
      <w:kern w:val="44"/>
      <w:sz w:val="28"/>
      <w:szCs w:val="26"/>
      <w:lang w:val="en-US" w:eastAsia="zh-CN" w:bidi="ar-SA"/>
    </w:rPr>
  </w:style>
  <w:style w:type="paragraph" w:customStyle="1" w:styleId="357">
    <w:name w:val="1"/>
    <w:basedOn w:val="1"/>
    <w:qFormat/>
    <w:uiPriority w:val="0"/>
    <w:rPr>
      <w:szCs w:val="20"/>
    </w:rPr>
  </w:style>
  <w:style w:type="paragraph" w:customStyle="1" w:styleId="358">
    <w:name w:val="样式 标题 1 + 加粗"/>
    <w:basedOn w:val="2"/>
    <w:qFormat/>
    <w:uiPriority w:val="0"/>
    <w:pPr>
      <w:keepLines/>
      <w:spacing w:beforeLines="100" w:afterLines="100"/>
    </w:pPr>
    <w:rPr>
      <w:rFonts w:eastAsia="黑体"/>
      <w:b/>
      <w:kern w:val="44"/>
    </w:rPr>
  </w:style>
  <w:style w:type="paragraph" w:customStyle="1" w:styleId="359">
    <w:name w:val="样式 标题 2 + 段前: 0.5 行 段后: 0.5 行"/>
    <w:basedOn w:val="3"/>
    <w:qFormat/>
    <w:uiPriority w:val="0"/>
    <w:pPr>
      <w:adjustRightInd w:val="0"/>
      <w:spacing w:beforeLines="50" w:afterLines="50" w:line="240" w:lineRule="auto"/>
      <w:ind w:firstLine="200" w:firstLineChars="200"/>
      <w:jc w:val="left"/>
      <w:textAlignment w:val="baseline"/>
    </w:pPr>
    <w:rPr>
      <w:rFonts w:ascii="Times New Roman" w:hAnsi="Times New Roman" w:eastAsia="黑体"/>
      <w:b w:val="0"/>
      <w:bCs w:val="0"/>
      <w:kern w:val="0"/>
      <w:sz w:val="21"/>
      <w:szCs w:val="20"/>
    </w:rPr>
  </w:style>
  <w:style w:type="paragraph" w:customStyle="1" w:styleId="360">
    <w:name w:val="打印正文1"/>
    <w:basedOn w:val="1"/>
    <w:qFormat/>
    <w:uiPriority w:val="0"/>
    <w:pPr>
      <w:spacing w:before="240" w:line="240" w:lineRule="atLeast"/>
    </w:pPr>
    <w:rPr>
      <w:szCs w:val="20"/>
    </w:rPr>
  </w:style>
  <w:style w:type="paragraph" w:customStyle="1" w:styleId="361">
    <w:name w:val="Header 2 Text"/>
    <w:basedOn w:val="1"/>
    <w:qFormat/>
    <w:uiPriority w:val="0"/>
    <w:pPr>
      <w:widowControl/>
      <w:tabs>
        <w:tab w:val="left" w:pos="567"/>
        <w:tab w:val="left" w:pos="1134"/>
        <w:tab w:val="left" w:pos="1701"/>
        <w:tab w:val="left" w:pos="2268"/>
        <w:tab w:val="left" w:pos="2835"/>
        <w:tab w:val="left" w:pos="3402"/>
        <w:tab w:val="left" w:pos="3969"/>
        <w:tab w:val="left" w:pos="4536"/>
        <w:tab w:val="left" w:pos="5103"/>
      </w:tabs>
      <w:spacing w:before="120" w:line="320" w:lineRule="exact"/>
      <w:ind w:left="567"/>
    </w:pPr>
    <w:rPr>
      <w:rFonts w:ascii="Arial" w:hAnsi="Arial"/>
      <w:kern w:val="0"/>
      <w:sz w:val="22"/>
      <w:szCs w:val="20"/>
    </w:rPr>
  </w:style>
  <w:style w:type="paragraph" w:customStyle="1" w:styleId="362">
    <w:name w:val="Fft"/>
    <w:basedOn w:val="1"/>
    <w:qFormat/>
    <w:uiPriority w:val="0"/>
    <w:pPr>
      <w:spacing w:before="500" w:after="180"/>
      <w:jc w:val="center"/>
    </w:pPr>
    <w:rPr>
      <w:rFonts w:eastAsia="黑体"/>
      <w:color w:val="000000"/>
      <w:szCs w:val="21"/>
    </w:rPr>
  </w:style>
  <w:style w:type="character" w:customStyle="1" w:styleId="363">
    <w:name w:val="Char Char1"/>
    <w:qFormat/>
    <w:uiPriority w:val="0"/>
    <w:rPr>
      <w:rFonts w:eastAsia="汉仪大宋简"/>
      <w:kern w:val="44"/>
      <w:sz w:val="22"/>
      <w:szCs w:val="22"/>
      <w:lang w:val="en-US" w:eastAsia="zh-CN" w:bidi="ar-SA"/>
    </w:rPr>
  </w:style>
  <w:style w:type="paragraph" w:customStyle="1" w:styleId="364">
    <w:name w:val="bbb"/>
    <w:basedOn w:val="1"/>
    <w:qFormat/>
    <w:uiPriority w:val="0"/>
    <w:pPr>
      <w:topLinePunct/>
      <w:snapToGrid w:val="0"/>
      <w:spacing w:before="60" w:after="60"/>
      <w:jc w:val="center"/>
    </w:pPr>
    <w:rPr>
      <w:sz w:val="18"/>
      <w:szCs w:val="18"/>
    </w:rPr>
  </w:style>
  <w:style w:type="character" w:customStyle="1" w:styleId="365">
    <w:name w:val="Char Char6"/>
    <w:qFormat/>
    <w:uiPriority w:val="0"/>
    <w:rPr>
      <w:rFonts w:ascii="Cambria" w:hAnsi="Cambria" w:eastAsia="宋体" w:cs="Times New Roman"/>
      <w:b/>
      <w:bCs/>
      <w:kern w:val="2"/>
      <w:sz w:val="32"/>
      <w:szCs w:val="32"/>
    </w:rPr>
  </w:style>
  <w:style w:type="paragraph" w:customStyle="1" w:styleId="366">
    <w:name w:val="1.1.1.1"/>
    <w:basedOn w:val="1"/>
    <w:qFormat/>
    <w:uiPriority w:val="0"/>
    <w:pPr>
      <w:tabs>
        <w:tab w:val="left" w:pos="1134"/>
      </w:tabs>
      <w:adjustRightInd w:val="0"/>
      <w:spacing w:before="60" w:after="60" w:line="360" w:lineRule="atLeast"/>
      <w:ind w:left="1134" w:hanging="1134"/>
    </w:pPr>
    <w:rPr>
      <w:rFonts w:ascii="Arial" w:hAnsi="Arial"/>
      <w:kern w:val="0"/>
      <w:szCs w:val="20"/>
    </w:rPr>
  </w:style>
  <w:style w:type="character" w:customStyle="1" w:styleId="367">
    <w:name w:val="正文缩进 Char"/>
    <w:link w:val="6"/>
    <w:qFormat/>
    <w:uiPriority w:val="0"/>
    <w:rPr>
      <w:rFonts w:ascii="Times New Roman" w:hAnsi="Times New Roman" w:eastAsia="宋体" w:cs="Times New Roman"/>
      <w:szCs w:val="20"/>
    </w:rPr>
  </w:style>
  <w:style w:type="paragraph" w:customStyle="1" w:styleId="368">
    <w:name w:val="Bgg"/>
    <w:basedOn w:val="1"/>
    <w:qFormat/>
    <w:uiPriority w:val="0"/>
    <w:pPr>
      <w:topLinePunct/>
      <w:snapToGrid w:val="0"/>
      <w:jc w:val="center"/>
    </w:pPr>
    <w:rPr>
      <w:rFonts w:hAnsi="宋体"/>
      <w:color w:val="000000"/>
      <w:kern w:val="21"/>
      <w:sz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A1461-AD91-4EBD-ADA7-2C98BD189B9A}">
  <ds:schemaRefs/>
</ds:datastoreItem>
</file>

<file path=docProps/app.xml><?xml version="1.0" encoding="utf-8"?>
<Properties xmlns="http://schemas.openxmlformats.org/officeDocument/2006/extended-properties" xmlns:vt="http://schemas.openxmlformats.org/officeDocument/2006/docPropsVTypes">
  <Template>Normal</Template>
  <Company>Users</Company>
  <Pages>70</Pages>
  <Words>8433</Words>
  <Characters>48073</Characters>
  <Lines>400</Lines>
  <Paragraphs>112</Paragraphs>
  <TotalTime>2</TotalTime>
  <ScaleCrop>false</ScaleCrop>
  <LinksUpToDate>false</LinksUpToDate>
  <CharactersWithSpaces>56394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2015-09-24T02:35:00Z</dcterms:created>
  <dc:creator>Windows 用户</dc:creator>
  <cp:lastModifiedBy>笑一个</cp:lastModifiedBy>
  <dcterms:modified xsi:type="dcterms:W3CDTF">2023-10-13T07:15:40Z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B4D272003A6B452E9C315C851E7E04F8_13</vt:lpwstr>
  </property>
</Properties>
</file>