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rPr>
          <w:rFonts w:ascii="宋体" w:hAnsi="宋体"/>
        </w:rPr>
      </w:pPr>
      <w:r>
        <w:rPr>
          <w:rFonts w:ascii="宋体" w:hAnsi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-91440</wp:posOffset>
            </wp:positionH>
            <wp:positionV relativeFrom="paragraph">
              <wp:posOffset>-904875</wp:posOffset>
            </wp:positionV>
            <wp:extent cx="7792085" cy="2683510"/>
            <wp:effectExtent l="0" t="0" r="8890" b="2540"/>
            <wp:wrapNone/>
            <wp:docPr id="14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792085" cy="268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ind w:firstLine="420"/>
        <w:rPr>
          <w:rFonts w:ascii="宋体" w:hAnsi="宋体"/>
        </w:rPr>
      </w:pPr>
    </w:p>
    <w:p>
      <w:pPr>
        <w:ind w:firstLine="420"/>
        <w:rPr>
          <w:rFonts w:ascii="宋体" w:hAnsi="宋体"/>
        </w:rPr>
      </w:pPr>
    </w:p>
    <w:p>
      <w:pPr>
        <w:ind w:firstLine="420"/>
        <w:rPr>
          <w:rFonts w:ascii="宋体" w:hAnsi="宋体"/>
        </w:rPr>
      </w:pPr>
      <w:r>
        <w:rPr>
          <w:rFonts w:hint="eastAsia" w:ascii="宋体" w:hAnsi="宋体"/>
        </w:rPr>
        <w:t>社保证明(养老、工伤、失业)</w:t>
      </w:r>
    </w:p>
    <w:p>
      <w:pPr>
        <w:ind w:firstLine="420"/>
        <w:rPr>
          <w:rFonts w:ascii="宋体" w:hAnsi="宋体"/>
        </w:rPr>
      </w:pPr>
    </w:p>
    <w:p>
      <w:pPr>
        <w:ind w:firstLine="420"/>
        <w:rPr>
          <w:rFonts w:ascii="宋体" w:hAnsi="宋体"/>
        </w:rPr>
      </w:pPr>
    </w:p>
    <w:p>
      <w:pPr>
        <w:spacing w:line="600" w:lineRule="auto"/>
        <w:ind w:firstLine="883"/>
        <w:jc w:val="center"/>
        <w:rPr>
          <w:rFonts w:ascii="宋体" w:hAnsi="宋体" w:cs="黑体"/>
          <w:b/>
          <w:bCs/>
          <w:sz w:val="44"/>
          <w:szCs w:val="44"/>
        </w:rPr>
      </w:pPr>
    </w:p>
    <w:p>
      <w:pPr>
        <w:spacing w:line="600" w:lineRule="auto"/>
        <w:ind w:firstLine="0" w:firstLineChars="0"/>
        <w:jc w:val="center"/>
        <w:rPr>
          <w:rFonts w:hint="default" w:ascii="宋体" w:hAnsi="宋体" w:eastAsia="宋体" w:cs="黑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黑体"/>
          <w:b/>
          <w:bCs/>
          <w:sz w:val="44"/>
          <w:szCs w:val="44"/>
          <w:lang w:val="en-US" w:eastAsia="zh-CN"/>
        </w:rPr>
        <w:t>零星采购（通信设备）</w:t>
      </w:r>
    </w:p>
    <w:p>
      <w:pPr>
        <w:spacing w:line="600" w:lineRule="auto"/>
        <w:ind w:firstLine="0" w:firstLineChars="0"/>
        <w:jc w:val="center"/>
        <w:rPr>
          <w:rFonts w:hint="eastAsia" w:ascii="宋体" w:hAnsi="宋体" w:cs="黑体"/>
          <w:b/>
          <w:bCs/>
          <w:sz w:val="44"/>
          <w:szCs w:val="44"/>
        </w:rPr>
      </w:pPr>
    </w:p>
    <w:p>
      <w:pPr>
        <w:spacing w:line="600" w:lineRule="auto"/>
        <w:ind w:firstLine="0" w:firstLineChars="0"/>
        <w:jc w:val="center"/>
        <w:rPr>
          <w:rFonts w:hint="eastAsia" w:ascii="宋体" w:hAnsi="宋体" w:cs="黑体"/>
          <w:b/>
          <w:bCs/>
          <w:sz w:val="44"/>
          <w:szCs w:val="44"/>
        </w:rPr>
      </w:pPr>
    </w:p>
    <w:p>
      <w:pPr>
        <w:spacing w:line="600" w:lineRule="auto"/>
        <w:ind w:firstLine="0" w:firstLineChars="0"/>
        <w:jc w:val="center"/>
        <w:rPr>
          <w:rFonts w:ascii="宋体" w:hAnsi="宋体" w:cs="黑体"/>
          <w:b/>
          <w:bCs/>
          <w:sz w:val="44"/>
          <w:szCs w:val="44"/>
        </w:rPr>
      </w:pPr>
      <w:r>
        <w:rPr>
          <w:rFonts w:hint="eastAsia" w:ascii="宋体" w:hAnsi="宋体" w:cs="黑体"/>
          <w:b/>
          <w:bCs/>
          <w:sz w:val="44"/>
          <w:szCs w:val="44"/>
        </w:rPr>
        <w:t>技术规范书</w:t>
      </w:r>
    </w:p>
    <w:p>
      <w:pPr>
        <w:ind w:firstLine="803"/>
        <w:jc w:val="center"/>
        <w:rPr>
          <w:rFonts w:ascii="宋体" w:hAnsi="宋体"/>
          <w:b/>
          <w:bCs/>
          <w:sz w:val="40"/>
          <w:szCs w:val="40"/>
        </w:rPr>
      </w:pPr>
    </w:p>
    <w:p>
      <w:pPr>
        <w:ind w:firstLine="803"/>
        <w:jc w:val="center"/>
        <w:rPr>
          <w:rFonts w:ascii="宋体" w:hAnsi="宋体"/>
          <w:b/>
          <w:bCs/>
          <w:sz w:val="40"/>
          <w:szCs w:val="40"/>
        </w:rPr>
      </w:pPr>
    </w:p>
    <w:p>
      <w:pPr>
        <w:ind w:firstLine="803"/>
        <w:jc w:val="center"/>
        <w:rPr>
          <w:rFonts w:ascii="宋体" w:hAnsi="宋体"/>
          <w:b/>
          <w:bCs/>
          <w:sz w:val="40"/>
          <w:szCs w:val="40"/>
        </w:rPr>
      </w:pPr>
    </w:p>
    <w:p>
      <w:pPr>
        <w:ind w:firstLine="803"/>
        <w:jc w:val="center"/>
        <w:rPr>
          <w:rFonts w:ascii="宋体" w:hAnsi="宋体"/>
          <w:b/>
          <w:bCs/>
          <w:sz w:val="40"/>
          <w:szCs w:val="40"/>
        </w:rPr>
      </w:pPr>
    </w:p>
    <w:p>
      <w:pPr>
        <w:ind w:firstLine="803"/>
        <w:jc w:val="center"/>
        <w:rPr>
          <w:rFonts w:ascii="宋体" w:hAnsi="宋体"/>
          <w:b/>
          <w:bCs/>
          <w:sz w:val="40"/>
          <w:szCs w:val="40"/>
        </w:rPr>
      </w:pPr>
    </w:p>
    <w:p>
      <w:pPr>
        <w:spacing w:after="156" w:afterLines="50"/>
        <w:ind w:left="0" w:leftChars="0" w:firstLine="0" w:firstLineChars="0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南方电网储能股份有限公司</w:t>
      </w:r>
    </w:p>
    <w:p>
      <w:pPr>
        <w:spacing w:after="156" w:afterLines="50"/>
        <w:ind w:left="0" w:leftChars="0" w:firstLine="0" w:firstLineChars="0"/>
        <w:jc w:val="center"/>
        <w:rPr>
          <w:rFonts w:hint="default" w:ascii="宋体" w:hAnsi="宋体" w:eastAsia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西部检修试验分公司</w:t>
      </w:r>
    </w:p>
    <w:p>
      <w:pPr>
        <w:spacing w:after="156" w:afterLines="50"/>
        <w:ind w:left="0" w:leftChars="0" w:firstLine="0" w:firstLineChars="0"/>
        <w:jc w:val="center"/>
        <w:rPr>
          <w:rFonts w:hint="default" w:ascii="宋体" w:hAnsi="宋体" w:eastAsia="宋体"/>
          <w:b/>
          <w:bCs/>
          <w:sz w:val="40"/>
          <w:szCs w:val="40"/>
          <w:lang w:val="en-US" w:eastAsia="zh-CN"/>
        </w:rPr>
      </w:pPr>
      <w:r>
        <w:rPr>
          <w:rFonts w:ascii="宋体" w:hAnsi="宋体"/>
          <w:b/>
          <w:bCs/>
          <w:sz w:val="36"/>
          <w:szCs w:val="36"/>
        </w:rPr>
        <w:t>202</w:t>
      </w:r>
      <w:r>
        <w:rPr>
          <w:rFonts w:hint="eastAsia" w:ascii="宋体" w:hAnsi="宋体"/>
          <w:b/>
          <w:bCs/>
          <w:sz w:val="36"/>
          <w:szCs w:val="36"/>
        </w:rPr>
        <w:t>4</w:t>
      </w:r>
      <w:r>
        <w:rPr>
          <w:rFonts w:ascii="宋体" w:hAnsi="宋体"/>
          <w:b/>
          <w:bCs/>
          <w:sz w:val="36"/>
          <w:szCs w:val="36"/>
        </w:rPr>
        <w:t>年0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5</w:t>
      </w:r>
      <w:r>
        <w:rPr>
          <w:rFonts w:ascii="宋体" w:hAnsi="宋体"/>
          <w:b/>
          <w:bCs/>
          <w:sz w:val="36"/>
          <w:szCs w:val="36"/>
        </w:rPr>
        <w:t>月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17日</w:t>
      </w:r>
    </w:p>
    <w:p>
      <w:pPr>
        <w:jc w:val="both"/>
        <w:rPr>
          <w:rFonts w:hint="eastAsia" w:ascii="宋体" w:hAnsi="宋体" w:eastAsia="宋体" w:cs="宋体"/>
          <w:b/>
          <w:bCs/>
          <w:sz w:val="52"/>
          <w:szCs w:val="52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sz w:val="52"/>
          <w:szCs w:val="52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jc w:val="left"/>
        <w:rPr>
          <w:rFonts w:ascii="宋体" w:hAnsi="宋体"/>
          <w:bCs w:val="0"/>
          <w:sz w:val="32"/>
          <w:szCs w:val="32"/>
        </w:rPr>
      </w:pPr>
      <w:r>
        <w:rPr>
          <w:rFonts w:hint="eastAsia" w:ascii="宋体" w:hAnsi="宋体"/>
          <w:bCs w:val="0"/>
          <w:sz w:val="32"/>
          <w:szCs w:val="32"/>
          <w:lang w:val="en-US" w:eastAsia="zh-CN"/>
        </w:rPr>
        <w:t xml:space="preserve">1 </w:t>
      </w:r>
      <w:r>
        <w:rPr>
          <w:rFonts w:hint="eastAsia" w:ascii="宋体" w:hAnsi="宋体"/>
          <w:bCs w:val="0"/>
          <w:sz w:val="32"/>
          <w:szCs w:val="32"/>
        </w:rPr>
        <w:t>概述</w:t>
      </w:r>
    </w:p>
    <w:p>
      <w:pPr>
        <w:ind w:left="0" w:leftChars="0" w:firstLine="420" w:firstLineChars="0"/>
        <w:jc w:val="both"/>
        <w:rPr>
          <w:rFonts w:hint="eastAsia" w:ascii="宋体" w:hAnsi="宋体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本次采购范围为3对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E1复接设备（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PCM综合接入设备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和2对20路电话光端机。本技术规范书对拟采购设备规格型号做出相关规定，投标方所投设备必须满足本技术规范书所有要求，若存在某项设备参数不满足本技术规范书要求，招标方有权退还设备并要求赔偿。</w:t>
      </w:r>
    </w:p>
    <w:p>
      <w:pPr>
        <w:pStyle w:val="2"/>
        <w:numPr>
          <w:ilvl w:val="0"/>
          <w:numId w:val="0"/>
        </w:numPr>
        <w:ind w:leftChars="0"/>
        <w:rPr>
          <w:rFonts w:hint="default" w:ascii="宋体" w:hAnsi="宋体"/>
          <w:bCs w:val="0"/>
          <w:sz w:val="32"/>
          <w:szCs w:val="32"/>
          <w:lang w:val="en-US"/>
        </w:rPr>
      </w:pPr>
      <w:r>
        <w:rPr>
          <w:rFonts w:hint="eastAsia" w:ascii="宋体" w:hAnsi="宋体"/>
          <w:bCs w:val="0"/>
          <w:sz w:val="32"/>
          <w:szCs w:val="32"/>
          <w:lang w:val="en-US" w:eastAsia="zh-CN"/>
        </w:rPr>
        <w:t>2 采购范围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553"/>
        <w:gridCol w:w="3082"/>
        <w:gridCol w:w="1785"/>
        <w:gridCol w:w="518"/>
        <w:gridCol w:w="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553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3082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785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</w:tc>
        <w:tc>
          <w:tcPr>
            <w:tcW w:w="518" w:type="dxa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739" w:type="dxa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计量单位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2" w:hRule="atLeast"/>
        </w:trPr>
        <w:tc>
          <w:tcPr>
            <w:tcW w:w="845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553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E1复接设备（PCM综合接入设备）</w:t>
            </w:r>
          </w:p>
        </w:tc>
        <w:tc>
          <w:tcPr>
            <w:tcW w:w="3082" w:type="dxa"/>
            <w:vAlign w:val="center"/>
          </w:tcPr>
          <w:p>
            <w:pPr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19英寸1U结构，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0路电话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（FXS）+10路电话（FXO）共20路电话通道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，E1链路接口，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D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C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48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V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双电源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供电</w:t>
            </w:r>
          </w:p>
        </w:tc>
        <w:tc>
          <w:tcPr>
            <w:tcW w:w="17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详见3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.1PCM综合接入设备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</w:tc>
        <w:tc>
          <w:tcPr>
            <w:tcW w:w="518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739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6" w:hRule="atLeast"/>
        </w:trPr>
        <w:tc>
          <w:tcPr>
            <w:tcW w:w="845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553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电话光端机</w:t>
            </w:r>
          </w:p>
        </w:tc>
        <w:tc>
          <w:tcPr>
            <w:tcW w:w="3082" w:type="dxa"/>
            <w:vAlign w:val="center"/>
          </w:tcPr>
          <w:p>
            <w:pPr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20路电话(RJ11)，单纤单模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0KM，FC光口，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一端双220V交流供电，一端双48V直流供电</w:t>
            </w:r>
            <w:bookmarkStart w:id="0" w:name="_GoBack"/>
            <w:bookmarkEnd w:id="0"/>
          </w:p>
        </w:tc>
        <w:tc>
          <w:tcPr>
            <w:tcW w:w="17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详见3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.2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</w:tc>
        <w:tc>
          <w:tcPr>
            <w:tcW w:w="518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39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对</w:t>
            </w:r>
          </w:p>
        </w:tc>
      </w:tr>
    </w:tbl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/>
          <w:bCs w:val="0"/>
          <w:sz w:val="32"/>
          <w:szCs w:val="32"/>
          <w:lang w:val="en-US" w:eastAsia="zh-CN"/>
        </w:rPr>
      </w:pPr>
      <w:r>
        <w:rPr>
          <w:rFonts w:hint="eastAsia" w:ascii="宋体" w:hAnsi="宋体"/>
          <w:bCs w:val="0"/>
          <w:sz w:val="32"/>
          <w:szCs w:val="32"/>
          <w:lang w:val="en-US" w:eastAsia="zh-CN"/>
        </w:rPr>
        <w:t>3 技术要求</w:t>
      </w:r>
    </w:p>
    <w:p>
      <w:pPr>
        <w:ind w:left="0" w:leftChars="0" w:firstLine="0" w:firstLineChars="0"/>
        <w:rPr>
          <w:rFonts w:hint="eastAsia" w:ascii="宋体" w:hAnsi="宋体" w:eastAsia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 w:val="0"/>
          <w:kern w:val="44"/>
          <w:sz w:val="32"/>
          <w:szCs w:val="32"/>
          <w:lang w:val="en-US" w:eastAsia="zh-CN" w:bidi="ar-SA"/>
        </w:rPr>
        <w:t>3.1</w:t>
      </w:r>
      <w:r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  <w:t xml:space="preserve"> </w:t>
      </w:r>
      <w:r>
        <w:rPr>
          <w:rFonts w:hint="eastAsia" w:ascii="宋体" w:hAnsi="宋体" w:eastAsia="宋体" w:cs="Times New Roman"/>
          <w:b/>
          <w:bCs w:val="0"/>
          <w:kern w:val="44"/>
          <w:sz w:val="32"/>
          <w:szCs w:val="32"/>
          <w:lang w:val="en-US" w:eastAsia="zh-CN" w:bidi="ar-SA"/>
        </w:rPr>
        <w:t>PCM综合接入设备</w:t>
      </w:r>
    </w:p>
    <w:p>
      <w:pPr>
        <w:ind w:left="0" w:leftChars="0" w:firstLine="0" w:firstLineChars="0"/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  <w:t>3.1.1 产品要求：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1) 主机为19英寸1U结构；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2) 基于自主知识产权的集成电路；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) 传输通道为E1接口，阻抗为75欧姆（BNC头）和120欧姆（RJ45头）；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) 语音口支持FXO口和FXS口，FXO口与程控交换机对接，FXS口与用户的电话机相连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0路电话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（FXS）+10路电话（FXO）共20路电话通道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；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) 支持各个站点的相互放号功能；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) E1接口符合G.703 建议，采用全数字化时钟恢复和平滑锁相技术；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8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) 能检测当E1信号丢失时为对端设备掉电或是E1不通，并通过指示灯指示告警； </w:t>
      </w:r>
    </w:p>
    <w:p>
      <w:pPr>
        <w:ind w:left="0" w:leftChars="0" w:firstLine="420" w:firstLineChars="0"/>
        <w:jc w:val="both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9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)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电话接口带防雷保护，防雷达到 GB/T17626.5(IEC61000-4-5)短路电流波 8/20μs， 开路峰值输出电压6KV标准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；</w:t>
      </w:r>
    </w:p>
    <w:p>
      <w:pPr>
        <w:ind w:left="0" w:leftChars="0" w:firstLine="420" w:firstLineChars="0"/>
        <w:jc w:val="both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10) 售后三年免费保修服务。</w:t>
      </w:r>
    </w:p>
    <w:p>
      <w:pPr>
        <w:ind w:left="0" w:leftChars="0" w:firstLine="0" w:firstLineChars="0"/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  <w:t>3.1.2 技术参数：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1） E1 接口规范：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接口电气特性：符合ITU-T G.703标准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接口转移特性：符合ITU-TG.823标准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接口抖动特性：符合ITU-T G.823标准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速率：传输口 2.048Mbps±50ppm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线路码型：HDB3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接口阻抗：75Ω/120Ω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接口类型：BNC（75Ω）、RJ45（120Ω）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输入口允许衰减：0～6dBm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2） FXO(FXS)电话接口规范：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话路特性：符合《邮电部电话交换设备总技术规范》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语音编码：PCM编码，每路语音64Kbps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交换口（FXO）：与交换机连接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二线交流输入阻抗：200+680//0.1 Ω (三元件)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振铃电压：35～150V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振铃频率：17～60HZ 回损：20 db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用户口（FXS）：与用户电话机连接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二线交流输入阻抗：200+680//0.1 Ω (三元件)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用户线环路电阻：小于1KΩ（包括话机）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振铃电压峰峰值：110～150V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振铃频率：22～28HZ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馈电电压：48V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回损：20 db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3）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数据接口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数据接口：RS-485/RS-232/RS-422/Manchester/TTL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数据格式：NRZ、Manchester、Bi-phase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速率：110bps-115.200Kbps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物理接口：RJ45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） 工作环境： 整机工作环境温度范围宽，能在恶劣环境下正常、稳定地工作。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工作温度：-10℃—+60℃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储存温度：-40℃—+85℃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工作湿度：0%—95%（无凝结）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MTBF：＞100,000小时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大气压力 70～106 kpa 无腐蚀性和溶剂性气体，无扬尘，无磁场干扰。</w:t>
      </w:r>
    </w:p>
    <w:p>
      <w:pPr>
        <w:ind w:left="0" w:leftChars="0" w:firstLine="0" w:firstLineChars="0"/>
        <w:jc w:val="both"/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 w:val="0"/>
          <w:kern w:val="44"/>
          <w:sz w:val="32"/>
          <w:szCs w:val="32"/>
          <w:lang w:val="en-US" w:eastAsia="zh-CN" w:bidi="ar-SA"/>
        </w:rPr>
        <w:t>3.</w:t>
      </w:r>
      <w:r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  <w:t>2 电话光端机</w:t>
      </w:r>
    </w:p>
    <w:p>
      <w:pPr>
        <w:ind w:left="0" w:leftChars="0" w:firstLine="0" w:firstLineChars="0"/>
        <w:jc w:val="both"/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  <w:t>3.2.1 产品要求：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1) 基于自主知识产权的集成电路；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2) 模块化宽动态光探测器； 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) 语音口支持FXO口和FXS口；</w:t>
      </w:r>
    </w:p>
    <w:p>
      <w:pPr>
        <w:ind w:left="0" w:leftChars="0" w:firstLine="420" w:firstLineChars="0"/>
        <w:jc w:val="both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) 多种电源方式可选：AC220V、DC-48V/DC24V等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；</w:t>
      </w:r>
    </w:p>
    <w:p>
      <w:pPr>
        <w:ind w:left="0" w:leftChars="0" w:firstLine="420" w:firstLineChars="0"/>
        <w:jc w:val="both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5) 售后三年免费保修服务。</w:t>
      </w:r>
    </w:p>
    <w:p>
      <w:pPr>
        <w:ind w:left="0" w:leftChars="0" w:firstLine="0" w:firstLineChars="0"/>
        <w:jc w:val="both"/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  <w:t>3.2.2 技术参数:</w:t>
      </w:r>
    </w:p>
    <w:p>
      <w:pPr>
        <w:ind w:left="0" w:leftChars="0" w:firstLine="420" w:firstLineChars="0"/>
        <w:jc w:val="both"/>
        <w:rPr>
          <w:rFonts w:hint="default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1）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FXS 用户电话口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：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振铃电压：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75V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振铃频率： 25HZ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二线输入阻抗： 600Ω(摘机)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回损： 40 dB</w:t>
      </w:r>
    </w:p>
    <w:p>
      <w:pPr>
        <w:ind w:left="0" w:leftChars="0" w:firstLine="420" w:firstLineChars="0"/>
        <w:jc w:val="both"/>
        <w:rPr>
          <w:rFonts w:hint="default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）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FXO 中继口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：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振铃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检测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电压：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35V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振铃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检测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频率：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17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HZ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-60HZ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二线输入阻抗： 600Ω(摘机)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回损： 40 dB</w:t>
      </w:r>
    </w:p>
    <w:p>
      <w:pPr>
        <w:ind w:left="0" w:leftChars="0" w:firstLine="420" w:firstLineChars="0"/>
        <w:jc w:val="both"/>
        <w:rPr>
          <w:rFonts w:hint="default" w:ascii="宋体" w:hAnsi="宋体" w:cs="Times New Roman"/>
          <w:b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）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工作环境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：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工作温度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： -10℃ - 60℃</w:t>
      </w:r>
    </w:p>
    <w:p>
      <w:pPr>
        <w:ind w:left="0" w:leftChars="0" w:firstLine="420" w:firstLineChars="0"/>
        <w:jc w:val="both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工作湿度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： 5% - 95% (无凝露)</w:t>
      </w:r>
    </w:p>
    <w:p>
      <w:pPr>
        <w:ind w:left="0" w:leftChars="0" w:firstLine="420" w:firstLineChars="0"/>
        <w:jc w:val="both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存储温度： -40 ℃ - 80℃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存储湿度： 5% - 95% (无凝露)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</w:t>
      </w: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ind w:left="0" w:leftChars="0" w:firstLine="420" w:firstLine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363FE0"/>
    <w:multiLevelType w:val="multilevel"/>
    <w:tmpl w:val="72363FE0"/>
    <w:lvl w:ilvl="0" w:tentative="0">
      <w:start w:val="1"/>
      <w:numFmt w:val="decimal"/>
      <w:pStyle w:val="2"/>
      <w:lvlText w:val="%1、"/>
      <w:lvlJc w:val="left"/>
      <w:pPr>
        <w:ind w:left="0" w:firstLine="0"/>
      </w:pPr>
      <w:rPr>
        <w:rFonts w:hint="eastAsia" w:ascii="宋体" w:hAnsi="宋体" w:eastAsia="宋体"/>
      </w:rPr>
    </w:lvl>
    <w:lvl w:ilvl="1" w:tentative="0">
      <w:start w:val="1"/>
      <w:numFmt w:val="decimal"/>
      <w:isLgl/>
      <w:lvlText w:val="%1.%2"/>
      <w:lvlJc w:val="left"/>
      <w:pPr>
        <w:ind w:left="0" w:firstLine="0"/>
      </w:pPr>
      <w:rPr>
        <w:rFonts w:hint="default" w:ascii="宋体" w:hAnsi="宋体" w:eastAsia="宋体"/>
      </w:rPr>
    </w:lvl>
    <w:lvl w:ilvl="2" w:tentative="0">
      <w:start w:val="1"/>
      <w:numFmt w:val="decimal"/>
      <w:isLgl/>
      <w:lvlText w:val="%1.%2.%3"/>
      <w:lvlJc w:val="left"/>
      <w:pPr>
        <w:ind w:left="0" w:firstLine="0"/>
      </w:pPr>
      <w:rPr>
        <w:rFonts w:hint="default" w:ascii="等线 Light" w:hAnsi="等线 Light" w:eastAsia="等线 Light"/>
      </w:rPr>
    </w:lvl>
    <w:lvl w:ilvl="3" w:tentative="0">
      <w:start w:val="1"/>
      <w:numFmt w:val="decimal"/>
      <w:isLgl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ind w:left="0" w:firstLine="0"/>
      </w:pPr>
      <w:rPr>
        <w:rFonts w:ascii="宋体" w:hAnsi="宋体" w:eastAsia="宋体" w:cs="Times New Roman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shd w:val="clear" w:color="000000" w:fill="000000"/>
        <w:vertAlign w:val="baseline"/>
        <w:lang w:val="zh-CN" w:eastAsia="zh-CN" w:bidi="zh-CN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5" w:tentative="0">
      <w:start w:val="1"/>
      <w:numFmt w:val="decimal"/>
      <w:isLgl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75046B"/>
    <w:rsid w:val="0CF44196"/>
    <w:rsid w:val="33405DB0"/>
    <w:rsid w:val="3A75046B"/>
    <w:rsid w:val="58033BA6"/>
    <w:rsid w:val="6C9C519E"/>
    <w:rsid w:val="7212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numPr>
        <w:ilvl w:val="0"/>
        <w:numId w:val="1"/>
      </w:numPr>
      <w:spacing w:line="360" w:lineRule="auto"/>
      <w:outlineLvl w:val="0"/>
    </w:pPr>
    <w:rPr>
      <w:rFonts w:ascii="Calibri" w:hAnsi="Calibri" w:eastAsia="宋体" w:cs="Times New Roman"/>
      <w:b/>
      <w:bCs/>
      <w:kern w:val="44"/>
      <w:sz w:val="36"/>
      <w:szCs w:val="4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2024-05-17T01:43:00Z</dcterms:created>
  <dc:creator>刘立同</dc:creator>
  <cp:lastModifiedBy>刘立同</cp:lastModifiedBy>
  <dcterms:modified xsi:type="dcterms:W3CDTF">2024-05-28T04:03:11Z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F413A35C245748F6A6E4E85EAC87ED11</vt:lpwstr>
  </property>
</Properties>
</file>