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柳州供电局柳东新区电力应急抢修维护中心、</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柳州供电局输电所技术业务用房测绘服务</w:t>
      </w:r>
    </w:p>
    <w:p>
      <w:pPr>
        <w:pStyle w:val="2"/>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1.柳州柳东供电分局本部技术业务用房项目(柳东新区电力应急抢修维护中心)：柳州市柳东新区职教园片区文苑路与环山路交叉口西北面</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lang w:eastAsia="zh-CN"/>
        </w:rPr>
      </w:pPr>
      <w:r>
        <w:rPr>
          <w:rFonts w:hint="eastAsia" w:ascii="仿宋_GB2312" w:hAnsi="仿宋_GB2312" w:eastAsia="仿宋_GB2312" w:cs="仿宋_GB2312"/>
          <w:sz w:val="32"/>
          <w:szCs w:val="32"/>
          <w:lang w:val="en-US" w:eastAsia="zh-CN"/>
        </w:rPr>
        <w:t>2.柳州供电局输电所技术业务用房：</w:t>
      </w:r>
      <w:r>
        <w:rPr>
          <w:rFonts w:hint="eastAsia" w:ascii="仿宋_GB2312" w:hAnsi="仿宋_GB2312" w:eastAsia="仿宋_GB2312" w:cs="仿宋_GB2312"/>
          <w:sz w:val="32"/>
          <w:szCs w:val="32"/>
          <w:lang w:eastAsia="zh-CN"/>
        </w:rPr>
        <w:t>广西柳州市</w:t>
      </w:r>
      <w:r>
        <w:rPr>
          <w:rFonts w:hint="eastAsia" w:ascii="仿宋_GB2312" w:hAnsi="仿宋_GB2312" w:eastAsia="仿宋_GB2312" w:cs="仿宋_GB2312"/>
          <w:sz w:val="32"/>
          <w:szCs w:val="32"/>
          <w:lang w:val="en-US" w:eastAsia="zh-CN"/>
        </w:rPr>
        <w:t>城中区。</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二、服务内容</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本工程测绘</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rPr>
        <w:t>旨在收集和处理关于工程项目的地理信息数据，以确保项目的设计、施工和管理过程中能够准确、全面地了解工程区域的地形、地貌、地质及其他相关要素。测绘工作将为工程提供基础数据支持，有助于保证项目的顺利进行和最终完成质量。测绘工作将覆盖多个关键领域，包括但不限于建筑物和基础设施分布等。</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1.测绘要求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精度要求：测绘工作应遵循国家和行业相关标准，确保测绘数据的准确性和可靠性。对于关键区域的测绘，应适当提高精度要求，以满足工程设计和施工的需要</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数据处理：测绘数据应及时整理、分析和处理，确保数据的有效性和可用性。处理过程中应遵循相关规范和标准，确保数据的完整性和一致性</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）提交成果：测绘完成后，应提交详细的测绘报告、图纸和数据文件，包括电子和纸质版本</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分析计算</w:t>
      </w:r>
      <w:r>
        <w:rPr>
          <w:rFonts w:hint="eastAsia" w:ascii="仿宋_GB2312" w:hAnsi="仿宋_GB2312" w:eastAsia="仿宋_GB2312" w:cs="仿宋_GB2312"/>
          <w:color w:val="auto"/>
          <w:sz w:val="32"/>
          <w:szCs w:val="32"/>
          <w:highlight w:val="none"/>
          <w:lang w:val="en-US" w:eastAsia="zh-CN"/>
        </w:rPr>
        <w:t>工作量费用要求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）按国家标准</w:t>
      </w:r>
      <w:r>
        <w:rPr>
          <w:rFonts w:hint="eastAsia" w:ascii="仿宋_GB2312" w:hAnsi="仿宋_GB2312" w:eastAsia="仿宋_GB2312" w:cs="仿宋_GB2312"/>
          <w:color w:val="auto"/>
          <w:sz w:val="32"/>
          <w:szCs w:val="32"/>
          <w:highlight w:val="none"/>
          <w:lang w:val="en-US" w:eastAsia="zh-CN"/>
        </w:rPr>
        <w:t>《测绘生产成本费用定额》（财建[2009]17号）计算费用</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（二）时间安排</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（三）保密要求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1.在中华人民共和国境内注册，持有合法有效的法人证书（或法人身份证明文件）。</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bookmarkStart w:id="0" w:name="_GoBack"/>
      <w:bookmarkEnd w:id="0"/>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本项目经验收合格后结算，结算金额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报告，确保</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lang w:eastAsia="zh-CN"/>
        </w:rPr>
        <w:t>办理</w:t>
      </w:r>
      <w:r>
        <w:rPr>
          <w:rFonts w:hint="eastAsia" w:ascii="仿宋_GB2312" w:hAnsi="仿宋_GB2312" w:eastAsia="仿宋_GB2312" w:cs="仿宋_GB2312"/>
          <w:sz w:val="32"/>
          <w:szCs w:val="32"/>
          <w:lang w:val="en-US" w:eastAsia="zh-CN"/>
        </w:rPr>
        <w:t>合规性手续时能够满足</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政府相关部门的要求</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12个月，其中每项测绘并出具满足政府相关部门认可的成果及报告的期限为发包人通知承包方进场之日起30日内完成。本合同服务期满时，发包方尚未确定下一年度工程测绘服务承包方的,经双方协商同意可延长本合同服务期限，但延期服务最长不得超过6个月。</w:t>
      </w:r>
    </w:p>
    <w:p>
      <w:pPr>
        <w:pStyle w:val="2"/>
        <w:ind w:left="0" w:leftChars="0" w:firstLine="0" w:firstLineChars="0"/>
        <w:rPr>
          <w:rFonts w:hint="eastAsia" w:eastAsiaTheme="minorEastAsia"/>
          <w:lang w:val="en-US" w:eastAsia="zh-CN"/>
        </w:rPr>
      </w:pPr>
      <w:r>
        <w:rPr>
          <w:rFonts w:hint="eastAsia"/>
          <w:lang w:val="en-US" w:eastAsia="zh-CN"/>
        </w:rPr>
        <w:t xml:space="preserve">   </w:t>
      </w:r>
      <w:r>
        <w:rPr>
          <w:rFonts w:hint="eastAsia" w:asciiTheme="minorEastAsia" w:hAnsiTheme="minorEastAsia" w:eastAsiaTheme="minorEastAsia" w:cstheme="minorEastAsia"/>
          <w:b/>
          <w:bCs/>
          <w:kern w:val="2"/>
          <w:sz w:val="32"/>
          <w:szCs w:val="32"/>
          <w:lang w:val="en-US" w:eastAsia="zh-CN" w:bidi="ar-SA"/>
        </w:rPr>
        <w:t xml:space="preserve"> 七、推荐原则：</w:t>
      </w:r>
      <w:r>
        <w:rPr>
          <w:rFonts w:hint="eastAsia" w:ascii="仿宋_GB2312" w:hAnsi="仿宋_GB2312" w:eastAsia="仿宋_GB2312" w:cs="仿宋_GB2312"/>
          <w:color w:val="auto"/>
          <w:sz w:val="32"/>
          <w:szCs w:val="32"/>
          <w:lang w:val="en-US" w:eastAsia="zh-CN"/>
        </w:rPr>
        <w:t>推荐报价在限价以内的最低价供应商（同等报价时，资质等级高的供应商优先）成交。</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2.项目工程数量（附后）</w:t>
      </w:r>
    </w:p>
    <w:p>
      <w:pPr>
        <w:pStyle w:val="2"/>
        <w:ind w:left="0" w:leftChars="0" w:firstLine="0" w:firstLineChars="0"/>
        <w:rPr>
          <w:rFonts w:hint="eastAsia" w:ascii="仿宋_GB2312" w:hAnsi="仿宋_GB2312" w:eastAsia="仿宋_GB2312" w:cs="仿宋_GB2312"/>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80" w:lineRule="exact"/>
        <w:ind w:right="0" w:rightChars="0"/>
        <w:jc w:val="both"/>
        <w:textAlignment w:val="auto"/>
        <w:outlineLvl w:val="9"/>
        <w:rPr>
          <w:rFonts w:hint="eastAsia" w:ascii="仿宋_GB2312" w:hAnsi="仿宋_GB2312" w:eastAsia="仿宋_GB2312" w:cs="仿宋_GB2312"/>
          <w:kern w:val="2"/>
          <w:sz w:val="32"/>
          <w:szCs w:val="32"/>
          <w:lang w:val="en-US" w:eastAsia="zh-CN" w:bidi="ar-SA"/>
        </w:rPr>
      </w:pPr>
    </w:p>
    <w:p>
      <w:pPr>
        <w:pStyle w:val="2"/>
        <w:ind w:left="0" w:leftChars="0" w:firstLine="0" w:firstLineChars="0"/>
        <w:rPr>
          <w:rFonts w:hint="eastAsia" w:ascii="仿宋_GB2312" w:hAnsi="仿宋_GB2312" w:eastAsia="仿宋_GB2312" w:cs="仿宋_GB2312"/>
          <w:kern w:val="2"/>
          <w:sz w:val="32"/>
          <w:szCs w:val="32"/>
          <w:lang w:val="en-US" w:eastAsia="zh-CN" w:bidi="ar-SA"/>
        </w:rPr>
      </w:pPr>
    </w:p>
    <w:p>
      <w:pPr>
        <w:keepNext w:val="0"/>
        <w:keepLines w:val="0"/>
        <w:pageBreakBefore w:val="0"/>
        <w:widowControl/>
        <w:kinsoku/>
        <w:wordWrap/>
        <w:overflowPunct/>
        <w:topLinePunct w:val="0"/>
        <w:autoSpaceDE/>
        <w:autoSpaceDN/>
        <w:bidi w:val="0"/>
        <w:spacing w:line="560" w:lineRule="exact"/>
        <w:ind w:firstLine="640" w:firstLineChars="200"/>
        <w:jc w:val="righ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广西电网有限责任公司柳州供电局</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default" w:ascii="仿宋_GB2312" w:hAnsi="仿宋_GB2312" w:eastAsia="仿宋_GB2312" w:cs="仿宋_GB2312"/>
          <w:sz w:val="32"/>
          <w:szCs w:val="32"/>
          <w:u w:val="none"/>
          <w:lang w:val="en-US" w:eastAsia="zh-CN"/>
        </w:rPr>
      </w:pPr>
      <w:r>
        <w:rPr>
          <w:rFonts w:hint="default" w:ascii="仿宋_GB2312" w:hAnsi="仿宋_GB2312" w:eastAsia="仿宋_GB2312" w:cs="仿宋_GB2312"/>
          <w:sz w:val="32"/>
          <w:szCs w:val="32"/>
          <w:u w:val="none"/>
          <w:lang w:val="en-US" w:eastAsia="zh-CN"/>
        </w:rPr>
        <w:t>建设管理部</w:t>
      </w:r>
      <w:r>
        <w:rPr>
          <w:rFonts w:hint="eastAsia" w:ascii="仿宋_GB2312" w:hAnsi="仿宋_GB2312" w:eastAsia="仿宋_GB2312" w:cs="仿宋_GB2312"/>
          <w:sz w:val="32"/>
          <w:szCs w:val="32"/>
          <w:u w:val="none"/>
          <w:lang w:val="en-US" w:eastAsia="zh-CN"/>
        </w:rPr>
        <w:t xml:space="preserve">         </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default"/>
          <w:lang w:val="en-US" w:eastAsia="zh-CN"/>
        </w:rPr>
      </w:pPr>
      <w:r>
        <w:rPr>
          <w:rFonts w:hint="eastAsia" w:ascii="仿宋_GB2312" w:hAnsi="仿宋_GB2312" w:eastAsia="仿宋_GB2312" w:cs="仿宋_GB2312"/>
          <w:sz w:val="32"/>
          <w:szCs w:val="32"/>
          <w:u w:val="none"/>
          <w:lang w:val="en-US" w:eastAsia="zh-CN"/>
        </w:rPr>
        <w:t xml:space="preserve">2024年5月11日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eastAsia="zh-CN"/>
        </w:rPr>
      </w:pPr>
    </w:p>
    <w:p>
      <w:pPr>
        <w:rPr>
          <w:rFonts w:hint="eastAsia"/>
          <w:lang w:eastAsia="zh-CN"/>
        </w:rPr>
      </w:pPr>
    </w:p>
    <w:p>
      <w:pPr>
        <w:rPr>
          <w:rFonts w:hint="eastAsia"/>
          <w:lang w:eastAsia="zh-CN"/>
        </w:rPr>
      </w:pPr>
      <w:r>
        <w:rPr>
          <w:rFonts w:hint="eastAsia"/>
          <w:lang w:eastAsia="zh-CN"/>
        </w:rPr>
        <w:br w:type="page"/>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5"/>
        <w:tblW w:w="108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8"/>
        <w:gridCol w:w="2971"/>
        <w:gridCol w:w="1927"/>
        <w:gridCol w:w="1902"/>
        <w:gridCol w:w="3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1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建设用地面积</w:t>
            </w:r>
          </w:p>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u w:val="none"/>
                <w:lang w:val="en-US" w:eastAsia="zh-CN" w:bidi="ar"/>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建筑面积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3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b/>
                <w:bCs/>
                <w:sz w:val="24"/>
                <w:szCs w:val="24"/>
                <w:lang w:val="en-US" w:eastAsia="zh-CN"/>
              </w:rPr>
              <w:t>建设地点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48" w:hRule="atLeast"/>
          <w:jc w:val="center"/>
        </w:trPr>
        <w:tc>
          <w:tcPr>
            <w:tcW w:w="828"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2971"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lang w:eastAsia="zh-CN"/>
              </w:rPr>
            </w:pPr>
            <w:r>
              <w:rPr>
                <w:rFonts w:hint="eastAsia" w:asciiTheme="minorEastAsia" w:hAnsiTheme="minorEastAsia" w:cstheme="minorEastAsia"/>
                <w:i w:val="0"/>
                <w:color w:val="auto"/>
                <w:sz w:val="24"/>
                <w:szCs w:val="24"/>
                <w:highlight w:val="none"/>
                <w:u w:val="none"/>
                <w:lang w:eastAsia="zh-CN"/>
              </w:rPr>
              <w:t>柳州柳东供电分局本部技术业务用房项目(柳东新区电力应急抢修维护中心)</w:t>
            </w:r>
          </w:p>
        </w:tc>
        <w:tc>
          <w:tcPr>
            <w:tcW w:w="1927"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6666.98</w:t>
            </w:r>
          </w:p>
        </w:tc>
        <w:tc>
          <w:tcPr>
            <w:tcW w:w="190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6343</w:t>
            </w:r>
          </w:p>
        </w:tc>
        <w:tc>
          <w:tcPr>
            <w:tcW w:w="3190"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柳州市柳东新区职教园东面大岭山南侧110kV创业变电站旁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48" w:hRule="atLeast"/>
          <w:jc w:val="center"/>
        </w:trPr>
        <w:tc>
          <w:tcPr>
            <w:tcW w:w="828"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cstheme="minorEastAsia"/>
                <w:i w:val="0"/>
                <w:color w:val="auto"/>
                <w:sz w:val="24"/>
                <w:szCs w:val="24"/>
                <w:highlight w:val="none"/>
                <w:u w:val="none"/>
                <w:lang w:val="en-US" w:eastAsia="zh-CN"/>
              </w:rPr>
            </w:pPr>
            <w:r>
              <w:rPr>
                <w:rFonts w:hint="eastAsia" w:asciiTheme="minorEastAsia" w:hAnsiTheme="minorEastAsia" w:cstheme="minorEastAsia"/>
                <w:i w:val="0"/>
                <w:color w:val="auto"/>
                <w:sz w:val="24"/>
                <w:szCs w:val="24"/>
                <w:highlight w:val="none"/>
                <w:u w:val="none"/>
                <w:lang w:val="en-US" w:eastAsia="zh-CN"/>
              </w:rPr>
              <w:t>2</w:t>
            </w:r>
          </w:p>
        </w:tc>
        <w:tc>
          <w:tcPr>
            <w:tcW w:w="2971"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i w:val="0"/>
                <w:color w:val="auto"/>
                <w:sz w:val="24"/>
                <w:szCs w:val="24"/>
                <w:highlight w:val="none"/>
                <w:u w:val="none"/>
                <w:lang w:eastAsia="zh-CN"/>
              </w:rPr>
            </w:pPr>
            <w:r>
              <w:rPr>
                <w:rFonts w:hint="eastAsia" w:asciiTheme="minorEastAsia" w:hAnsiTheme="minorEastAsia" w:eastAsiaTheme="minorEastAsia" w:cstheme="minorEastAsia"/>
                <w:i w:val="0"/>
                <w:color w:val="auto"/>
                <w:sz w:val="24"/>
                <w:szCs w:val="24"/>
                <w:highlight w:val="none"/>
                <w:u w:val="none"/>
                <w:lang w:eastAsia="zh-CN"/>
              </w:rPr>
              <w:t>柳州</w:t>
            </w:r>
            <w:r>
              <w:rPr>
                <w:rFonts w:hint="eastAsia" w:asciiTheme="minorEastAsia" w:hAnsiTheme="minorEastAsia" w:cstheme="minorEastAsia"/>
                <w:i w:val="0"/>
                <w:color w:val="auto"/>
                <w:sz w:val="24"/>
                <w:szCs w:val="24"/>
                <w:highlight w:val="none"/>
                <w:u w:val="none"/>
                <w:lang w:val="en-US" w:eastAsia="zh-CN"/>
              </w:rPr>
              <w:t>供电局</w:t>
            </w:r>
            <w:r>
              <w:rPr>
                <w:rFonts w:hint="eastAsia" w:asciiTheme="minorEastAsia" w:hAnsiTheme="minorEastAsia" w:eastAsiaTheme="minorEastAsia" w:cstheme="minorEastAsia"/>
                <w:i w:val="0"/>
                <w:color w:val="auto"/>
                <w:sz w:val="24"/>
                <w:szCs w:val="24"/>
                <w:highlight w:val="none"/>
                <w:u w:val="none"/>
                <w:lang w:eastAsia="zh-CN"/>
              </w:rPr>
              <w:t>输电所技术业务用房</w:t>
            </w:r>
          </w:p>
        </w:tc>
        <w:tc>
          <w:tcPr>
            <w:tcW w:w="1927"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20679.66</w:t>
            </w:r>
          </w:p>
        </w:tc>
        <w:tc>
          <w:tcPr>
            <w:tcW w:w="190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8089.4</w:t>
            </w:r>
          </w:p>
        </w:tc>
        <w:tc>
          <w:tcPr>
            <w:tcW w:w="3190"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广西柳州市城中区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37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1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27346.64</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14432.4</w:t>
            </w:r>
          </w:p>
        </w:tc>
        <w:tc>
          <w:tcPr>
            <w:tcW w:w="31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108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left"/>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备注：面积以实际测绘面积为准。</w:t>
            </w:r>
          </w:p>
        </w:tc>
      </w:tr>
    </w:tbl>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sectPr>
          <w:footerReference r:id="rId3" w:type="default"/>
          <w:pgSz w:w="11906" w:h="16838"/>
          <w:pgMar w:top="1417" w:right="1417" w:bottom="1417" w:left="1417" w:header="851" w:footer="992" w:gutter="0"/>
          <w:pgNumType w:fmt="decimal"/>
          <w:cols w:space="0" w:num="1"/>
          <w:rtlGutter w:val="0"/>
          <w:docGrid w:type="lines" w:linePitch="312" w:charSpace="0"/>
        </w:sect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r>
        <w:rPr>
          <w:rFonts w:hint="eastAsia" w:ascii="仿宋_GB2312" w:hAnsi="仿宋_GB2312" w:eastAsia="仿宋_GB2312" w:cs="仿宋_GB2312"/>
          <w:i w:val="0"/>
          <w:color w:val="000000"/>
          <w:kern w:val="0"/>
          <w:sz w:val="32"/>
          <w:szCs w:val="32"/>
          <w:u w:val="none"/>
          <w:lang w:val="en-US" w:eastAsia="zh-CN" w:bidi="ar"/>
        </w:rPr>
        <w:t>附件2</w:t>
      </w:r>
    </w:p>
    <w:tbl>
      <w:tblPr>
        <w:tblStyle w:val="5"/>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9"/>
        <w:gridCol w:w="341"/>
        <w:gridCol w:w="2804"/>
        <w:gridCol w:w="2331"/>
        <w:gridCol w:w="4650"/>
        <w:gridCol w:w="2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1374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rPr>
              <w:t>项目工程数量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1374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10"/>
                <w:lang w:val="en-US" w:eastAsia="zh-CN" w:bidi="ar"/>
              </w:rPr>
              <w:t>项目名称</w:t>
            </w:r>
            <w:r>
              <w:rPr>
                <w:rStyle w:val="11"/>
                <w:lang w:val="en-US" w:eastAsia="zh-CN" w:bidi="ar"/>
              </w:rPr>
              <w:t>：</w:t>
            </w:r>
            <w:r>
              <w:rPr>
                <w:rFonts w:hint="eastAsia" w:ascii="宋体" w:hAnsi="宋体" w:eastAsia="宋体" w:cs="宋体"/>
                <w:b/>
                <w:bCs/>
                <w:i w:val="0"/>
                <w:iCs w:val="0"/>
                <w:color w:val="000000"/>
                <w:sz w:val="24"/>
                <w:szCs w:val="24"/>
                <w:u w:val="none"/>
                <w:lang w:val="en-US" w:eastAsia="zh-CN"/>
              </w:rPr>
              <w:t>柳州供电局柳东新区电力应急抢修维护中心、柳州供电局输电所技术业务用房测绘服务项目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39" w:type="dxa"/>
            <w:tcBorders>
              <w:top w:val="single" w:color="000000"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145" w:type="dxa"/>
            <w:gridSpan w:val="2"/>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测绘项目</w:t>
            </w:r>
          </w:p>
        </w:tc>
        <w:tc>
          <w:tcPr>
            <w:tcW w:w="233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新宋体" w:hAnsi="新宋体" w:eastAsia="新宋体" w:cs="新宋体"/>
                <w:b/>
                <w:bCs/>
                <w:i w:val="0"/>
                <w:iCs w:val="0"/>
                <w:color w:val="000000"/>
                <w:sz w:val="28"/>
                <w:szCs w:val="28"/>
                <w:u w:val="none"/>
              </w:rPr>
            </w:pPr>
            <w:r>
              <w:rPr>
                <w:rFonts w:hint="eastAsia" w:ascii="新宋体" w:hAnsi="新宋体" w:eastAsia="新宋体" w:cs="新宋体"/>
                <w:b/>
                <w:bCs/>
                <w:i w:val="0"/>
                <w:iCs w:val="0"/>
                <w:color w:val="000000"/>
                <w:kern w:val="0"/>
                <w:sz w:val="28"/>
                <w:szCs w:val="28"/>
                <w:u w:val="none"/>
                <w:lang w:val="en-US" w:eastAsia="zh-CN" w:bidi="ar"/>
              </w:rPr>
              <w:t>单位</w:t>
            </w:r>
          </w:p>
        </w:tc>
        <w:tc>
          <w:tcPr>
            <w:tcW w:w="4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工程数量</w:t>
            </w:r>
          </w:p>
        </w:tc>
        <w:tc>
          <w:tcPr>
            <w:tcW w:w="28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739"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w:t>
            </w:r>
          </w:p>
        </w:tc>
        <w:tc>
          <w:tcPr>
            <w:tcW w:w="3145" w:type="dxa"/>
            <w:gridSpan w:val="2"/>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出入道口1：500图测绘</w:t>
            </w:r>
          </w:p>
        </w:tc>
        <w:tc>
          <w:tcPr>
            <w:tcW w:w="233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幅（62500m²）</w:t>
            </w:r>
          </w:p>
        </w:tc>
        <w:tc>
          <w:tcPr>
            <w:tcW w:w="4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73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2</w:t>
            </w:r>
          </w:p>
        </w:tc>
        <w:tc>
          <w:tcPr>
            <w:tcW w:w="3145"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建筑物放线</w:t>
            </w:r>
          </w:p>
        </w:tc>
        <w:tc>
          <w:tcPr>
            <w:tcW w:w="2331"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件</w:t>
            </w:r>
            <w:r>
              <w:rPr>
                <w:rFonts w:hint="eastAsia" w:ascii="宋体" w:hAnsi="宋体" w:eastAsia="宋体" w:cs="宋体"/>
                <w:i w:val="0"/>
                <w:iCs w:val="0"/>
                <w:color w:val="000000"/>
                <w:kern w:val="0"/>
                <w:sz w:val="24"/>
                <w:szCs w:val="24"/>
                <w:u w:val="none"/>
                <w:lang w:val="en-US" w:eastAsia="zh-CN" w:bidi="ar"/>
              </w:rPr>
              <w:t>（4点）</w:t>
            </w:r>
          </w:p>
        </w:tc>
        <w:tc>
          <w:tcPr>
            <w:tcW w:w="4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eastAsiaTheme="minorEastAsia"/>
                <w:lang w:val="en-US" w:eastAsia="zh-CN"/>
              </w:rPr>
            </w:pPr>
            <w:r>
              <w:rPr>
                <w:rFonts w:hint="eastAsia"/>
                <w:lang w:val="en-US" w:eastAsia="zh-CN"/>
              </w:rPr>
              <w:t>约12</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26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1.本项目经验收合格后结算，结算金额按成交金额。</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2.总价报价低于或等于最高限价的为有效报价。总价报价低于最高限价的80%，必须在报价文件中附成本分析报告，成本分析报告需充分说明总价费用的组成、降低成本的合理措施及在其他项目中应用过的经验，否则视为实质上不响应采购文件要求，作否决处理。响应报价供应商须对报价明细中所有项进行报价，报价不完整的，视为实质上不响应采购文件要求，作否决处理。</w:t>
            </w:r>
            <w:r>
              <w:rPr>
                <w:rFonts w:hint="eastAsia" w:ascii="宋体" w:hAnsi="宋体" w:eastAsia="宋体" w:cs="宋体"/>
                <w:i w:val="0"/>
                <w:iCs w:val="0"/>
                <w:color w:val="000000"/>
                <w:sz w:val="24"/>
                <w:szCs w:val="24"/>
                <w:u w:val="none"/>
              </w:rPr>
              <w:t xml:space="preserve"> </w:t>
            </w:r>
          </w:p>
        </w:tc>
      </w:tr>
    </w:tbl>
    <w:p>
      <w:pPr>
        <w:keepNext w:val="0"/>
        <w:keepLines w:val="0"/>
        <w:widowControl/>
        <w:suppressLineNumbers w:val="0"/>
        <w:jc w:val="both"/>
        <w:textAlignment w:val="center"/>
        <w:rPr>
          <w:rFonts w:hint="eastAsia" w:asciiTheme="minorEastAsia" w:hAnsiTheme="minorEastAsia" w:eastAsiaTheme="minorEastAsia" w:cstheme="minorEastAsia"/>
          <w:b/>
          <w:bCs/>
          <w:sz w:val="32"/>
          <w:szCs w:val="32"/>
          <w:lang w:val="en-US" w:eastAsia="zh-CN"/>
        </w:rPr>
      </w:pPr>
    </w:p>
    <w:sectPr>
      <w:footerReference r:id="rId4" w:type="default"/>
      <w:pgSz w:w="16838" w:h="11906" w:orient="landscape"/>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AF20EC"/>
    <w:multiLevelType w:val="singleLevel"/>
    <w:tmpl w:val="5CAF20EC"/>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541FBE"/>
    <w:rsid w:val="01F000C2"/>
    <w:rsid w:val="02444CF6"/>
    <w:rsid w:val="04E83F46"/>
    <w:rsid w:val="06581593"/>
    <w:rsid w:val="0662222F"/>
    <w:rsid w:val="08F27B0E"/>
    <w:rsid w:val="0A1D552E"/>
    <w:rsid w:val="0A384CB8"/>
    <w:rsid w:val="0C86159B"/>
    <w:rsid w:val="0CC25B7D"/>
    <w:rsid w:val="0D584ACF"/>
    <w:rsid w:val="0FB171C2"/>
    <w:rsid w:val="11CE228F"/>
    <w:rsid w:val="11CF6ED7"/>
    <w:rsid w:val="12404300"/>
    <w:rsid w:val="12BA0AA4"/>
    <w:rsid w:val="130948BA"/>
    <w:rsid w:val="13180760"/>
    <w:rsid w:val="13F2560A"/>
    <w:rsid w:val="15BA3E8A"/>
    <w:rsid w:val="175879D2"/>
    <w:rsid w:val="180D3B06"/>
    <w:rsid w:val="19CC2E41"/>
    <w:rsid w:val="1DD94CE5"/>
    <w:rsid w:val="1F0775E7"/>
    <w:rsid w:val="219C4C32"/>
    <w:rsid w:val="21D544E9"/>
    <w:rsid w:val="225536FF"/>
    <w:rsid w:val="22E1627D"/>
    <w:rsid w:val="23A70CF1"/>
    <w:rsid w:val="23AE267F"/>
    <w:rsid w:val="25B46002"/>
    <w:rsid w:val="27D949B4"/>
    <w:rsid w:val="2927562A"/>
    <w:rsid w:val="293E359A"/>
    <w:rsid w:val="2B3A578B"/>
    <w:rsid w:val="2D540410"/>
    <w:rsid w:val="2E1A39AF"/>
    <w:rsid w:val="2EE517C3"/>
    <w:rsid w:val="2F7B2B74"/>
    <w:rsid w:val="2FC15B49"/>
    <w:rsid w:val="337B0E24"/>
    <w:rsid w:val="33A51F6D"/>
    <w:rsid w:val="3617436C"/>
    <w:rsid w:val="36765518"/>
    <w:rsid w:val="39481744"/>
    <w:rsid w:val="3BE23CDB"/>
    <w:rsid w:val="3DA4264D"/>
    <w:rsid w:val="400B0281"/>
    <w:rsid w:val="400C3A16"/>
    <w:rsid w:val="40402F89"/>
    <w:rsid w:val="40947E84"/>
    <w:rsid w:val="43434035"/>
    <w:rsid w:val="442C42FE"/>
    <w:rsid w:val="44D17C07"/>
    <w:rsid w:val="45531374"/>
    <w:rsid w:val="45562AD0"/>
    <w:rsid w:val="46317111"/>
    <w:rsid w:val="464177E7"/>
    <w:rsid w:val="46B762E4"/>
    <w:rsid w:val="471D6B6F"/>
    <w:rsid w:val="47F47C6B"/>
    <w:rsid w:val="47F636DE"/>
    <w:rsid w:val="48A51C70"/>
    <w:rsid w:val="495A215D"/>
    <w:rsid w:val="49B92007"/>
    <w:rsid w:val="4B765137"/>
    <w:rsid w:val="4BE44573"/>
    <w:rsid w:val="4C160A98"/>
    <w:rsid w:val="4FF65F63"/>
    <w:rsid w:val="507C7C3B"/>
    <w:rsid w:val="51A15012"/>
    <w:rsid w:val="51DB3858"/>
    <w:rsid w:val="523F747B"/>
    <w:rsid w:val="533F5735"/>
    <w:rsid w:val="53D041C3"/>
    <w:rsid w:val="53E353C9"/>
    <w:rsid w:val="558B766D"/>
    <w:rsid w:val="55BF52D8"/>
    <w:rsid w:val="5670465C"/>
    <w:rsid w:val="574008F6"/>
    <w:rsid w:val="574D0C87"/>
    <w:rsid w:val="585E076F"/>
    <w:rsid w:val="59AA1D84"/>
    <w:rsid w:val="5A900A3F"/>
    <w:rsid w:val="5AA41AF2"/>
    <w:rsid w:val="5AF328FD"/>
    <w:rsid w:val="5B632BF1"/>
    <w:rsid w:val="5BBC79FA"/>
    <w:rsid w:val="5DAB49FC"/>
    <w:rsid w:val="5FAB1742"/>
    <w:rsid w:val="60E02B13"/>
    <w:rsid w:val="62827D35"/>
    <w:rsid w:val="64F1211D"/>
    <w:rsid w:val="65807724"/>
    <w:rsid w:val="66657416"/>
    <w:rsid w:val="67B63CB1"/>
    <w:rsid w:val="67F97B21"/>
    <w:rsid w:val="68572FB1"/>
    <w:rsid w:val="696B10DA"/>
    <w:rsid w:val="6B112A65"/>
    <w:rsid w:val="6BBB4773"/>
    <w:rsid w:val="6BD562DD"/>
    <w:rsid w:val="6C650845"/>
    <w:rsid w:val="6E683DE6"/>
    <w:rsid w:val="6EA31B50"/>
    <w:rsid w:val="71897F94"/>
    <w:rsid w:val="72AE77BD"/>
    <w:rsid w:val="72B526A3"/>
    <w:rsid w:val="7376296B"/>
    <w:rsid w:val="745836B3"/>
    <w:rsid w:val="7548251D"/>
    <w:rsid w:val="75830E69"/>
    <w:rsid w:val="75C76AE3"/>
    <w:rsid w:val="76AC2042"/>
    <w:rsid w:val="76C769A3"/>
    <w:rsid w:val="76EA4830"/>
    <w:rsid w:val="76EB1424"/>
    <w:rsid w:val="776303B9"/>
    <w:rsid w:val="79EA1A55"/>
    <w:rsid w:val="7C942BE9"/>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1"/>
    <w:basedOn w:val="1"/>
    <w:qFormat/>
    <w:uiPriority w:val="34"/>
    <w:pPr>
      <w:ind w:firstLine="420" w:firstLineChars="200"/>
    </w:pPr>
  </w:style>
  <w:style w:type="character" w:customStyle="1" w:styleId="9">
    <w:name w:val="font01"/>
    <w:basedOn w:val="7"/>
    <w:qFormat/>
    <w:uiPriority w:val="0"/>
    <w:rPr>
      <w:rFonts w:hint="eastAsia" w:ascii="宋体" w:hAnsi="宋体" w:eastAsia="宋体" w:cs="宋体"/>
      <w:color w:val="000000"/>
      <w:sz w:val="20"/>
      <w:szCs w:val="20"/>
      <w:u w:val="none"/>
    </w:rPr>
  </w:style>
  <w:style w:type="character" w:customStyle="1" w:styleId="10">
    <w:name w:val="font31"/>
    <w:basedOn w:val="7"/>
    <w:qFormat/>
    <w:uiPriority w:val="0"/>
    <w:rPr>
      <w:rFonts w:hint="eastAsia" w:ascii="宋体" w:hAnsi="宋体" w:eastAsia="宋体" w:cs="宋体"/>
      <w:b/>
      <w:bCs/>
      <w:color w:val="000000"/>
      <w:sz w:val="24"/>
      <w:szCs w:val="24"/>
      <w:u w:val="none"/>
    </w:rPr>
  </w:style>
  <w:style w:type="character" w:customStyle="1" w:styleId="11">
    <w:name w:val="font41"/>
    <w:basedOn w:val="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ouyangying.lz</cp:lastModifiedBy>
  <dcterms:modified xsi:type="dcterms:W3CDTF">2024-06-07T08:30:22Z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AF18F7EE75F348C4976DA5ED1B2DA26E</vt:lpwstr>
  </property>
</Properties>
</file>