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453820"/>
      <w:bookmarkStart w:id="1" w:name="_Toc339216643"/>
      <w:bookmarkStart w:id="2" w:name="_Toc274903054"/>
      <w:bookmarkStart w:id="3" w:name="_Toc244916004"/>
      <w:bookmarkStart w:id="4" w:name="_Toc371453819"/>
      <w:bookmarkStart w:id="5" w:name="_Toc274902993"/>
      <w:bookmarkStart w:id="6" w:name="_Toc371343937"/>
      <w:bookmarkStart w:id="7" w:name="_Toc339216642"/>
      <w:bookmarkStart w:id="8" w:name="_Toc371343936"/>
      <w:bookmarkStart w:id="9" w:name="_Toc323572795"/>
      <w:r>
        <w:drawing>
          <wp:anchor distT="0" distB="0" distL="114300" distR="114300" simplePos="0" relativeHeight="251659264" behindDoc="1" locked="0" layoutInCell="1" allowOverlap="1">
            <wp:simplePos x="0" y="0"/>
            <wp:positionH relativeFrom="column">
              <wp:posOffset>-915035</wp:posOffset>
            </wp:positionH>
            <wp:positionV relativeFrom="paragraph">
              <wp:posOffset>-927735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10"/>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eastAsia="黑体"/>
          <w:b/>
          <w:color w:val="auto"/>
          <w:sz w:val="48"/>
          <w:szCs w:val="48"/>
          <w:highlight w:val="none"/>
        </w:rPr>
      </w:pPr>
      <w:r>
        <w:rPr>
          <w:rFonts w:hint="eastAsia" w:eastAsia="黑体"/>
          <w:b/>
          <w:color w:val="auto"/>
          <w:sz w:val="48"/>
          <w:szCs w:val="48"/>
          <w:highlight w:val="none"/>
          <w:lang w:val="en-US" w:eastAsia="zh-CN"/>
        </w:rPr>
        <w:t>超高压</w:t>
      </w:r>
      <w:r>
        <w:rPr>
          <w:rFonts w:hint="eastAsia" w:eastAsia="黑体"/>
          <w:b/>
          <w:color w:val="auto"/>
          <w:sz w:val="48"/>
          <w:szCs w:val="48"/>
          <w:highlight w:val="none"/>
          <w:lang w:eastAsia="zh-CN"/>
        </w:rPr>
        <w:t>大理局202</w:t>
      </w:r>
      <w:r>
        <w:rPr>
          <w:rFonts w:hint="eastAsia" w:eastAsia="黑体"/>
          <w:b/>
          <w:color w:val="auto"/>
          <w:sz w:val="48"/>
          <w:szCs w:val="48"/>
          <w:highlight w:val="none"/>
          <w:lang w:val="en-US" w:eastAsia="zh-CN"/>
        </w:rPr>
        <w:t>4</w:t>
      </w:r>
      <w:r>
        <w:rPr>
          <w:rFonts w:hint="eastAsia" w:eastAsia="黑体"/>
          <w:b/>
          <w:color w:val="auto"/>
          <w:sz w:val="48"/>
          <w:szCs w:val="48"/>
          <w:highlight w:val="none"/>
          <w:lang w:eastAsia="zh-CN"/>
        </w:rPr>
        <w:t>年职工子女假期托管服务</w:t>
      </w:r>
      <w:r>
        <w:rPr>
          <w:rFonts w:hint="eastAsia" w:eastAsia="黑体"/>
          <w:b/>
          <w:color w:val="auto"/>
          <w:sz w:val="48"/>
          <w:szCs w:val="48"/>
          <w:highlight w:val="none"/>
        </w:rPr>
        <w:t>项目询价材料</w:t>
      </w:r>
    </w:p>
    <w:p>
      <w:pPr>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ascii="宋体" w:hAnsi="宋体" w:cs="宋体"/>
          <w:color w:val="auto"/>
          <w:sz w:val="30"/>
          <w:szCs w:val="30"/>
          <w:highlight w:val="none"/>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lang w:eastAsia="zh-CN"/>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hint="eastAsia" w:ascii="宋体" w:hAnsi="宋体" w:eastAsia="宋体" w:cs="宋体"/>
          <w:b/>
          <w:bCs/>
          <w:color w:val="auto"/>
          <w:sz w:val="24"/>
          <w:szCs w:val="24"/>
          <w:highlight w:val="none"/>
        </w:rPr>
      </w:pPr>
      <w:bookmarkStart w:id="10" w:name="_Toc399839020"/>
      <w:bookmarkStart w:id="11" w:name="_Toc372699294"/>
      <w:bookmarkStart w:id="12" w:name="_Toc371153697"/>
      <w:bookmarkStart w:id="13" w:name="_Toc369269815"/>
      <w:bookmarkStart w:id="14" w:name="_Toc371344042"/>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项目名称</w:t>
      </w:r>
    </w:p>
    <w:p>
      <w:pPr>
        <w:numPr>
          <w:ilvl w:val="0"/>
          <w:numId w:val="0"/>
        </w:num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超高压</w:t>
      </w:r>
      <w:r>
        <w:rPr>
          <w:rFonts w:hint="eastAsia" w:ascii="宋体" w:hAnsi="宋体" w:eastAsia="宋体" w:cs="宋体"/>
          <w:color w:val="auto"/>
          <w:sz w:val="24"/>
          <w:szCs w:val="24"/>
          <w:highlight w:val="none"/>
        </w:rPr>
        <w:t>大理局2024年职工子女假期托管服务项目</w:t>
      </w:r>
    </w:p>
    <w:p>
      <w:pPr>
        <w:numPr>
          <w:ilvl w:val="0"/>
          <w:numId w:val="0"/>
        </w:num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项目需求内容</w:t>
      </w:r>
    </w:p>
    <w:p>
      <w:pPr>
        <w:adjustRightInd w:val="0"/>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为减轻职工陪护子女压力，不断提升大理局职工获得感、幸福感、安全感。大理局工会在前期充分调研的基础上，结合广大职工需求，计划在2024年职工子女暑假期间开展职工子女集中托管活动，为职工低龄子女暑假创造一个交流和成长的健康环境，以便职工更好的集中精力投身大理局改革发展、生产经营各项工作中。</w:t>
      </w:r>
    </w:p>
    <w:p>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技术要求</w:t>
      </w:r>
    </w:p>
    <w:p>
      <w:pPr>
        <w:numPr>
          <w:ilvl w:val="-1"/>
          <w:numId w:val="0"/>
        </w:num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以基本看护为主，托管服务内容主要包括：</w:t>
      </w:r>
    </w:p>
    <w:p>
      <w:pPr>
        <w:numPr>
          <w:ilvl w:val="-1"/>
          <w:numId w:val="0"/>
        </w:num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3.1托管机构根据不同年龄段孩子制定托管期间服务内容清单，提交</w:t>
      </w:r>
      <w:r>
        <w:rPr>
          <w:rFonts w:hint="eastAsia" w:ascii="宋体" w:hAnsi="宋体" w:cs="宋体"/>
          <w:b w:val="0"/>
          <w:bCs w:val="0"/>
          <w:color w:val="auto"/>
          <w:sz w:val="24"/>
          <w:szCs w:val="24"/>
          <w:highlight w:val="none"/>
          <w:lang w:val="en-US" w:eastAsia="zh-CN"/>
        </w:rPr>
        <w:t>至</w:t>
      </w:r>
      <w:r>
        <w:rPr>
          <w:rFonts w:hint="eastAsia" w:ascii="宋体" w:hAnsi="宋体" w:eastAsia="宋体" w:cs="宋体"/>
          <w:b w:val="0"/>
          <w:bCs w:val="0"/>
          <w:color w:val="auto"/>
          <w:sz w:val="24"/>
          <w:szCs w:val="24"/>
          <w:highlight w:val="none"/>
          <w:lang w:val="en-US" w:eastAsia="zh-CN"/>
        </w:rPr>
        <w:t>大理局工会审定。内容主要包括但不限于适宜的学习辅导、图书分享、益智游戏、团队合作、社会实践等活动。</w:t>
      </w:r>
    </w:p>
    <w:p>
      <w:p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3.2提供托管期间的餐食服务，即每日两餐两点（早餐、午餐，上午、下午</w:t>
      </w:r>
      <w:r>
        <w:rPr>
          <w:rFonts w:hint="eastAsia" w:ascii="宋体" w:hAnsi="宋体" w:cs="宋体"/>
          <w:b w:val="0"/>
          <w:bCs w:val="0"/>
          <w:color w:val="auto"/>
          <w:sz w:val="24"/>
          <w:szCs w:val="24"/>
          <w:highlight w:val="none"/>
          <w:lang w:val="en-US" w:eastAsia="zh-CN"/>
        </w:rPr>
        <w:t>儿童点心</w:t>
      </w:r>
      <w:r>
        <w:rPr>
          <w:rFonts w:hint="eastAsia" w:ascii="宋体" w:hAnsi="宋体" w:eastAsia="宋体" w:cs="宋体"/>
          <w:b w:val="0"/>
          <w:bCs w:val="0"/>
          <w:color w:val="auto"/>
          <w:sz w:val="24"/>
          <w:szCs w:val="24"/>
          <w:highlight w:val="none"/>
          <w:lang w:val="en-US" w:eastAsia="zh-CN"/>
        </w:rPr>
        <w:t>）。每周提前制定周菜谱，膳食要搭配合理、营养均衡，</w:t>
      </w:r>
      <w:r>
        <w:rPr>
          <w:rFonts w:hint="eastAsia" w:ascii="宋体" w:hAnsi="宋体" w:eastAsia="宋体" w:cs="宋体"/>
          <w:b w:val="0"/>
          <w:bCs w:val="0"/>
          <w:color w:val="auto"/>
          <w:sz w:val="24"/>
          <w:szCs w:val="24"/>
          <w:highlight w:val="none"/>
          <w:lang w:eastAsia="zh-CN"/>
        </w:rPr>
        <w:t>午餐至少两荤</w:t>
      </w:r>
      <w:r>
        <w:rPr>
          <w:rFonts w:hint="eastAsia" w:ascii="宋体" w:hAnsi="宋体" w:eastAsia="宋体" w:cs="宋体"/>
          <w:b w:val="0"/>
          <w:bCs w:val="0"/>
          <w:color w:val="auto"/>
          <w:sz w:val="24"/>
          <w:szCs w:val="24"/>
          <w:highlight w:val="none"/>
          <w:lang w:val="en-US" w:eastAsia="zh-CN"/>
        </w:rPr>
        <w:t>两</w:t>
      </w:r>
      <w:r>
        <w:rPr>
          <w:rFonts w:hint="eastAsia" w:ascii="宋体" w:hAnsi="宋体" w:eastAsia="宋体" w:cs="宋体"/>
          <w:b w:val="0"/>
          <w:bCs w:val="0"/>
          <w:color w:val="auto"/>
          <w:sz w:val="24"/>
          <w:szCs w:val="24"/>
          <w:highlight w:val="none"/>
          <w:lang w:eastAsia="zh-CN"/>
        </w:rPr>
        <w:t>素</w:t>
      </w:r>
      <w:r>
        <w:rPr>
          <w:rFonts w:hint="eastAsia" w:ascii="宋体" w:hAnsi="宋体" w:eastAsia="宋体" w:cs="宋体"/>
          <w:b w:val="0"/>
          <w:bCs w:val="0"/>
          <w:color w:val="auto"/>
          <w:sz w:val="24"/>
          <w:szCs w:val="24"/>
          <w:highlight w:val="none"/>
          <w:lang w:val="en-US" w:eastAsia="zh-CN"/>
        </w:rPr>
        <w:t>。</w:t>
      </w:r>
    </w:p>
    <w:p>
      <w:p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3.3中午提供孩子午休场所。</w:t>
      </w:r>
    </w:p>
    <w:p>
      <w:p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3.4托管时间：</w:t>
      </w:r>
      <w:r>
        <w:rPr>
          <w:rFonts w:hint="eastAsia" w:ascii="宋体" w:hAnsi="宋体" w:cs="宋体"/>
          <w:b w:val="0"/>
          <w:bCs w:val="0"/>
          <w:color w:val="auto"/>
          <w:sz w:val="24"/>
          <w:szCs w:val="24"/>
          <w:highlight w:val="none"/>
          <w:lang w:val="en-US" w:eastAsia="zh-CN"/>
        </w:rPr>
        <w:t>预计7月1日至8月31日（具体以放假时间为准，至少提前两周通知托管单位），</w:t>
      </w:r>
      <w:r>
        <w:rPr>
          <w:rFonts w:hint="eastAsia" w:ascii="宋体" w:hAnsi="宋体" w:eastAsia="宋体" w:cs="宋体"/>
          <w:b w:val="0"/>
          <w:bCs w:val="0"/>
          <w:color w:val="auto"/>
          <w:sz w:val="24"/>
          <w:szCs w:val="24"/>
          <w:highlight w:val="none"/>
          <w:lang w:eastAsia="zh-CN"/>
        </w:rPr>
        <w:t>工作日</w:t>
      </w:r>
      <w:r>
        <w:rPr>
          <w:rFonts w:hint="eastAsia" w:ascii="宋体" w:hAnsi="宋体" w:eastAsia="宋体" w:cs="宋体"/>
          <w:b w:val="0"/>
          <w:bCs w:val="0"/>
          <w:color w:val="auto"/>
          <w:sz w:val="24"/>
          <w:szCs w:val="24"/>
          <w:highlight w:val="none"/>
          <w:lang w:val="en-US" w:eastAsia="zh-CN"/>
        </w:rPr>
        <w:t xml:space="preserve">8:00-18:00。 </w:t>
      </w:r>
    </w:p>
    <w:p>
      <w:p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3.5如托管机构位置距离大理局本部1公里以外，需提供接送服务，接送点为大理局本部。</w:t>
      </w:r>
    </w:p>
    <w:p>
      <w:p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3.6托管机构要指定1名经验丰富的幼师担任本次托管服务项目负责人，负责协调托管期间有关事宜，安排好托管期间的具体活动。托管期间派出的所有老师应具备幼师相关资格证件，并具有3年以上工作经验。</w:t>
      </w:r>
    </w:p>
    <w:p>
      <w:pPr>
        <w:adjustRightInd w:val="0"/>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3.7</w:t>
      </w:r>
      <w:r>
        <w:rPr>
          <w:rFonts w:hint="eastAsia" w:ascii="宋体" w:hAnsi="宋体" w:eastAsia="宋体" w:cs="宋体"/>
          <w:color w:val="auto"/>
          <w:sz w:val="24"/>
          <w:szCs w:val="24"/>
          <w:highlight w:val="none"/>
          <w:lang w:val="en-US" w:eastAsia="zh-CN"/>
        </w:rPr>
        <w:t>孩子在机构托管期间，一切安全问题由托管机构负责。托管机构未经监护人允许，不得让孩子擅自离开托管机构。</w:t>
      </w:r>
    </w:p>
    <w:p>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资质要求</w:t>
      </w:r>
    </w:p>
    <w:tbl>
      <w:tblPr>
        <w:tblStyle w:val="21"/>
        <w:tblW w:w="76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w:t>
            </w:r>
          </w:p>
        </w:tc>
        <w:tc>
          <w:tcPr>
            <w:tcW w:w="6960" w:type="dxa"/>
            <w:vAlign w:val="center"/>
          </w:tcPr>
          <w:p>
            <w:pPr>
              <w:ind w:left="113"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具备以下条件之一：</w:t>
            </w:r>
          </w:p>
          <w:p>
            <w:pPr>
              <w:ind w:left="113"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②具有独立承担民事责任能力的事业单位或其他组织；</w:t>
            </w:r>
          </w:p>
          <w:p>
            <w:pPr>
              <w:ind w:left="113" w:lef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w:t>
            </w:r>
          </w:p>
        </w:tc>
        <w:tc>
          <w:tcPr>
            <w:tcW w:w="6960" w:type="dxa"/>
            <w:vAlign w:val="center"/>
          </w:tcPr>
          <w:p>
            <w:pPr>
              <w:ind w:left="113" w:lef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w:t>
            </w:r>
          </w:p>
        </w:tc>
        <w:tc>
          <w:tcPr>
            <w:tcW w:w="6960" w:type="dxa"/>
            <w:vAlign w:val="center"/>
          </w:tcPr>
          <w:p>
            <w:pPr>
              <w:ind w:left="113" w:lef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p>
        </w:tc>
        <w:tc>
          <w:tcPr>
            <w:tcW w:w="6960" w:type="dxa"/>
            <w:vAlign w:val="center"/>
          </w:tcPr>
          <w:p>
            <w:pPr>
              <w:ind w:left="113" w:left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单位负责人为同一人或者存在控股、管理关系的不同单位，不得参加</w:t>
            </w:r>
            <w:r>
              <w:rPr>
                <w:rFonts w:hint="eastAsia" w:ascii="宋体" w:hAnsi="宋体" w:eastAsia="宋体" w:cs="宋体"/>
                <w:color w:val="auto"/>
                <w:sz w:val="24"/>
                <w:szCs w:val="24"/>
                <w:highlight w:val="none"/>
                <w:lang w:eastAsia="zh-CN"/>
              </w:rPr>
              <w:t>同一项目报价</w:t>
            </w:r>
            <w:r>
              <w:rPr>
                <w:rFonts w:hint="eastAsia" w:ascii="宋体" w:hAnsi="宋体" w:eastAsia="宋体" w:cs="宋体"/>
                <w:color w:val="auto"/>
                <w:sz w:val="24"/>
                <w:szCs w:val="24"/>
                <w:highlight w:val="none"/>
              </w:rPr>
              <w:t>。</w:t>
            </w:r>
          </w:p>
        </w:tc>
      </w:tr>
    </w:tbl>
    <w:p>
      <w:pPr>
        <w:keepNext w:val="0"/>
        <w:keepLines w:val="0"/>
        <w:pageBreakBefore w:val="0"/>
        <w:widowControl w:val="0"/>
        <w:kinsoku/>
        <w:wordWrap/>
        <w:overflowPunct/>
        <w:topLinePunct w:val="0"/>
        <w:autoSpaceDE/>
        <w:autoSpaceDN/>
        <w:bidi w:val="0"/>
        <w:adjustRightInd w:val="0"/>
        <w:snapToGrid w:val="0"/>
        <w:spacing w:line="120" w:lineRule="auto"/>
        <w:ind w:firstLine="482" w:firstLineChars="200"/>
        <w:textAlignment w:val="auto"/>
        <w:rPr>
          <w:rFonts w:hint="eastAsia" w:ascii="宋体" w:hAnsi="宋体" w:eastAsia="宋体" w:cs="宋体"/>
          <w:b/>
          <w:bCs/>
          <w:color w:val="auto"/>
          <w:sz w:val="24"/>
          <w:szCs w:val="24"/>
          <w:highlight w:val="none"/>
        </w:rPr>
      </w:pPr>
    </w:p>
    <w:p>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项目服务</w:t>
      </w:r>
      <w:r>
        <w:rPr>
          <w:rFonts w:hint="eastAsia" w:ascii="宋体" w:hAnsi="宋体" w:eastAsia="宋体" w:cs="宋体"/>
          <w:b/>
          <w:bCs/>
          <w:color w:val="auto"/>
          <w:sz w:val="24"/>
          <w:szCs w:val="24"/>
          <w:highlight w:val="none"/>
        </w:rPr>
        <w:t>清单</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265"/>
        <w:gridCol w:w="1057"/>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数量</w:t>
            </w:r>
          </w:p>
        </w:tc>
        <w:tc>
          <w:tcPr>
            <w:tcW w:w="1265"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单价（元</w:t>
            </w:r>
            <w:r>
              <w:rPr>
                <w:rFonts w:hint="eastAsia" w:ascii="宋体" w:hAnsi="宋体" w:eastAsia="宋体" w:cs="宋体"/>
                <w:b/>
                <w:bCs/>
                <w:kern w:val="0"/>
                <w:sz w:val="24"/>
                <w:szCs w:val="24"/>
                <w:highlight w:val="none"/>
                <w:lang w:val="en-US" w:eastAsia="zh-CN"/>
              </w:rPr>
              <w:t>/人/周</w:t>
            </w:r>
            <w:r>
              <w:rPr>
                <w:rFonts w:hint="eastAsia" w:ascii="宋体" w:hAnsi="宋体" w:eastAsia="宋体" w:cs="宋体"/>
                <w:b/>
                <w:bCs/>
                <w:kern w:val="0"/>
                <w:sz w:val="24"/>
                <w:szCs w:val="24"/>
                <w:highlight w:val="none"/>
              </w:rPr>
              <w:t>）</w:t>
            </w:r>
          </w:p>
        </w:tc>
        <w:tc>
          <w:tcPr>
            <w:tcW w:w="1057"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1</w:t>
            </w:r>
          </w:p>
        </w:tc>
        <w:tc>
          <w:tcPr>
            <w:tcW w:w="2409" w:type="dxa"/>
            <w:vAlign w:val="center"/>
          </w:tcPr>
          <w:p>
            <w:pPr>
              <w:adjustRightInd w:val="0"/>
              <w:snapToGrid w:val="0"/>
              <w:spacing w:line="240" w:lineRule="auto"/>
              <w:jc w:val="center"/>
              <w:rPr>
                <w:rFonts w:hint="default"/>
                <w:highlight w:val="none"/>
                <w:lang w:val="en-US" w:eastAsia="zh-CN"/>
              </w:rPr>
            </w:pPr>
            <w:r>
              <w:rPr>
                <w:rFonts w:hint="eastAsia" w:ascii="宋体" w:hAnsi="宋体" w:cs="宋体"/>
                <w:b w:val="0"/>
                <w:bCs w:val="0"/>
                <w:kern w:val="0"/>
                <w:sz w:val="24"/>
                <w:szCs w:val="24"/>
                <w:highlight w:val="none"/>
                <w:lang w:val="en-US" w:eastAsia="zh-CN"/>
              </w:rPr>
              <w:t>超高压</w:t>
            </w:r>
            <w:r>
              <w:rPr>
                <w:rFonts w:hint="eastAsia" w:ascii="宋体" w:hAnsi="宋体" w:eastAsia="宋体" w:cs="宋体"/>
                <w:b w:val="0"/>
                <w:bCs w:val="0"/>
                <w:kern w:val="0"/>
                <w:sz w:val="24"/>
                <w:szCs w:val="24"/>
                <w:highlight w:val="none"/>
                <w:lang w:val="en-US" w:eastAsia="zh-CN"/>
              </w:rPr>
              <w:t>大理局2024年职工子女假期托管服务项目</w:t>
            </w:r>
            <w:r>
              <w:rPr>
                <w:rFonts w:hint="eastAsia" w:ascii="宋体" w:hAnsi="宋体" w:cs="宋体"/>
                <w:b w:val="0"/>
                <w:bCs w:val="0"/>
                <w:kern w:val="0"/>
                <w:sz w:val="24"/>
                <w:szCs w:val="24"/>
                <w:highlight w:val="none"/>
                <w:lang w:val="en-US" w:eastAsia="zh-CN"/>
              </w:rPr>
              <w:t>/职工子女暑假托管服务</w:t>
            </w:r>
          </w:p>
        </w:tc>
        <w:tc>
          <w:tcPr>
            <w:tcW w:w="531"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项</w:t>
            </w:r>
          </w:p>
        </w:tc>
        <w:tc>
          <w:tcPr>
            <w:tcW w:w="681"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1</w:t>
            </w:r>
          </w:p>
        </w:tc>
        <w:tc>
          <w:tcPr>
            <w:tcW w:w="1265"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p>
        </w:tc>
        <w:tc>
          <w:tcPr>
            <w:tcW w:w="1057"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据实</w:t>
            </w:r>
          </w:p>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结算</w:t>
            </w:r>
          </w:p>
        </w:tc>
        <w:tc>
          <w:tcPr>
            <w:tcW w:w="2182"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提供全额增值税普通发票。</w:t>
            </w:r>
          </w:p>
        </w:tc>
      </w:tr>
    </w:tbl>
    <w:p>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w:t>
      </w:r>
      <w:bookmarkEnd w:id="10"/>
      <w:bookmarkEnd w:id="11"/>
      <w:bookmarkEnd w:id="12"/>
      <w:bookmarkEnd w:id="13"/>
      <w:bookmarkEnd w:id="14"/>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售后服务要求</w:t>
      </w:r>
    </w:p>
    <w:p>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发票要求：</w:t>
      </w:r>
      <w:r>
        <w:rPr>
          <w:rFonts w:hint="eastAsia" w:ascii="宋体" w:hAnsi="宋体" w:eastAsia="宋体" w:cs="宋体"/>
          <w:color w:val="auto"/>
          <w:sz w:val="24"/>
          <w:szCs w:val="24"/>
          <w:highlight w:val="none"/>
          <w:lang w:val="en-US" w:eastAsia="zh-CN"/>
        </w:rPr>
        <w:t>托管机构</w:t>
      </w:r>
      <w:r>
        <w:rPr>
          <w:rFonts w:hint="eastAsia" w:ascii="宋体" w:hAnsi="宋体" w:eastAsia="宋体" w:cs="宋体"/>
          <w:color w:val="auto"/>
          <w:sz w:val="24"/>
          <w:szCs w:val="24"/>
          <w:highlight w:val="none"/>
        </w:rPr>
        <w:t>可提供符合规定税率的全额增值税</w:t>
      </w:r>
      <w:r>
        <w:rPr>
          <w:rFonts w:hint="eastAsia" w:ascii="宋体" w:hAnsi="宋体" w:eastAsia="宋体" w:cs="宋体"/>
          <w:color w:val="auto"/>
          <w:sz w:val="24"/>
          <w:szCs w:val="24"/>
          <w:highlight w:val="none"/>
          <w:lang w:eastAsia="zh-CN"/>
        </w:rPr>
        <w:t>普通</w:t>
      </w:r>
      <w:r>
        <w:rPr>
          <w:rFonts w:hint="eastAsia" w:ascii="宋体" w:hAnsi="宋体" w:eastAsia="宋体" w:cs="宋体"/>
          <w:color w:val="auto"/>
          <w:sz w:val="24"/>
          <w:szCs w:val="24"/>
          <w:highlight w:val="none"/>
        </w:rPr>
        <w:t>发票。</w:t>
      </w:r>
      <w:r>
        <w:rPr>
          <w:rFonts w:hint="eastAsia" w:ascii="宋体" w:hAnsi="宋体" w:eastAsia="宋体" w:cs="宋体"/>
          <w:color w:val="auto"/>
          <w:sz w:val="24"/>
          <w:szCs w:val="24"/>
          <w:highlight w:val="none"/>
          <w:lang w:val="en-US" w:eastAsia="zh-CN"/>
        </w:rPr>
        <w:t>根据孩子出勤情况按周计费，托管期结束后大理局在收到正式发票之日起，1个月内完成结算。</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报价文件格式要求</w:t>
      </w:r>
    </w:p>
    <w:p>
      <w:pPr>
        <w:spacing w:line="360" w:lineRule="auto"/>
        <w:ind w:firstLine="480" w:firstLineChars="200"/>
        <w:rPr>
          <w:rFonts w:hint="eastAsia" w:ascii="宋体" w:hAnsi="宋体" w:eastAsia="宋体" w:cs="宋体"/>
          <w:color w:val="auto"/>
          <w:sz w:val="24"/>
          <w:szCs w:val="24"/>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报价单位需提供盖章版（单位行政印章）纸质报价文件，报价文件包括但不限于：报价表、品质、售后服务及相关资质文件（复印件），《报价文件格式》如下：</w:t>
      </w:r>
    </w:p>
    <w:p>
      <w:pPr>
        <w:spacing w:line="360" w:lineRule="auto"/>
        <w:jc w:val="left"/>
        <w:outlineLvl w:val="5"/>
        <w:rPr>
          <w:rFonts w:hint="eastAsia"/>
          <w:b/>
          <w:bCs/>
          <w:color w:val="auto"/>
          <w:spacing w:val="10"/>
          <w:kern w:val="0"/>
          <w:sz w:val="24"/>
          <w:szCs w:val="24"/>
          <w:highlight w:val="none"/>
        </w:rPr>
      </w:pPr>
      <w:r>
        <w:rPr>
          <w:rFonts w:hint="eastAsia"/>
          <w:b/>
          <w:bCs/>
          <w:color w:val="auto"/>
          <w:spacing w:val="10"/>
          <w:kern w:val="0"/>
          <w:sz w:val="24"/>
          <w:szCs w:val="24"/>
          <w:highlight w:val="none"/>
        </w:rPr>
        <w:t>《报价文件格式》:</w:t>
      </w:r>
    </w:p>
    <w:p>
      <w:pPr>
        <w:spacing w:line="360" w:lineRule="auto"/>
        <w:jc w:val="center"/>
        <w:outlineLvl w:val="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xxx单位</w:t>
      </w:r>
      <w:r>
        <w:rPr>
          <w:rFonts w:hint="eastAsia" w:ascii="宋体" w:hAnsi="宋体" w:eastAsia="宋体" w:cs="宋体"/>
          <w:b/>
          <w:bCs/>
          <w:color w:val="auto"/>
          <w:sz w:val="24"/>
          <w:szCs w:val="24"/>
          <w:highlight w:val="none"/>
        </w:rPr>
        <w:t>报价表</w:t>
      </w:r>
    </w:p>
    <w:p>
      <w:pPr>
        <w:spacing w:line="360" w:lineRule="auto"/>
        <w:jc w:val="center"/>
        <w:outlineLvl w:val="5"/>
        <w:rPr>
          <w:rFonts w:hint="eastAsia" w:ascii="宋体" w:hAnsi="宋体" w:eastAsia="宋体" w:cs="宋体"/>
          <w:b/>
          <w:bCs/>
          <w:color w:val="auto"/>
          <w:spacing w:val="10"/>
          <w:kern w:val="0"/>
          <w:sz w:val="24"/>
          <w:szCs w:val="24"/>
          <w:highlight w:val="none"/>
        </w:rPr>
      </w:pPr>
      <w:r>
        <w:rPr>
          <w:rFonts w:hint="eastAsia" w:ascii="宋体" w:hAnsi="宋体" w:eastAsia="宋体" w:cs="宋体"/>
          <w:b/>
          <w:bCs/>
          <w:color w:val="auto"/>
          <w:spacing w:val="10"/>
          <w:kern w:val="0"/>
          <w:sz w:val="24"/>
          <w:szCs w:val="24"/>
          <w:highlight w:val="none"/>
        </w:rPr>
        <w:t>包含但不限于以下内容报价</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报价方名称(盖公章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联系人：         联系电话：        </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265"/>
        <w:gridCol w:w="1057"/>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序号</w:t>
            </w:r>
          </w:p>
        </w:tc>
        <w:tc>
          <w:tcPr>
            <w:tcW w:w="2409"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项目名称</w:t>
            </w:r>
          </w:p>
        </w:tc>
        <w:tc>
          <w:tcPr>
            <w:tcW w:w="531"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数量</w:t>
            </w:r>
          </w:p>
        </w:tc>
        <w:tc>
          <w:tcPr>
            <w:tcW w:w="1265"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单价（元</w:t>
            </w:r>
            <w:r>
              <w:rPr>
                <w:rFonts w:hint="eastAsia" w:ascii="宋体" w:hAnsi="宋体" w:eastAsia="宋体" w:cs="宋体"/>
                <w:b/>
                <w:bCs/>
                <w:kern w:val="0"/>
                <w:sz w:val="24"/>
                <w:szCs w:val="24"/>
                <w:highlight w:val="none"/>
                <w:lang w:val="en-US" w:eastAsia="zh-CN"/>
              </w:rPr>
              <w:t>/人/周</w:t>
            </w:r>
            <w:r>
              <w:rPr>
                <w:rFonts w:hint="eastAsia" w:ascii="宋体" w:hAnsi="宋体" w:eastAsia="宋体" w:cs="宋体"/>
                <w:b/>
                <w:bCs/>
                <w:kern w:val="0"/>
                <w:sz w:val="24"/>
                <w:szCs w:val="24"/>
                <w:highlight w:val="none"/>
              </w:rPr>
              <w:t>）</w:t>
            </w:r>
          </w:p>
        </w:tc>
        <w:tc>
          <w:tcPr>
            <w:tcW w:w="1057"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68" w:hRule="atLeast"/>
        </w:trPr>
        <w:tc>
          <w:tcPr>
            <w:tcW w:w="715" w:type="dxa"/>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kern w:val="0"/>
                <w:sz w:val="24"/>
                <w:szCs w:val="24"/>
                <w:highlight w:val="none"/>
              </w:rPr>
              <w:t>1</w:t>
            </w:r>
          </w:p>
        </w:tc>
        <w:tc>
          <w:tcPr>
            <w:tcW w:w="2409"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超高压</w:t>
            </w:r>
            <w:r>
              <w:rPr>
                <w:rFonts w:hint="eastAsia" w:ascii="宋体" w:hAnsi="宋体" w:eastAsia="宋体" w:cs="宋体"/>
                <w:b w:val="0"/>
                <w:bCs w:val="0"/>
                <w:kern w:val="0"/>
                <w:sz w:val="24"/>
                <w:szCs w:val="24"/>
                <w:highlight w:val="none"/>
                <w:lang w:val="en-US" w:eastAsia="zh-CN"/>
              </w:rPr>
              <w:t>大理局2024年职工子女假期托管服务项目</w:t>
            </w:r>
          </w:p>
        </w:tc>
        <w:tc>
          <w:tcPr>
            <w:tcW w:w="531"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项</w:t>
            </w:r>
          </w:p>
        </w:tc>
        <w:tc>
          <w:tcPr>
            <w:tcW w:w="681"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1</w:t>
            </w:r>
          </w:p>
        </w:tc>
        <w:tc>
          <w:tcPr>
            <w:tcW w:w="1265"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p>
        </w:tc>
        <w:tc>
          <w:tcPr>
            <w:tcW w:w="1057"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据实</w:t>
            </w:r>
          </w:p>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结算</w:t>
            </w:r>
          </w:p>
        </w:tc>
        <w:tc>
          <w:tcPr>
            <w:tcW w:w="2182"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提供全额增值税普通发票。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6" w:hRule="atLeast"/>
        </w:trPr>
        <w:tc>
          <w:tcPr>
            <w:tcW w:w="8840" w:type="dxa"/>
            <w:gridSpan w:val="7"/>
            <w:vAlign w:val="center"/>
          </w:tcPr>
          <w:p>
            <w:pPr>
              <w:adjustRightInd w:val="0"/>
              <w:snapToGrid w:val="0"/>
              <w:spacing w:line="360" w:lineRule="auto"/>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数量</w:t>
            </w:r>
          </w:p>
        </w:tc>
        <w:tc>
          <w:tcPr>
            <w:tcW w:w="1265"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单价（元</w:t>
            </w:r>
            <w:r>
              <w:rPr>
                <w:rFonts w:hint="eastAsia" w:ascii="宋体" w:hAnsi="宋体" w:eastAsia="宋体" w:cs="宋体"/>
                <w:b/>
                <w:bCs/>
                <w:kern w:val="0"/>
                <w:sz w:val="24"/>
                <w:szCs w:val="24"/>
                <w:highlight w:val="none"/>
                <w:lang w:val="en-US" w:eastAsia="zh-CN"/>
              </w:rPr>
              <w:t>/人/周</w:t>
            </w:r>
            <w:r>
              <w:rPr>
                <w:rFonts w:hint="eastAsia" w:ascii="宋体" w:hAnsi="宋体" w:eastAsia="宋体" w:cs="宋体"/>
                <w:b/>
                <w:bCs/>
                <w:kern w:val="0"/>
                <w:sz w:val="24"/>
                <w:szCs w:val="24"/>
                <w:highlight w:val="none"/>
              </w:rPr>
              <w:t>）</w:t>
            </w:r>
          </w:p>
        </w:tc>
        <w:tc>
          <w:tcPr>
            <w:tcW w:w="1057"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1</w:t>
            </w:r>
          </w:p>
        </w:tc>
        <w:tc>
          <w:tcPr>
            <w:tcW w:w="2409" w:type="dxa"/>
            <w:vAlign w:val="center"/>
          </w:tcPr>
          <w:p>
            <w:pPr>
              <w:adjustRightInd w:val="0"/>
              <w:snapToGrid w:val="0"/>
              <w:spacing w:line="240" w:lineRule="auto"/>
              <w:jc w:val="center"/>
              <w:rPr>
                <w:rFonts w:hint="default" w:ascii="宋体" w:hAnsi="宋体" w:eastAsia="宋体" w:cs="宋体"/>
                <w:b w:val="0"/>
                <w:bCs w:val="0"/>
                <w:kern w:val="0"/>
                <w:sz w:val="24"/>
                <w:szCs w:val="24"/>
                <w:highlight w:val="none"/>
                <w:lang w:val="en-US" w:eastAsia="zh-CN"/>
              </w:rPr>
            </w:pPr>
            <w:r>
              <w:rPr>
                <w:rFonts w:hint="eastAsia" w:ascii="宋体" w:hAnsi="宋体" w:cs="宋体"/>
                <w:b w:val="0"/>
                <w:bCs w:val="0"/>
                <w:kern w:val="0"/>
                <w:sz w:val="24"/>
                <w:szCs w:val="24"/>
                <w:highlight w:val="none"/>
                <w:lang w:val="en-US" w:eastAsia="zh-CN"/>
              </w:rPr>
              <w:t>超高压</w:t>
            </w:r>
            <w:r>
              <w:rPr>
                <w:rFonts w:hint="eastAsia" w:ascii="宋体" w:hAnsi="宋体" w:eastAsia="宋体" w:cs="宋体"/>
                <w:b w:val="0"/>
                <w:bCs w:val="0"/>
                <w:kern w:val="0"/>
                <w:sz w:val="24"/>
                <w:szCs w:val="24"/>
                <w:highlight w:val="none"/>
                <w:lang w:val="en-US" w:eastAsia="zh-CN"/>
              </w:rPr>
              <w:t>大理局2024年职工子女假期托管服务项目</w:t>
            </w:r>
            <w:r>
              <w:rPr>
                <w:rFonts w:hint="eastAsia" w:ascii="宋体" w:hAnsi="宋体" w:cs="宋体"/>
                <w:b w:val="0"/>
                <w:bCs w:val="0"/>
                <w:kern w:val="0"/>
                <w:sz w:val="24"/>
                <w:szCs w:val="24"/>
                <w:highlight w:val="none"/>
                <w:lang w:val="en-US" w:eastAsia="zh-CN"/>
              </w:rPr>
              <w:t>/</w:t>
            </w:r>
            <w:bookmarkStart w:id="15" w:name="_GoBack"/>
            <w:bookmarkEnd w:id="15"/>
            <w:r>
              <w:rPr>
                <w:rFonts w:hint="eastAsia" w:ascii="宋体" w:hAnsi="宋体" w:cs="宋体"/>
                <w:b w:val="0"/>
                <w:bCs w:val="0"/>
                <w:kern w:val="0"/>
                <w:sz w:val="24"/>
                <w:szCs w:val="24"/>
                <w:highlight w:val="none"/>
                <w:lang w:val="en-US" w:eastAsia="zh-CN"/>
              </w:rPr>
              <w:t>职工子女暑假托管服务</w:t>
            </w:r>
          </w:p>
        </w:tc>
        <w:tc>
          <w:tcPr>
            <w:tcW w:w="531"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项</w:t>
            </w:r>
          </w:p>
        </w:tc>
        <w:tc>
          <w:tcPr>
            <w:tcW w:w="681"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1</w:t>
            </w:r>
          </w:p>
        </w:tc>
        <w:tc>
          <w:tcPr>
            <w:tcW w:w="1265"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p>
        </w:tc>
        <w:tc>
          <w:tcPr>
            <w:tcW w:w="1057"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据实</w:t>
            </w:r>
          </w:p>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结算</w:t>
            </w:r>
          </w:p>
        </w:tc>
        <w:tc>
          <w:tcPr>
            <w:tcW w:w="2182" w:type="dxa"/>
            <w:vAlign w:val="center"/>
          </w:tcPr>
          <w:p>
            <w:pPr>
              <w:adjustRightInd w:val="0"/>
              <w:snapToGrid w:val="0"/>
              <w:spacing w:line="240" w:lineRule="auto"/>
              <w:jc w:val="center"/>
              <w:rPr>
                <w:rFonts w:hint="eastAsia"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提供全额增值税普通发票。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eastAsia="宋体" w:cs="宋体"/>
                <w:kern w:val="0"/>
                <w:sz w:val="24"/>
                <w:szCs w:val="24"/>
                <w:highlight w:val="none"/>
              </w:rPr>
            </w:pPr>
          </w:p>
        </w:tc>
        <w:tc>
          <w:tcPr>
            <w:tcW w:w="2409" w:type="dxa"/>
            <w:vAlign w:val="center"/>
          </w:tcPr>
          <w:p>
            <w:pPr>
              <w:adjustRightInd w:val="0"/>
              <w:snapToGrid w:val="0"/>
              <w:spacing w:line="240" w:lineRule="auto"/>
              <w:jc w:val="center"/>
              <w:rPr>
                <w:rFonts w:hint="eastAsia" w:ascii="宋体" w:hAnsi="宋体" w:eastAsia="宋体" w:cs="宋体"/>
                <w:b/>
                <w:bCs/>
                <w:kern w:val="0"/>
                <w:sz w:val="24"/>
                <w:szCs w:val="24"/>
                <w:highlight w:val="none"/>
                <w:lang w:val="en-US" w:eastAsia="zh-CN" w:bidi="ar"/>
              </w:rPr>
            </w:pPr>
            <w:r>
              <w:rPr>
                <w:rFonts w:hint="eastAsia" w:ascii="宋体" w:hAnsi="宋体" w:eastAsia="宋体" w:cs="宋体"/>
                <w:b w:val="0"/>
                <w:bCs w:val="0"/>
                <w:kern w:val="0"/>
                <w:sz w:val="24"/>
                <w:szCs w:val="24"/>
                <w:highlight w:val="none"/>
                <w:lang w:val="en-US" w:eastAsia="zh-CN"/>
              </w:rPr>
              <w:t>合计</w:t>
            </w:r>
          </w:p>
        </w:tc>
        <w:tc>
          <w:tcPr>
            <w:tcW w:w="531" w:type="dxa"/>
            <w:vAlign w:val="center"/>
          </w:tcPr>
          <w:p>
            <w:pPr>
              <w:adjustRightInd w:val="0"/>
              <w:snapToGrid w:val="0"/>
              <w:spacing w:line="360" w:lineRule="auto"/>
              <w:jc w:val="center"/>
              <w:rPr>
                <w:rFonts w:hint="eastAsia" w:ascii="宋体" w:hAnsi="宋体" w:eastAsia="宋体" w:cs="宋体"/>
                <w:kern w:val="0"/>
                <w:sz w:val="24"/>
                <w:szCs w:val="24"/>
                <w:highlight w:val="none"/>
              </w:rPr>
            </w:pPr>
          </w:p>
        </w:tc>
        <w:tc>
          <w:tcPr>
            <w:tcW w:w="681" w:type="dxa"/>
            <w:vAlign w:val="center"/>
          </w:tcPr>
          <w:p>
            <w:pPr>
              <w:adjustRightInd w:val="0"/>
              <w:snapToGrid w:val="0"/>
              <w:spacing w:line="360" w:lineRule="auto"/>
              <w:jc w:val="center"/>
              <w:rPr>
                <w:rFonts w:hint="eastAsia" w:ascii="宋体" w:hAnsi="宋体" w:eastAsia="宋体" w:cs="宋体"/>
                <w:kern w:val="0"/>
                <w:sz w:val="24"/>
                <w:szCs w:val="24"/>
                <w:highlight w:val="none"/>
              </w:rPr>
            </w:pPr>
          </w:p>
        </w:tc>
        <w:tc>
          <w:tcPr>
            <w:tcW w:w="1265" w:type="dxa"/>
            <w:vAlign w:val="center"/>
          </w:tcPr>
          <w:p>
            <w:pPr>
              <w:adjustRightInd w:val="0"/>
              <w:snapToGrid w:val="0"/>
              <w:spacing w:line="360" w:lineRule="auto"/>
              <w:jc w:val="center"/>
              <w:rPr>
                <w:rFonts w:hint="eastAsia" w:ascii="宋体" w:hAnsi="宋体" w:eastAsia="宋体" w:cs="宋体"/>
                <w:kern w:val="0"/>
                <w:sz w:val="24"/>
                <w:szCs w:val="24"/>
                <w:highlight w:val="none"/>
              </w:rPr>
            </w:pPr>
          </w:p>
        </w:tc>
        <w:tc>
          <w:tcPr>
            <w:tcW w:w="1057" w:type="dxa"/>
            <w:vAlign w:val="center"/>
          </w:tcPr>
          <w:p>
            <w:pPr>
              <w:adjustRightInd w:val="0"/>
              <w:snapToGrid w:val="0"/>
              <w:spacing w:line="360" w:lineRule="auto"/>
              <w:jc w:val="center"/>
              <w:rPr>
                <w:rFonts w:hint="eastAsia" w:ascii="宋体" w:hAnsi="宋体" w:eastAsia="宋体" w:cs="宋体"/>
                <w:kern w:val="0"/>
                <w:sz w:val="24"/>
                <w:szCs w:val="24"/>
                <w:highlight w:val="none"/>
                <w:lang w:val="en-US" w:eastAsia="zh-CN"/>
              </w:rPr>
            </w:pPr>
          </w:p>
        </w:tc>
        <w:tc>
          <w:tcPr>
            <w:tcW w:w="2182" w:type="dxa"/>
            <w:vAlign w:val="center"/>
          </w:tcPr>
          <w:p>
            <w:pPr>
              <w:adjustRightInd w:val="0"/>
              <w:snapToGrid w:val="0"/>
              <w:spacing w:line="240" w:lineRule="auto"/>
              <w:jc w:val="center"/>
              <w:rPr>
                <w:rFonts w:hint="default" w:ascii="宋体" w:hAnsi="宋体" w:eastAsia="宋体" w:cs="宋体"/>
                <w:b w:val="0"/>
                <w:bCs w:val="0"/>
                <w:kern w:val="0"/>
                <w:sz w:val="24"/>
                <w:szCs w:val="24"/>
                <w:highlight w:val="none"/>
                <w:lang w:val="en-US" w:eastAsia="zh-CN"/>
              </w:rPr>
            </w:pPr>
            <w:r>
              <w:rPr>
                <w:rFonts w:hint="eastAsia" w:ascii="宋体" w:hAnsi="宋体" w:eastAsia="宋体" w:cs="宋体"/>
                <w:b w:val="0"/>
                <w:bCs w:val="0"/>
                <w:kern w:val="0"/>
                <w:sz w:val="24"/>
                <w:szCs w:val="24"/>
                <w:highlight w:val="none"/>
                <w:lang w:val="en-US" w:eastAsia="zh-CN"/>
              </w:rPr>
              <w:t>总价含增值税，增值税税率为</w:t>
            </w:r>
            <w:r>
              <w:rPr>
                <w:rFonts w:hint="eastAsia" w:ascii="宋体" w:hAnsi="宋体" w:eastAsia="宋体" w:cs="宋体"/>
                <w:b w:val="0"/>
                <w:bCs w:val="0"/>
                <w:kern w:val="0"/>
                <w:sz w:val="24"/>
                <w:szCs w:val="24"/>
                <w:highlight w:val="none"/>
                <w:u w:val="single"/>
                <w:lang w:val="en-US" w:eastAsia="zh-CN"/>
              </w:rPr>
              <w:t xml:space="preserve">     </w:t>
            </w:r>
            <w:r>
              <w:rPr>
                <w:rFonts w:hint="eastAsia" w:ascii="宋体" w:hAnsi="宋体" w:eastAsia="宋体" w:cs="宋体"/>
                <w:b w:val="0"/>
                <w:bCs w:val="0"/>
                <w:kern w:val="0"/>
                <w:sz w:val="24"/>
                <w:szCs w:val="24"/>
                <w:highlight w:val="none"/>
                <w:lang w:val="en-US" w:eastAsia="zh-CN"/>
              </w:rPr>
              <w:t>%</w:t>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注：</w:t>
      </w:r>
    </w:p>
    <w:p>
      <w:pPr>
        <w:spacing w:line="360" w:lineRule="auto"/>
        <w:rPr>
          <w:rFonts w:hint="eastAsia" w:ascii="宋体" w:hAnsi="宋体" w:eastAsia="宋体" w:cs="宋体"/>
          <w:sz w:val="24"/>
          <w:szCs w:val="24"/>
        </w:rPr>
      </w:pPr>
      <w:r>
        <w:rPr>
          <w:rFonts w:hint="eastAsia" w:ascii="宋体" w:hAnsi="宋体" w:eastAsia="宋体" w:cs="宋体"/>
          <w:spacing w:val="-1"/>
          <w:sz w:val="24"/>
          <w:szCs w:val="24"/>
        </w:rPr>
        <w:t>1、若单价和总价有差异，以单价为准；</w:t>
      </w:r>
    </w:p>
    <w:p>
      <w:pPr>
        <w:spacing w:line="360" w:lineRule="auto"/>
        <w:rPr>
          <w:rFonts w:hint="eastAsia" w:ascii="宋体" w:hAnsi="宋体" w:eastAsia="宋体" w:cs="宋体"/>
          <w:sz w:val="24"/>
          <w:szCs w:val="24"/>
        </w:rPr>
      </w:pPr>
      <w:r>
        <w:rPr>
          <w:rFonts w:hint="eastAsia" w:ascii="宋体" w:hAnsi="宋体" w:eastAsia="宋体" w:cs="宋体"/>
          <w:spacing w:val="-1"/>
          <w:sz w:val="24"/>
          <w:szCs w:val="24"/>
        </w:rPr>
        <w:t>2、</w:t>
      </w:r>
      <w:r>
        <w:rPr>
          <w:rFonts w:hint="eastAsia" w:ascii="宋体" w:hAnsi="宋体" w:eastAsia="宋体" w:cs="宋体"/>
          <w:bCs/>
          <w:spacing w:val="2"/>
          <w:sz w:val="24"/>
          <w:szCs w:val="24"/>
        </w:rPr>
        <w:t>报价方</w:t>
      </w:r>
      <w:r>
        <w:rPr>
          <w:rFonts w:hint="eastAsia" w:ascii="宋体" w:hAnsi="宋体" w:eastAsia="宋体" w:cs="宋体"/>
          <w:spacing w:val="-1"/>
          <w:sz w:val="24"/>
          <w:szCs w:val="24"/>
        </w:rPr>
        <w:t>为执行本项目所发生的其他一切费用均已包含在总价中；</w:t>
      </w:r>
    </w:p>
    <w:p>
      <w:pPr>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3、按照询价文件中的需求进行报价，报价包含运杂费、服务</w:t>
      </w:r>
      <w:r>
        <w:rPr>
          <w:rFonts w:hint="eastAsia" w:ascii="宋体" w:hAnsi="宋体" w:eastAsia="宋体" w:cs="宋体"/>
          <w:spacing w:val="-1"/>
          <w:sz w:val="24"/>
          <w:szCs w:val="24"/>
          <w:lang w:val="en-US" w:eastAsia="zh-CN"/>
        </w:rPr>
        <w:t>/产品</w:t>
      </w:r>
      <w:r>
        <w:rPr>
          <w:rFonts w:hint="eastAsia" w:ascii="宋体" w:hAnsi="宋体" w:eastAsia="宋体" w:cs="宋体"/>
          <w:spacing w:val="-1"/>
          <w:sz w:val="24"/>
          <w:szCs w:val="24"/>
        </w:rPr>
        <w:t>费</w:t>
      </w:r>
      <w:r>
        <w:rPr>
          <w:rFonts w:hint="eastAsia" w:ascii="宋体" w:hAnsi="宋体" w:eastAsia="宋体" w:cs="宋体"/>
          <w:spacing w:val="-1"/>
          <w:sz w:val="24"/>
          <w:szCs w:val="24"/>
          <w:lang w:eastAsia="zh-CN"/>
        </w:rPr>
        <w:t>、税费</w:t>
      </w:r>
      <w:r>
        <w:rPr>
          <w:rFonts w:hint="eastAsia" w:ascii="宋体" w:hAnsi="宋体" w:eastAsia="宋体" w:cs="宋体"/>
          <w:spacing w:val="-1"/>
          <w:sz w:val="24"/>
          <w:szCs w:val="24"/>
        </w:rPr>
        <w:t>，发票应按照分项报价清单分项开具对应符合规定税率的全额增值税</w:t>
      </w:r>
      <w:r>
        <w:rPr>
          <w:rFonts w:hint="eastAsia" w:ascii="宋体" w:hAnsi="宋体" w:eastAsia="宋体" w:cs="宋体"/>
          <w:spacing w:val="-1"/>
          <w:sz w:val="24"/>
          <w:szCs w:val="24"/>
          <w:lang w:eastAsia="zh-CN"/>
        </w:rPr>
        <w:t>普通</w:t>
      </w:r>
      <w:r>
        <w:rPr>
          <w:rFonts w:hint="eastAsia" w:ascii="宋体" w:hAnsi="宋体" w:eastAsia="宋体" w:cs="宋体"/>
          <w:spacing w:val="-1"/>
          <w:sz w:val="24"/>
          <w:szCs w:val="24"/>
        </w:rPr>
        <w:t xml:space="preserve">发票。 </w:t>
      </w:r>
    </w:p>
    <w:p>
      <w:pPr>
        <w:spacing w:line="360" w:lineRule="auto"/>
        <w:jc w:val="left"/>
        <w:rPr>
          <w:rFonts w:hint="eastAsia" w:ascii="宋体" w:hAnsi="宋体" w:eastAsia="宋体" w:cs="宋体"/>
          <w:spacing w:val="-1"/>
          <w:sz w:val="24"/>
          <w:szCs w:val="24"/>
        </w:rPr>
      </w:pPr>
    </w:p>
    <w:p>
      <w:pPr>
        <w:wordWrap w:val="0"/>
        <w:spacing w:line="360" w:lineRule="auto"/>
        <w:jc w:val="left"/>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             </w:t>
      </w:r>
    </w:p>
    <w:p>
      <w:pPr>
        <w:wordWrap w:val="0"/>
        <w:spacing w:line="360" w:lineRule="auto"/>
        <w:jc w:val="left"/>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 xml:space="preserve">                   </w:t>
      </w:r>
    </w:p>
    <w:p>
      <w:pPr>
        <w:wordWrap w:val="0"/>
        <w:spacing w:line="360" w:lineRule="auto"/>
        <w:jc w:val="center"/>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 xml:space="preserve">                  </w:t>
      </w:r>
      <w:r>
        <w:rPr>
          <w:rFonts w:hint="eastAsia" w:ascii="宋体" w:hAnsi="宋体" w:eastAsia="宋体" w:cs="宋体"/>
          <w:spacing w:val="-1"/>
          <w:sz w:val="24"/>
          <w:szCs w:val="24"/>
        </w:rPr>
        <w:t>法定代表人或其授权代理人签字：</w:t>
      </w:r>
      <w:r>
        <w:rPr>
          <w:rFonts w:hint="eastAsia" w:ascii="宋体" w:hAnsi="宋体" w:eastAsia="宋体" w:cs="宋体"/>
          <w:spacing w:val="-1"/>
          <w:sz w:val="24"/>
          <w:szCs w:val="24"/>
          <w:lang w:val="en-US" w:eastAsia="zh-CN"/>
        </w:rPr>
        <w:t xml:space="preserve">     </w:t>
      </w:r>
    </w:p>
    <w:p>
      <w:pPr>
        <w:wordWrap w:val="0"/>
        <w:spacing w:line="360" w:lineRule="auto"/>
        <w:jc w:val="center"/>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                        </w:t>
      </w:r>
      <w:r>
        <w:rPr>
          <w:rFonts w:hint="eastAsia" w:ascii="宋体" w:hAnsi="宋体" w:cs="宋体"/>
          <w:spacing w:val="-1"/>
          <w:sz w:val="24"/>
          <w:szCs w:val="24"/>
          <w:lang w:val="en-US" w:eastAsia="zh-CN"/>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年     月     日</w:t>
      </w:r>
      <w:r>
        <w:rPr>
          <w:rFonts w:hint="eastAsia" w:ascii="宋体" w:hAnsi="宋体" w:eastAsia="宋体" w:cs="宋体"/>
          <w:spacing w:val="-1"/>
          <w:sz w:val="24"/>
          <w:szCs w:val="24"/>
          <w:lang w:val="en-US" w:eastAsia="zh-CN"/>
        </w:rPr>
        <w:t xml:space="preserve">          </w:t>
      </w:r>
    </w:p>
    <w:p>
      <w:pPr>
        <w:wordWrap/>
        <w:spacing w:line="360" w:lineRule="auto"/>
        <w:jc w:val="right"/>
        <w:rPr>
          <w:rFonts w:hint="eastAsia" w:ascii="宋体" w:hAnsi="宋体" w:eastAsia="宋体" w:cs="宋体"/>
          <w:spacing w:val="-1"/>
          <w:sz w:val="24"/>
          <w:szCs w:val="24"/>
          <w:lang w:val="en-US" w:eastAsia="zh-CN"/>
        </w:rPr>
        <w:sectPr>
          <w:footerReference r:id="rId7" w:type="default"/>
          <w:pgSz w:w="11906" w:h="16838"/>
          <w:pgMar w:top="1440" w:right="1800" w:bottom="1440" w:left="1800" w:header="851" w:footer="992" w:gutter="0"/>
          <w:cols w:space="720" w:num="1"/>
          <w:docGrid w:type="lines" w:linePitch="312" w:charSpace="0"/>
        </w:sectPr>
      </w:pPr>
    </w:p>
    <w:p>
      <w:pPr>
        <w:spacing w:line="360" w:lineRule="auto"/>
        <w:jc w:val="center"/>
        <w:outlineLvl w:val="5"/>
        <w:rPr>
          <w:rFonts w:ascii="宋体" w:hAnsi="宋体" w:cs="宋体"/>
          <w:color w:val="auto"/>
          <w:sz w:val="24"/>
          <w:szCs w:val="24"/>
          <w:highlight w:val="none"/>
        </w:rPr>
      </w:pPr>
      <w:r>
        <w:rPr>
          <w:rFonts w:hint="eastAsia"/>
          <w:b/>
          <w:bCs/>
          <w:color w:val="auto"/>
          <w:spacing w:val="14"/>
          <w:kern w:val="0"/>
          <w:sz w:val="24"/>
          <w:szCs w:val="24"/>
          <w:highlight w:val="none"/>
        </w:rPr>
        <w:t>品质</w:t>
      </w:r>
    </w:p>
    <w:tbl>
      <w:tblPr>
        <w:tblStyle w:val="20"/>
        <w:tblpPr w:leftFromText="180" w:rightFromText="180" w:vertAnchor="text" w:horzAnchor="page" w:tblpXSpec="center" w:tblpY="129"/>
        <w:tblOverlap w:val="never"/>
        <w:tblW w:w="8554"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791"/>
        <w:gridCol w:w="5986"/>
        <w:gridCol w:w="177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1417" w:hRule="atLeas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序号</w:t>
            </w:r>
          </w:p>
        </w:tc>
        <w:tc>
          <w:tcPr>
            <w:tcW w:w="5986"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技术要求</w:t>
            </w:r>
          </w:p>
        </w:tc>
        <w:tc>
          <w:tcPr>
            <w:tcW w:w="1777"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eastAsia="zh-CN" w:bidi="ar"/>
              </w:rPr>
            </w:pPr>
            <w:r>
              <w:rPr>
                <w:rFonts w:hint="eastAsia" w:ascii="宋体" w:hAnsi="宋体" w:eastAsia="宋体" w:cs="宋体"/>
                <w:b/>
                <w:color w:val="auto"/>
                <w:kern w:val="0"/>
                <w:sz w:val="24"/>
                <w:szCs w:val="24"/>
                <w:highlight w:val="none"/>
                <w:lang w:eastAsia="zh-CN" w:bidi="ar"/>
              </w:rPr>
              <w:t>报价单位</w:t>
            </w:r>
          </w:p>
          <w:p>
            <w:pPr>
              <w:widowControl/>
              <w:jc w:val="center"/>
              <w:textAlignment w:val="center"/>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是否满足</w:t>
            </w:r>
          </w:p>
          <w:p>
            <w:pPr>
              <w:widowControl/>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50" w:hRule="exact"/>
          <w:jc w:val="center"/>
        </w:trPr>
        <w:tc>
          <w:tcPr>
            <w:tcW w:w="8554" w:type="dxa"/>
            <w:gridSpan w:val="3"/>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一、</w:t>
            </w:r>
            <w:r>
              <w:rPr>
                <w:rFonts w:hint="eastAsia" w:ascii="宋体" w:hAnsi="宋体" w:eastAsia="宋体" w:cs="宋体"/>
                <w:b/>
                <w:bCs/>
                <w:color w:val="auto"/>
                <w:kern w:val="0"/>
                <w:sz w:val="24"/>
                <w:szCs w:val="24"/>
                <w:highlight w:val="none"/>
                <w:lang w:eastAsia="zh-CN" w:bidi="ar"/>
              </w:rPr>
              <w:t>师资</w:t>
            </w:r>
            <w:r>
              <w:rPr>
                <w:rFonts w:hint="eastAsia" w:ascii="宋体" w:hAnsi="宋体" w:eastAsia="宋体" w:cs="宋体"/>
                <w:b/>
                <w:bCs/>
                <w:color w:val="auto"/>
                <w:kern w:val="0"/>
                <w:sz w:val="24"/>
                <w:szCs w:val="24"/>
                <w:highlight w:val="none"/>
                <w:lang w:bidi="ar"/>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1005"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1</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指定1名经验丰富的幼师担任本次托管服务项目负责人，负责协调托管期间有关事宜，安排好托管期间的具体活动。</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670"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2</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托管期间派出的所有老师应具备幼师相关资格证件，并具有3年以上工作经验。</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50" w:hRule="exact"/>
          <w:jc w:val="center"/>
        </w:trPr>
        <w:tc>
          <w:tcPr>
            <w:tcW w:w="8554" w:type="dxa"/>
            <w:gridSpan w:val="3"/>
            <w:tcBorders>
              <w:tl2br w:val="nil"/>
              <w:tr2bl w:val="nil"/>
            </w:tcBorders>
            <w:shd w:val="clear" w:color="auto" w:fill="auto"/>
            <w:vAlign w:val="center"/>
          </w:tcPr>
          <w:p>
            <w:pPr>
              <w:jc w:val="center"/>
              <w:rPr>
                <w:rFonts w:hint="eastAsia" w:ascii="宋体" w:hAnsi="宋体" w:eastAsia="宋体" w:cs="宋体"/>
                <w:bCs/>
                <w:color w:val="auto"/>
                <w:sz w:val="24"/>
                <w:szCs w:val="24"/>
                <w:highlight w:val="none"/>
              </w:rPr>
            </w:pPr>
            <w:r>
              <w:rPr>
                <w:rFonts w:hint="eastAsia" w:ascii="宋体" w:hAnsi="宋体" w:eastAsia="宋体" w:cs="宋体"/>
                <w:b/>
                <w:bCs/>
                <w:color w:val="auto"/>
                <w:kern w:val="0"/>
                <w:sz w:val="24"/>
                <w:szCs w:val="24"/>
                <w:highlight w:val="none"/>
                <w:lang w:bidi="ar"/>
              </w:rPr>
              <w:t>二、</w:t>
            </w:r>
            <w:r>
              <w:rPr>
                <w:rFonts w:hint="eastAsia" w:ascii="宋体" w:hAnsi="宋体" w:eastAsia="宋体" w:cs="宋体"/>
                <w:b/>
                <w:bCs/>
                <w:color w:val="auto"/>
                <w:kern w:val="0"/>
                <w:sz w:val="24"/>
                <w:szCs w:val="24"/>
                <w:highlight w:val="none"/>
                <w:lang w:eastAsia="zh-CN" w:bidi="ar"/>
              </w:rPr>
              <w:t>学习、活动</w:t>
            </w:r>
            <w:r>
              <w:rPr>
                <w:rFonts w:hint="eastAsia" w:ascii="宋体" w:hAnsi="宋体" w:eastAsia="宋体" w:cs="宋体"/>
                <w:b/>
                <w:bCs/>
                <w:color w:val="auto"/>
                <w:kern w:val="0"/>
                <w:sz w:val="24"/>
                <w:szCs w:val="24"/>
                <w:highlight w:val="none"/>
                <w:lang w:bidi="ar"/>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1303"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1</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托管机构根据不同年龄段孩子制定托管期间服务内容清单，提交</w:t>
            </w:r>
            <w:r>
              <w:rPr>
                <w:rFonts w:hint="eastAsia" w:ascii="宋体" w:hAnsi="宋体" w:cs="宋体"/>
                <w:color w:val="auto"/>
                <w:sz w:val="24"/>
                <w:szCs w:val="24"/>
                <w:highlight w:val="none"/>
                <w:lang w:val="en-US" w:eastAsia="zh-CN"/>
              </w:rPr>
              <w:t>至</w:t>
            </w:r>
            <w:r>
              <w:rPr>
                <w:rFonts w:hint="eastAsia" w:ascii="宋体" w:hAnsi="宋体" w:eastAsia="宋体" w:cs="宋体"/>
                <w:color w:val="auto"/>
                <w:sz w:val="24"/>
                <w:szCs w:val="24"/>
                <w:highlight w:val="none"/>
                <w:lang w:val="en-US" w:eastAsia="zh-CN"/>
              </w:rPr>
              <w:t>大理局工会审定。内容主要包括但不限于适宜的学习辅导、图书分享、益智游戏、团队合作、社会实践等活动。</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442"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2</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中午提供孩子午休场所。</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50" w:hRule="exact"/>
          <w:jc w:val="center"/>
        </w:trPr>
        <w:tc>
          <w:tcPr>
            <w:tcW w:w="8554" w:type="dxa"/>
            <w:gridSpan w:val="3"/>
            <w:tcBorders>
              <w:tl2br w:val="nil"/>
              <w:tr2bl w:val="nil"/>
            </w:tcBorders>
            <w:shd w:val="clear" w:color="auto" w:fill="auto"/>
            <w:vAlign w:val="center"/>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w:t>
            </w:r>
            <w:r>
              <w:rPr>
                <w:rFonts w:hint="eastAsia" w:ascii="宋体" w:hAnsi="宋体" w:eastAsia="宋体" w:cs="宋体"/>
                <w:b/>
                <w:bCs/>
                <w:color w:val="auto"/>
                <w:sz w:val="24"/>
                <w:szCs w:val="24"/>
                <w:highlight w:val="none"/>
                <w:lang w:eastAsia="zh-CN"/>
              </w:rPr>
              <w:t>用餐</w:t>
            </w:r>
            <w:r>
              <w:rPr>
                <w:rFonts w:hint="eastAsia" w:ascii="宋体" w:hAnsi="宋体" w:eastAsia="宋体" w:cs="宋体"/>
                <w:b/>
                <w:bCs/>
                <w:color w:val="auto"/>
                <w:sz w:val="24"/>
                <w:szCs w:val="24"/>
                <w:highlight w:val="none"/>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00"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1</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每日提供两餐两点（早餐、午餐，上午、下午儿童点心）。</w:t>
            </w:r>
            <w:r>
              <w:rPr>
                <w:rFonts w:hint="eastAsia" w:ascii="宋体" w:hAnsi="宋体" w:eastAsia="宋体" w:cs="宋体"/>
                <w:color w:val="auto"/>
                <w:sz w:val="24"/>
                <w:szCs w:val="24"/>
                <w:highlight w:val="none"/>
                <w:lang w:eastAsia="zh-CN"/>
              </w:rPr>
              <w:t>午餐至少两荤两素。</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537"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2</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提前制定周菜谱，膳食搭配合理、营养均衡。</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50" w:hRule="exact"/>
          <w:jc w:val="center"/>
        </w:trPr>
        <w:tc>
          <w:tcPr>
            <w:tcW w:w="8554" w:type="dxa"/>
            <w:gridSpan w:val="3"/>
            <w:tcBorders>
              <w:tl2br w:val="nil"/>
              <w:tr2bl w:val="nil"/>
            </w:tcBorders>
            <w:shd w:val="clear" w:color="auto" w:fill="auto"/>
            <w:vAlign w:val="center"/>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r>
              <w:rPr>
                <w:rFonts w:hint="eastAsia" w:ascii="宋体" w:hAnsi="宋体" w:eastAsia="宋体" w:cs="宋体"/>
                <w:b/>
                <w:bCs/>
                <w:color w:val="auto"/>
                <w:sz w:val="24"/>
                <w:szCs w:val="24"/>
                <w:highlight w:val="none"/>
                <w:lang w:val="en-US" w:eastAsia="zh-CN"/>
              </w:rPr>
              <w:t>托管时间</w:t>
            </w:r>
            <w:r>
              <w:rPr>
                <w:rFonts w:hint="eastAsia" w:ascii="宋体" w:hAnsi="宋体" w:eastAsia="宋体" w:cs="宋体"/>
                <w:b/>
                <w:bCs/>
                <w:color w:val="auto"/>
                <w:sz w:val="24"/>
                <w:szCs w:val="24"/>
                <w:highlight w:val="none"/>
              </w:rPr>
              <w:t>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1076"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1</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预计</w:t>
            </w:r>
            <w:r>
              <w:rPr>
                <w:rFonts w:hint="eastAsia" w:ascii="宋体" w:hAnsi="宋体" w:eastAsia="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lang w:val="en-US" w:eastAsia="zh-CN"/>
              </w:rPr>
              <w:t>月1日至</w:t>
            </w:r>
            <w:r>
              <w:rPr>
                <w:rFonts w:hint="eastAsia" w:ascii="宋体" w:hAnsi="宋体" w:eastAsia="宋体" w:cs="宋体"/>
                <w:b w:val="0"/>
                <w:bCs w:val="0"/>
                <w:color w:val="auto"/>
                <w:sz w:val="24"/>
                <w:szCs w:val="24"/>
                <w:highlight w:val="none"/>
                <w:lang w:val="en-US" w:eastAsia="zh-CN"/>
              </w:rPr>
              <w:t>8月</w:t>
            </w:r>
            <w:r>
              <w:rPr>
                <w:rFonts w:hint="eastAsia" w:ascii="宋体" w:hAnsi="宋体" w:cs="宋体"/>
                <w:b w:val="0"/>
                <w:bCs w:val="0"/>
                <w:color w:val="auto"/>
                <w:sz w:val="24"/>
                <w:szCs w:val="24"/>
                <w:highlight w:val="none"/>
                <w:lang w:val="en-US" w:eastAsia="zh-CN"/>
              </w:rPr>
              <w:t>31日（具体以放假时间为准，至少提前两周通知托管单位）</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预计5周（根据出勤情况，据实结算），</w:t>
            </w:r>
            <w:r>
              <w:rPr>
                <w:rFonts w:hint="eastAsia" w:ascii="宋体" w:hAnsi="宋体" w:eastAsia="宋体" w:cs="宋体"/>
                <w:b w:val="0"/>
                <w:bCs w:val="0"/>
                <w:color w:val="auto"/>
                <w:sz w:val="24"/>
                <w:szCs w:val="24"/>
                <w:highlight w:val="none"/>
                <w:lang w:val="en-US" w:eastAsia="zh-CN"/>
              </w:rPr>
              <w:t>每周</w:t>
            </w:r>
            <w:r>
              <w:rPr>
                <w:rFonts w:hint="eastAsia" w:ascii="宋体" w:hAnsi="宋体" w:eastAsia="宋体" w:cs="宋体"/>
                <w:color w:val="auto"/>
                <w:sz w:val="24"/>
                <w:szCs w:val="24"/>
                <w:highlight w:val="none"/>
                <w:lang w:eastAsia="zh-CN"/>
              </w:rPr>
              <w:t>工作日</w:t>
            </w:r>
            <w:r>
              <w:rPr>
                <w:rFonts w:hint="eastAsia" w:ascii="宋体" w:hAnsi="宋体" w:eastAsia="宋体" w:cs="宋体"/>
                <w:color w:val="auto"/>
                <w:sz w:val="24"/>
                <w:szCs w:val="24"/>
                <w:highlight w:val="none"/>
                <w:lang w:val="en-US" w:eastAsia="zh-CN"/>
              </w:rPr>
              <w:t>8:00-18:00</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50" w:hRule="exact"/>
          <w:jc w:val="center"/>
        </w:trPr>
        <w:tc>
          <w:tcPr>
            <w:tcW w:w="8554" w:type="dxa"/>
            <w:gridSpan w:val="3"/>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五、安全责任及其他要求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04"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1</w:t>
            </w:r>
          </w:p>
        </w:tc>
        <w:tc>
          <w:tcPr>
            <w:tcW w:w="5986" w:type="dxa"/>
            <w:tcBorders>
              <w:tl2br w:val="nil"/>
              <w:tr2bl w:val="nil"/>
            </w:tcBorders>
            <w:shd w:val="clear" w:color="auto" w:fill="auto"/>
            <w:vAlign w:val="center"/>
          </w:tcPr>
          <w:p>
            <w:pPr>
              <w:widowControl/>
              <w:jc w:val="both"/>
              <w:textAlignment w:val="center"/>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val="0"/>
                <w:bCs/>
                <w:color w:val="auto"/>
                <w:kern w:val="0"/>
                <w:sz w:val="24"/>
                <w:szCs w:val="24"/>
                <w:highlight w:val="none"/>
                <w:lang w:val="en-US" w:eastAsia="zh-CN" w:bidi="ar"/>
              </w:rPr>
              <w:t>孩</w:t>
            </w:r>
            <w:r>
              <w:rPr>
                <w:rFonts w:hint="eastAsia" w:ascii="宋体" w:hAnsi="宋体" w:eastAsia="宋体" w:cs="宋体"/>
                <w:b w:val="0"/>
                <w:bCs/>
                <w:color w:val="auto"/>
                <w:sz w:val="24"/>
                <w:szCs w:val="24"/>
                <w:highlight w:val="none"/>
                <w:lang w:val="en-US" w:eastAsia="zh-CN"/>
              </w:rPr>
              <w:t>子</w:t>
            </w:r>
            <w:r>
              <w:rPr>
                <w:rFonts w:hint="eastAsia" w:ascii="宋体" w:hAnsi="宋体" w:eastAsia="宋体" w:cs="宋体"/>
                <w:b w:val="0"/>
                <w:bCs w:val="0"/>
                <w:color w:val="auto"/>
                <w:sz w:val="24"/>
                <w:szCs w:val="24"/>
                <w:highlight w:val="none"/>
                <w:lang w:val="en-US" w:eastAsia="zh-CN"/>
              </w:rPr>
              <w:t>在机构托管期间，一切安全问题由托管机构负责。托管机构未经监护人允许，不得让孩子擅自离开托管机构。</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33"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2</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如托管机构位置距离大理局本部1公里以外，需免费提供接送服务，接送点为大理局本部。</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50" w:hRule="exact"/>
          <w:jc w:val="center"/>
        </w:trPr>
        <w:tc>
          <w:tcPr>
            <w:tcW w:w="8554" w:type="dxa"/>
            <w:gridSpan w:val="3"/>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六、结算要求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560"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1</w:t>
            </w:r>
          </w:p>
        </w:tc>
        <w:tc>
          <w:tcPr>
            <w:tcW w:w="5986"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根据孩子出勤情况按周计费。</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43" w:hRule="exact"/>
          <w:jc w:val="center"/>
        </w:trPr>
        <w:tc>
          <w:tcPr>
            <w:tcW w:w="791"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2</w:t>
            </w:r>
          </w:p>
        </w:tc>
        <w:tc>
          <w:tcPr>
            <w:tcW w:w="5986" w:type="dxa"/>
            <w:tcBorders>
              <w:tl2br w:val="nil"/>
              <w:tr2bl w:val="nil"/>
            </w:tcBorders>
            <w:shd w:val="clear" w:color="auto" w:fill="auto"/>
            <w:vAlign w:val="center"/>
          </w:tcPr>
          <w:p>
            <w:pPr>
              <w:adjustRightInd w:val="0"/>
              <w:snapToGrid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托管期结束后大理局在收到正式发票之日起，1个月内完成结算。</w:t>
            </w:r>
          </w:p>
        </w:tc>
        <w:tc>
          <w:tcPr>
            <w:tcW w:w="1777"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bl>
    <w:p>
      <w:pPr>
        <w:tabs>
          <w:tab w:val="left" w:pos="7180"/>
          <w:tab w:val="left" w:pos="7601"/>
        </w:tabs>
        <w:spacing w:line="360" w:lineRule="auto"/>
        <w:jc w:val="both"/>
        <w:rPr>
          <w:rFonts w:hint="eastAsia" w:asciiTheme="minorEastAsia" w:hAnsiTheme="minorEastAsia" w:eastAsiaTheme="minorEastAsia" w:cstheme="minorEastAsia"/>
          <w:color w:val="auto"/>
          <w:spacing w:val="-1"/>
          <w:kern w:val="0"/>
          <w:sz w:val="24"/>
          <w:szCs w:val="24"/>
          <w:highlight w:val="none"/>
          <w:lang w:val="zh-CN"/>
        </w:rPr>
      </w:pPr>
    </w:p>
    <w:p>
      <w:pPr>
        <w:tabs>
          <w:tab w:val="left" w:pos="7180"/>
          <w:tab w:val="left" w:pos="7601"/>
        </w:tabs>
        <w:spacing w:line="360" w:lineRule="auto"/>
        <w:jc w:val="left"/>
        <w:rPr>
          <w:rFonts w:hint="eastAsia" w:asciiTheme="minorEastAsia" w:hAnsiTheme="minorEastAsia" w:eastAsiaTheme="minorEastAsia" w:cstheme="minorEastAsia"/>
          <w:color w:val="auto"/>
          <w:spacing w:val="-1"/>
          <w:kern w:val="0"/>
          <w:sz w:val="24"/>
          <w:szCs w:val="24"/>
          <w:highlight w:val="none"/>
          <w:lang w:val="zh-CN"/>
        </w:rPr>
      </w:pPr>
    </w:p>
    <w:p>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szCs w:val="24"/>
          <w:highlight w:val="none"/>
          <w:lang w:val="zh-CN"/>
        </w:rPr>
      </w:pPr>
    </w:p>
    <w:p>
      <w:pPr>
        <w:keepNext w:val="0"/>
        <w:keepLines w:val="0"/>
        <w:pageBreakBefore w:val="0"/>
        <w:widowControl w:val="0"/>
        <w:tabs>
          <w:tab w:val="left" w:pos="7180"/>
          <w:tab w:val="left" w:pos="7601"/>
        </w:tabs>
        <w:kinsoku/>
        <w:wordWrap/>
        <w:overflowPunct/>
        <w:topLinePunct w:val="0"/>
        <w:autoSpaceDE/>
        <w:autoSpaceDN/>
        <w:bidi w:val="0"/>
        <w:adjustRightInd/>
        <w:snapToGrid/>
        <w:spacing w:line="120" w:lineRule="auto"/>
        <w:jc w:val="right"/>
        <w:textAlignment w:val="auto"/>
        <w:rPr>
          <w:rFonts w:hint="eastAsia" w:asciiTheme="minorEastAsia" w:hAnsiTheme="minorEastAsia" w:eastAsiaTheme="minorEastAsia" w:cstheme="minorEastAsia"/>
          <w:color w:val="auto"/>
          <w:spacing w:val="-1"/>
          <w:kern w:val="0"/>
          <w:sz w:val="24"/>
          <w:szCs w:val="24"/>
          <w:highlight w:val="none"/>
          <w:lang w:val="zh-CN"/>
        </w:rPr>
      </w:pPr>
    </w:p>
    <w:p>
      <w:pPr>
        <w:tabs>
          <w:tab w:val="left" w:pos="7180"/>
          <w:tab w:val="left" w:pos="7601"/>
        </w:tabs>
        <w:spacing w:line="360" w:lineRule="auto"/>
        <w:ind w:firstLine="2618" w:firstLineChars="1100"/>
        <w:jc w:val="right"/>
        <w:rPr>
          <w:rFonts w:asciiTheme="minorEastAsia" w:hAnsiTheme="minorEastAsia" w:eastAsiaTheme="minorEastAsia" w:cstheme="minorEastAsia"/>
          <w:color w:val="auto"/>
          <w:spacing w:val="23"/>
          <w:kern w:val="0"/>
          <w:sz w:val="24"/>
          <w:szCs w:val="24"/>
          <w:highlight w:val="none"/>
          <w:lang w:val="zh-CN"/>
        </w:rPr>
      </w:pPr>
      <w:r>
        <w:rPr>
          <w:rFonts w:hint="eastAsia" w:asciiTheme="minorEastAsia" w:hAnsiTheme="minorEastAsia" w:eastAsiaTheme="minorEastAsia" w:cstheme="minorEastAsia"/>
          <w:color w:val="auto"/>
          <w:spacing w:val="-1"/>
          <w:kern w:val="0"/>
          <w:sz w:val="24"/>
          <w:szCs w:val="24"/>
          <w:highlight w:val="none"/>
          <w:lang w:val="zh-CN"/>
        </w:rPr>
        <w:t>报价单位：</w:t>
      </w:r>
      <w:r>
        <w:rPr>
          <w:rFonts w:hint="eastAsia" w:asciiTheme="minorEastAsia" w:hAnsiTheme="minorEastAsia" w:eastAsiaTheme="minorEastAsia" w:cstheme="minorEastAsia"/>
          <w:color w:val="auto"/>
          <w:spacing w:val="-1"/>
          <w:kern w:val="0"/>
          <w:sz w:val="24"/>
          <w:szCs w:val="24"/>
          <w:highlight w:val="none"/>
          <w:u w:val="single" w:color="000000"/>
          <w:lang w:val="zh-CN"/>
        </w:rPr>
        <w:t xml:space="preserve">          </w:t>
      </w:r>
      <w:r>
        <w:rPr>
          <w:rFonts w:hint="eastAsia" w:asciiTheme="minorEastAsia" w:hAnsiTheme="minorEastAsia" w:eastAsiaTheme="minorEastAsia" w:cstheme="minorEastAsia"/>
          <w:color w:val="auto"/>
          <w:spacing w:val="-1"/>
          <w:kern w:val="0"/>
          <w:sz w:val="24"/>
          <w:szCs w:val="24"/>
          <w:highlight w:val="none"/>
          <w:u w:val="single" w:color="000000"/>
          <w:lang w:val="en-US" w:eastAsia="zh-CN"/>
        </w:rPr>
        <w:t xml:space="preserve"> </w:t>
      </w:r>
      <w:r>
        <w:rPr>
          <w:rFonts w:hint="eastAsia" w:asciiTheme="minorEastAsia" w:hAnsiTheme="minorEastAsia" w:eastAsiaTheme="minorEastAsia" w:cstheme="minorEastAsia"/>
          <w:color w:val="auto"/>
          <w:spacing w:val="-1"/>
          <w:kern w:val="0"/>
          <w:sz w:val="24"/>
          <w:szCs w:val="24"/>
          <w:highlight w:val="none"/>
          <w:u w:val="single" w:color="000000"/>
          <w:lang w:val="zh-CN"/>
        </w:rPr>
        <w:t xml:space="preserve">     </w:t>
      </w:r>
      <w:r>
        <w:rPr>
          <w:rFonts w:hint="eastAsia" w:asciiTheme="minorEastAsia" w:hAnsiTheme="minorEastAsia" w:eastAsiaTheme="minorEastAsia" w:cstheme="minorEastAsia"/>
          <w:color w:val="auto"/>
          <w:kern w:val="0"/>
          <w:sz w:val="24"/>
          <w:szCs w:val="24"/>
          <w:highlight w:val="none"/>
          <w:lang w:val="zh-CN"/>
        </w:rPr>
        <w:t>（盖单位章）</w:t>
      </w:r>
    </w:p>
    <w:p>
      <w:pPr>
        <w:tabs>
          <w:tab w:val="left" w:pos="7180"/>
          <w:tab w:val="left" w:pos="7601"/>
        </w:tabs>
        <w:spacing w:line="360" w:lineRule="auto"/>
        <w:ind w:firstLine="1190" w:firstLineChars="500"/>
        <w:jc w:val="right"/>
        <w:rPr>
          <w:rFonts w:asciiTheme="minorEastAsia" w:hAnsiTheme="minorEastAsia" w:eastAsiaTheme="minorEastAsia" w:cstheme="minorEastAsia"/>
          <w:color w:val="auto"/>
          <w:kern w:val="0"/>
          <w:sz w:val="24"/>
          <w:szCs w:val="24"/>
          <w:highlight w:val="none"/>
          <w:lang w:val="zh-CN"/>
        </w:rPr>
      </w:pPr>
      <w:r>
        <w:rPr>
          <w:rFonts w:hint="eastAsia" w:asciiTheme="minorEastAsia" w:hAnsiTheme="minorEastAsia" w:eastAsiaTheme="minorEastAsia" w:cstheme="minorEastAsia"/>
          <w:color w:val="auto"/>
          <w:spacing w:val="-1"/>
          <w:kern w:val="0"/>
          <w:sz w:val="24"/>
          <w:szCs w:val="24"/>
          <w:highlight w:val="none"/>
          <w:lang w:val="zh-CN"/>
        </w:rPr>
        <w:t>法定代表人或授权代表：</w:t>
      </w:r>
      <w:r>
        <w:rPr>
          <w:rFonts w:hint="eastAsia" w:asciiTheme="minorEastAsia" w:hAnsiTheme="minorEastAsia" w:eastAsiaTheme="minorEastAsia" w:cstheme="minorEastAsia"/>
          <w:color w:val="auto"/>
          <w:spacing w:val="-1"/>
          <w:kern w:val="0"/>
          <w:sz w:val="24"/>
          <w:szCs w:val="24"/>
          <w:highlight w:val="none"/>
          <w:u w:val="single" w:color="000000"/>
          <w:lang w:val="zh-CN"/>
        </w:rPr>
        <w:t xml:space="preserve">   </w:t>
      </w:r>
      <w:r>
        <w:rPr>
          <w:rFonts w:hint="eastAsia" w:asciiTheme="minorEastAsia" w:hAnsiTheme="minorEastAsia" w:eastAsiaTheme="minorEastAsia" w:cstheme="minorEastAsia"/>
          <w:color w:val="auto"/>
          <w:spacing w:val="-1"/>
          <w:kern w:val="0"/>
          <w:sz w:val="24"/>
          <w:szCs w:val="24"/>
          <w:highlight w:val="none"/>
          <w:u w:val="single" w:color="000000"/>
          <w:lang w:val="en-US" w:eastAsia="zh-CN"/>
        </w:rPr>
        <w:t xml:space="preserve"> </w:t>
      </w:r>
      <w:r>
        <w:rPr>
          <w:rFonts w:hint="eastAsia" w:asciiTheme="minorEastAsia" w:hAnsiTheme="minorEastAsia" w:eastAsiaTheme="minorEastAsia" w:cstheme="minorEastAsia"/>
          <w:color w:val="auto"/>
          <w:spacing w:val="-1"/>
          <w:kern w:val="0"/>
          <w:sz w:val="24"/>
          <w:szCs w:val="24"/>
          <w:highlight w:val="none"/>
          <w:u w:val="single" w:color="000000"/>
          <w:lang w:val="zh-CN"/>
        </w:rPr>
        <w:t xml:space="preserve">     </w:t>
      </w:r>
      <w:r>
        <w:rPr>
          <w:rFonts w:hint="eastAsia" w:asciiTheme="minorEastAsia" w:hAnsiTheme="minorEastAsia" w:eastAsiaTheme="minorEastAsia" w:cstheme="minorEastAsia"/>
          <w:color w:val="auto"/>
          <w:spacing w:val="-1"/>
          <w:kern w:val="0"/>
          <w:sz w:val="24"/>
          <w:szCs w:val="24"/>
          <w:highlight w:val="none"/>
          <w:u w:val="single" w:color="000000"/>
          <w:lang w:val="en-US" w:eastAsia="zh-CN"/>
        </w:rPr>
        <w:t xml:space="preserve">       </w:t>
      </w:r>
      <w:r>
        <w:rPr>
          <w:rFonts w:hint="eastAsia" w:asciiTheme="minorEastAsia" w:hAnsiTheme="minorEastAsia" w:eastAsiaTheme="minorEastAsia" w:cstheme="minorEastAsia"/>
          <w:color w:val="auto"/>
          <w:kern w:val="0"/>
          <w:sz w:val="24"/>
          <w:szCs w:val="24"/>
          <w:highlight w:val="none"/>
          <w:lang w:val="zh-CN"/>
        </w:rPr>
        <w:t>（签字）</w:t>
      </w:r>
    </w:p>
    <w:p>
      <w:pPr>
        <w:tabs>
          <w:tab w:val="left" w:pos="722"/>
          <w:tab w:val="left" w:pos="1323"/>
        </w:tabs>
        <w:spacing w:line="360" w:lineRule="auto"/>
        <w:jc w:val="right"/>
        <w:rPr>
          <w:b/>
          <w:bCs/>
          <w:color w:val="auto"/>
          <w:spacing w:val="14"/>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 xml:space="preserve">                                          </w:t>
      </w:r>
      <w:r>
        <w:rPr>
          <w:rFonts w:hint="eastAsia" w:asciiTheme="minorEastAsia" w:hAnsiTheme="minorEastAsia" w:eastAsiaTheme="minorEastAsia" w:cstheme="minorEastAsia"/>
          <w:color w:val="auto"/>
          <w:kern w:val="0"/>
          <w:sz w:val="24"/>
          <w:szCs w:val="24"/>
          <w:highlight w:val="none"/>
          <w:lang w:val="zh-CN"/>
        </w:rPr>
        <w:t>年    月    日</w:t>
      </w:r>
    </w:p>
    <w:p>
      <w:pPr>
        <w:spacing w:line="360" w:lineRule="auto"/>
        <w:jc w:val="right"/>
        <w:outlineLvl w:val="5"/>
        <w:rPr>
          <w:b/>
          <w:bCs/>
          <w:color w:val="auto"/>
          <w:spacing w:val="14"/>
          <w:kern w:val="0"/>
          <w:sz w:val="24"/>
          <w:szCs w:val="24"/>
          <w:highlight w:val="none"/>
        </w:rPr>
      </w:pPr>
    </w:p>
    <w:p>
      <w:pPr>
        <w:spacing w:line="360" w:lineRule="auto"/>
        <w:outlineLvl w:val="5"/>
        <w:rPr>
          <w:b/>
          <w:bCs/>
          <w:color w:val="auto"/>
          <w:spacing w:val="14"/>
          <w:kern w:val="0"/>
          <w:sz w:val="24"/>
          <w:szCs w:val="24"/>
          <w:highlight w:val="none"/>
        </w:rPr>
      </w:pPr>
    </w:p>
    <w:p>
      <w:pPr>
        <w:spacing w:line="360" w:lineRule="auto"/>
        <w:jc w:val="center"/>
        <w:outlineLvl w:val="5"/>
        <w:rPr>
          <w:rFonts w:hint="eastAsia"/>
          <w:b/>
          <w:bCs/>
          <w:color w:val="auto"/>
          <w:spacing w:val="14"/>
          <w:kern w:val="0"/>
          <w:sz w:val="24"/>
          <w:szCs w:val="24"/>
          <w:highlight w:val="none"/>
        </w:rPr>
      </w:pPr>
    </w:p>
    <w:p>
      <w:pPr>
        <w:spacing w:line="360" w:lineRule="auto"/>
        <w:jc w:val="center"/>
        <w:outlineLvl w:val="5"/>
        <w:rPr>
          <w:rFonts w:hint="eastAsia"/>
          <w:b/>
          <w:bCs/>
          <w:color w:val="auto"/>
          <w:spacing w:val="14"/>
          <w:kern w:val="0"/>
          <w:sz w:val="24"/>
          <w:szCs w:val="24"/>
          <w:highlight w:val="none"/>
        </w:rPr>
      </w:pPr>
    </w:p>
    <w:p>
      <w:pPr>
        <w:spacing w:line="360" w:lineRule="auto"/>
        <w:jc w:val="center"/>
        <w:outlineLvl w:val="5"/>
        <w:rPr>
          <w:rFonts w:hint="eastAsia"/>
          <w:b/>
          <w:bCs/>
          <w:color w:val="auto"/>
          <w:spacing w:val="14"/>
          <w:kern w:val="0"/>
          <w:sz w:val="24"/>
          <w:szCs w:val="24"/>
          <w:highlight w:val="none"/>
        </w:rPr>
      </w:pPr>
    </w:p>
    <w:p>
      <w:pPr>
        <w:spacing w:line="360" w:lineRule="auto"/>
        <w:jc w:val="center"/>
        <w:outlineLvl w:val="5"/>
        <w:rPr>
          <w:rFonts w:hint="eastAsia"/>
          <w:b/>
          <w:bCs/>
          <w:color w:val="auto"/>
          <w:spacing w:val="14"/>
          <w:kern w:val="0"/>
          <w:sz w:val="24"/>
          <w:szCs w:val="24"/>
          <w:highlight w:val="none"/>
        </w:rPr>
      </w:pPr>
    </w:p>
    <w:p>
      <w:pPr>
        <w:spacing w:line="360" w:lineRule="auto"/>
        <w:jc w:val="center"/>
        <w:outlineLvl w:val="5"/>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pStyle w:val="2"/>
        <w:rPr>
          <w:rFonts w:hint="eastAsia"/>
          <w:b/>
          <w:bCs/>
          <w:color w:val="auto"/>
          <w:spacing w:val="14"/>
          <w:kern w:val="0"/>
          <w:sz w:val="24"/>
          <w:szCs w:val="24"/>
          <w:highlight w:val="none"/>
        </w:rPr>
      </w:pPr>
    </w:p>
    <w:p>
      <w:pPr>
        <w:spacing w:line="360" w:lineRule="auto"/>
        <w:jc w:val="center"/>
        <w:outlineLvl w:val="5"/>
        <w:rPr>
          <w:b/>
          <w:bCs/>
          <w:color w:val="auto"/>
          <w:spacing w:val="14"/>
          <w:kern w:val="0"/>
          <w:sz w:val="24"/>
          <w:szCs w:val="24"/>
          <w:highlight w:val="none"/>
        </w:rPr>
      </w:pPr>
      <w:r>
        <w:rPr>
          <w:rFonts w:hint="eastAsia"/>
          <w:b/>
          <w:bCs/>
          <w:color w:val="auto"/>
          <w:spacing w:val="14"/>
          <w:kern w:val="0"/>
          <w:sz w:val="24"/>
          <w:szCs w:val="24"/>
          <w:highlight w:val="none"/>
        </w:rPr>
        <w:t>售后服务</w:t>
      </w:r>
    </w:p>
    <w:tbl>
      <w:tblPr>
        <w:tblStyle w:val="20"/>
        <w:tblpPr w:leftFromText="180" w:rightFromText="180" w:vertAnchor="text" w:horzAnchor="page" w:tblpXSpec="center" w:tblpY="129"/>
        <w:tblOverlap w:val="never"/>
        <w:tblW w:w="8554"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684"/>
        <w:gridCol w:w="6027"/>
        <w:gridCol w:w="184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1417" w:hRule="atLeast"/>
          <w:jc w:val="center"/>
        </w:trPr>
        <w:tc>
          <w:tcPr>
            <w:tcW w:w="684"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0"/>
                <w:sz w:val="24"/>
                <w:szCs w:val="24"/>
                <w:highlight w:val="none"/>
                <w:lang w:bidi="ar"/>
              </w:rPr>
              <w:t>序号</w:t>
            </w:r>
          </w:p>
        </w:tc>
        <w:tc>
          <w:tcPr>
            <w:tcW w:w="6027"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0"/>
                <w:sz w:val="24"/>
                <w:szCs w:val="24"/>
                <w:highlight w:val="none"/>
                <w:lang w:bidi="ar"/>
              </w:rPr>
              <w:t>售后服务要求</w:t>
            </w:r>
          </w:p>
        </w:tc>
        <w:tc>
          <w:tcPr>
            <w:tcW w:w="1843"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eastAsia="zh-CN" w:bidi="ar"/>
              </w:rPr>
            </w:pPr>
            <w:r>
              <w:rPr>
                <w:rFonts w:hint="eastAsia" w:ascii="宋体" w:hAnsi="宋体" w:eastAsia="宋体" w:cs="宋体"/>
                <w:b/>
                <w:color w:val="auto"/>
                <w:kern w:val="0"/>
                <w:sz w:val="24"/>
                <w:szCs w:val="24"/>
                <w:highlight w:val="none"/>
                <w:lang w:eastAsia="zh-CN" w:bidi="ar"/>
              </w:rPr>
              <w:t>报价单位</w:t>
            </w:r>
          </w:p>
          <w:p>
            <w:pPr>
              <w:widowControl/>
              <w:jc w:val="center"/>
              <w:textAlignment w:val="center"/>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是否满足</w:t>
            </w:r>
          </w:p>
          <w:p>
            <w:pPr>
              <w:widowControl/>
              <w:jc w:val="center"/>
              <w:textAlignment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0"/>
                <w:sz w:val="24"/>
                <w:szCs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Ex>
        <w:trPr>
          <w:trHeight w:val="804" w:hRule="exact"/>
          <w:jc w:val="center"/>
        </w:trPr>
        <w:tc>
          <w:tcPr>
            <w:tcW w:w="684" w:type="dxa"/>
            <w:tcBorders>
              <w:tl2br w:val="nil"/>
              <w:tr2bl w:val="nil"/>
            </w:tcBorders>
            <w:shd w:val="clear" w:color="auto" w:fill="auto"/>
            <w:vAlign w:val="center"/>
          </w:tcPr>
          <w:p>
            <w:pPr>
              <w:widowControl/>
              <w:jc w:val="center"/>
              <w:textAlignment w:val="center"/>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1</w:t>
            </w:r>
          </w:p>
        </w:tc>
        <w:tc>
          <w:tcPr>
            <w:tcW w:w="6027" w:type="dxa"/>
            <w:tcBorders>
              <w:tl2br w:val="nil"/>
              <w:tr2bl w:val="nil"/>
            </w:tcBorders>
            <w:shd w:val="clear" w:color="auto" w:fill="auto"/>
            <w:vAlign w:val="center"/>
          </w:tcPr>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发票要求：</w:t>
            </w:r>
            <w:r>
              <w:rPr>
                <w:rFonts w:hint="eastAsia" w:ascii="宋体" w:hAnsi="宋体" w:eastAsia="宋体" w:cs="宋体"/>
                <w:color w:val="auto"/>
                <w:sz w:val="24"/>
                <w:szCs w:val="24"/>
                <w:highlight w:val="none"/>
              </w:rPr>
              <w:t>报价单位可提供符合规定税率的全额增值税</w:t>
            </w:r>
            <w:r>
              <w:rPr>
                <w:rFonts w:hint="eastAsia" w:ascii="宋体" w:hAnsi="宋体" w:eastAsia="宋体" w:cs="宋体"/>
                <w:color w:val="auto"/>
                <w:sz w:val="24"/>
                <w:szCs w:val="24"/>
                <w:highlight w:val="none"/>
                <w:lang w:eastAsia="zh-CN"/>
              </w:rPr>
              <w:t>普通</w:t>
            </w:r>
            <w:r>
              <w:rPr>
                <w:rFonts w:hint="eastAsia" w:ascii="宋体" w:hAnsi="宋体" w:eastAsia="宋体" w:cs="宋体"/>
                <w:color w:val="auto"/>
                <w:sz w:val="24"/>
                <w:szCs w:val="24"/>
                <w:highlight w:val="none"/>
              </w:rPr>
              <w:t>发票。</w:t>
            </w:r>
          </w:p>
        </w:tc>
        <w:tc>
          <w:tcPr>
            <w:tcW w:w="1843" w:type="dxa"/>
            <w:tcBorders>
              <w:tl2br w:val="nil"/>
              <w:tr2bl w:val="nil"/>
            </w:tcBorders>
            <w:shd w:val="clear" w:color="auto" w:fill="auto"/>
            <w:vAlign w:val="center"/>
          </w:tcPr>
          <w:p>
            <w:pPr>
              <w:jc w:val="center"/>
              <w:rPr>
                <w:rFonts w:hint="eastAsia" w:ascii="宋体" w:hAnsi="宋体" w:eastAsia="宋体" w:cs="宋体"/>
                <w:color w:val="auto"/>
                <w:sz w:val="24"/>
                <w:szCs w:val="24"/>
                <w:highlight w:val="none"/>
              </w:rPr>
            </w:pPr>
          </w:p>
        </w:tc>
      </w:tr>
    </w:tbl>
    <w:p>
      <w:pPr>
        <w:spacing w:line="360" w:lineRule="auto"/>
        <w:jc w:val="left"/>
        <w:outlineLvl w:val="5"/>
        <w:rPr>
          <w:color w:val="auto"/>
          <w:kern w:val="0"/>
          <w:sz w:val="24"/>
          <w:szCs w:val="24"/>
          <w:highlight w:val="none"/>
        </w:rPr>
      </w:pPr>
    </w:p>
    <w:p>
      <w:pPr>
        <w:tabs>
          <w:tab w:val="left" w:pos="7180"/>
          <w:tab w:val="left" w:pos="7601"/>
        </w:tabs>
        <w:spacing w:line="360" w:lineRule="auto"/>
        <w:jc w:val="left"/>
        <w:rPr>
          <w:color w:val="auto"/>
          <w:spacing w:val="-1"/>
          <w:kern w:val="0"/>
          <w:sz w:val="24"/>
          <w:szCs w:val="24"/>
          <w:highlight w:val="none"/>
          <w:lang w:val="zh-CN"/>
        </w:rPr>
      </w:pPr>
    </w:p>
    <w:p>
      <w:pPr>
        <w:tabs>
          <w:tab w:val="left" w:pos="7180"/>
          <w:tab w:val="left" w:pos="7601"/>
        </w:tabs>
        <w:spacing w:line="360" w:lineRule="auto"/>
        <w:jc w:val="right"/>
        <w:rPr>
          <w:color w:val="auto"/>
          <w:spacing w:val="-1"/>
          <w:kern w:val="0"/>
          <w:sz w:val="24"/>
          <w:szCs w:val="24"/>
          <w:highlight w:val="none"/>
          <w:lang w:val="zh-CN"/>
        </w:rPr>
      </w:pPr>
    </w:p>
    <w:p>
      <w:pPr>
        <w:tabs>
          <w:tab w:val="left" w:pos="7180"/>
          <w:tab w:val="left" w:pos="7601"/>
        </w:tabs>
        <w:spacing w:line="360" w:lineRule="auto"/>
        <w:jc w:val="right"/>
        <w:rPr>
          <w:rFonts w:hint="eastAsia" w:ascii="宋体" w:hAnsi="宋体" w:eastAsia="宋体" w:cs="宋体"/>
          <w:color w:val="auto"/>
          <w:spacing w:val="23"/>
          <w:kern w:val="0"/>
          <w:sz w:val="24"/>
          <w:szCs w:val="24"/>
          <w:highlight w:val="none"/>
          <w:lang w:val="zh-CN"/>
        </w:rPr>
      </w:pPr>
      <w:r>
        <w:rPr>
          <w:rFonts w:hint="eastAsia"/>
          <w:color w:val="auto"/>
          <w:spacing w:val="-1"/>
          <w:kern w:val="0"/>
          <w:sz w:val="24"/>
          <w:szCs w:val="24"/>
          <w:highlight w:val="none"/>
          <w:lang w:val="en-US" w:eastAsia="zh-CN"/>
        </w:rPr>
        <w:t xml:space="preserve">                            </w:t>
      </w:r>
      <w:r>
        <w:rPr>
          <w:rFonts w:hint="eastAsia" w:ascii="宋体" w:hAnsi="宋体" w:eastAsia="宋体" w:cs="宋体"/>
          <w:color w:val="auto"/>
          <w:spacing w:val="-1"/>
          <w:kern w:val="0"/>
          <w:sz w:val="24"/>
          <w:szCs w:val="24"/>
          <w:highlight w:val="none"/>
          <w:lang w:val="en-US" w:eastAsia="zh-CN"/>
        </w:rPr>
        <w:t xml:space="preserve"> </w:t>
      </w:r>
      <w:r>
        <w:rPr>
          <w:rFonts w:hint="eastAsia" w:ascii="宋体" w:hAnsi="宋体" w:cs="宋体"/>
          <w:color w:val="auto"/>
          <w:spacing w:val="-1"/>
          <w:kern w:val="0"/>
          <w:sz w:val="24"/>
          <w:szCs w:val="24"/>
          <w:highlight w:val="none"/>
          <w:lang w:val="en-US" w:eastAsia="zh-CN"/>
        </w:rPr>
        <w:t xml:space="preserve">  </w:t>
      </w:r>
      <w:r>
        <w:rPr>
          <w:rFonts w:hint="eastAsia" w:ascii="宋体" w:hAnsi="宋体" w:eastAsia="宋体" w:cs="宋体"/>
          <w:color w:val="auto"/>
          <w:spacing w:val="-1"/>
          <w:kern w:val="0"/>
          <w:sz w:val="24"/>
          <w:szCs w:val="24"/>
          <w:highlight w:val="none"/>
          <w:lang w:val="zh-CN"/>
        </w:rPr>
        <w:t>报价单位：</w:t>
      </w:r>
      <w:r>
        <w:rPr>
          <w:rFonts w:hint="eastAsia" w:ascii="宋体" w:hAnsi="宋体" w:eastAsia="宋体" w:cs="宋体"/>
          <w:color w:val="auto"/>
          <w:spacing w:val="-1"/>
          <w:kern w:val="0"/>
          <w:sz w:val="24"/>
          <w:szCs w:val="24"/>
          <w:highlight w:val="none"/>
          <w:u w:val="single" w:color="000000"/>
          <w:lang w:val="zh-CN"/>
        </w:rPr>
        <w:t xml:space="preserve">               </w:t>
      </w:r>
      <w:r>
        <w:rPr>
          <w:rFonts w:hint="eastAsia" w:ascii="宋体" w:hAnsi="宋体" w:eastAsia="宋体" w:cs="宋体"/>
          <w:color w:val="auto"/>
          <w:kern w:val="0"/>
          <w:sz w:val="24"/>
          <w:szCs w:val="24"/>
          <w:highlight w:val="none"/>
          <w:lang w:val="zh-CN"/>
        </w:rPr>
        <w:t>（盖单位章）</w:t>
      </w:r>
    </w:p>
    <w:p>
      <w:pPr>
        <w:tabs>
          <w:tab w:val="left" w:pos="7180"/>
          <w:tab w:val="left" w:pos="7601"/>
        </w:tabs>
        <w:spacing w:line="360" w:lineRule="auto"/>
        <w:ind w:firstLine="2380" w:firstLineChars="1000"/>
        <w:jc w:val="right"/>
        <w:rPr>
          <w:rFonts w:hint="eastAsia" w:ascii="宋体" w:hAnsi="宋体" w:eastAsia="宋体" w:cs="宋体"/>
          <w:color w:val="auto"/>
          <w:kern w:val="0"/>
          <w:sz w:val="24"/>
          <w:szCs w:val="24"/>
          <w:highlight w:val="none"/>
          <w:lang w:val="zh-CN"/>
        </w:rPr>
      </w:pPr>
      <w:r>
        <w:rPr>
          <w:rFonts w:hint="eastAsia" w:ascii="宋体" w:hAnsi="宋体" w:eastAsia="宋体" w:cs="宋体"/>
          <w:color w:val="auto"/>
          <w:spacing w:val="-1"/>
          <w:kern w:val="0"/>
          <w:sz w:val="24"/>
          <w:szCs w:val="24"/>
          <w:highlight w:val="none"/>
          <w:lang w:val="zh-CN"/>
        </w:rPr>
        <w:t>法定代表人或授权代表</w:t>
      </w:r>
      <w:r>
        <w:rPr>
          <w:rFonts w:hint="eastAsia" w:ascii="宋体" w:hAnsi="宋体" w:cs="宋体"/>
          <w:color w:val="auto"/>
          <w:spacing w:val="-1"/>
          <w:kern w:val="0"/>
          <w:sz w:val="24"/>
          <w:szCs w:val="24"/>
          <w:highlight w:val="none"/>
          <w:lang w:val="zh-CN"/>
        </w:rPr>
        <w:t>：</w:t>
      </w:r>
      <w:r>
        <w:rPr>
          <w:rFonts w:hint="eastAsia" w:ascii="宋体" w:hAnsi="宋体" w:eastAsia="宋体" w:cs="宋体"/>
          <w:color w:val="auto"/>
          <w:spacing w:val="-1"/>
          <w:kern w:val="0"/>
          <w:sz w:val="24"/>
          <w:szCs w:val="24"/>
          <w:highlight w:val="none"/>
          <w:u w:val="single" w:color="000000"/>
          <w:lang w:val="zh-CN"/>
        </w:rPr>
        <w:t xml:space="preserve">  </w:t>
      </w:r>
      <w:r>
        <w:rPr>
          <w:rFonts w:hint="eastAsia" w:ascii="宋体" w:hAnsi="宋体" w:cs="宋体"/>
          <w:color w:val="auto"/>
          <w:spacing w:val="-1"/>
          <w:kern w:val="0"/>
          <w:sz w:val="24"/>
          <w:szCs w:val="24"/>
          <w:highlight w:val="none"/>
          <w:u w:val="single" w:color="000000"/>
          <w:lang w:val="en-US" w:eastAsia="zh-CN"/>
        </w:rPr>
        <w:t xml:space="preserve">      </w:t>
      </w:r>
      <w:r>
        <w:rPr>
          <w:rFonts w:hint="eastAsia" w:ascii="宋体" w:hAnsi="宋体" w:eastAsia="宋体" w:cs="宋体"/>
          <w:color w:val="auto"/>
          <w:spacing w:val="-1"/>
          <w:kern w:val="0"/>
          <w:sz w:val="24"/>
          <w:szCs w:val="24"/>
          <w:highlight w:val="none"/>
          <w:u w:val="single" w:color="000000"/>
          <w:lang w:val="zh-CN"/>
        </w:rPr>
        <w:t xml:space="preserve">      </w:t>
      </w:r>
      <w:r>
        <w:rPr>
          <w:rFonts w:hint="eastAsia" w:ascii="宋体" w:hAnsi="宋体" w:eastAsia="宋体" w:cs="宋体"/>
          <w:color w:val="auto"/>
          <w:kern w:val="0"/>
          <w:sz w:val="24"/>
          <w:szCs w:val="24"/>
          <w:highlight w:val="none"/>
          <w:lang w:val="zh-CN"/>
        </w:rPr>
        <w:t>（签字）</w:t>
      </w:r>
    </w:p>
    <w:p>
      <w:pPr>
        <w:tabs>
          <w:tab w:val="left" w:pos="722"/>
          <w:tab w:val="left" w:pos="1323"/>
        </w:tabs>
        <w:spacing w:line="360" w:lineRule="auto"/>
        <w:jc w:val="right"/>
        <w:rPr>
          <w:rFonts w:hint="eastAsia" w:ascii="宋体" w:hAnsi="宋体" w:eastAsia="宋体" w:cs="宋体"/>
          <w:b/>
          <w:bCs/>
          <w:color w:val="auto"/>
          <w:spacing w:val="13"/>
          <w:kern w:val="0"/>
          <w:sz w:val="24"/>
          <w:szCs w:val="24"/>
          <w:highlight w:val="none"/>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lang w:val="zh-CN"/>
        </w:rPr>
        <w:t>年   月   日</w:t>
      </w:r>
    </w:p>
    <w:p>
      <w:pPr>
        <w:spacing w:line="360" w:lineRule="auto"/>
        <w:ind w:firstLine="2506"/>
        <w:jc w:val="right"/>
        <w:outlineLvl w:val="5"/>
        <w:rPr>
          <w:rFonts w:hint="eastAsia"/>
          <w:b/>
          <w:bCs/>
          <w:color w:val="auto"/>
          <w:spacing w:val="13"/>
          <w:kern w:val="0"/>
          <w:sz w:val="24"/>
          <w:szCs w:val="24"/>
          <w:highlight w:val="none"/>
        </w:rPr>
      </w:pPr>
    </w:p>
    <w:p>
      <w:pPr>
        <w:spacing w:line="360" w:lineRule="auto"/>
        <w:ind w:firstLine="2506"/>
        <w:jc w:val="right"/>
        <w:outlineLvl w:val="5"/>
        <w:rPr>
          <w:rFonts w:hint="eastAsia"/>
          <w:b/>
          <w:bCs/>
          <w:color w:val="auto"/>
          <w:spacing w:val="13"/>
          <w:kern w:val="0"/>
          <w:sz w:val="24"/>
          <w:szCs w:val="24"/>
          <w:highlight w:val="none"/>
        </w:rPr>
      </w:pPr>
    </w:p>
    <w:p>
      <w:pPr>
        <w:spacing w:line="360" w:lineRule="auto"/>
        <w:ind w:firstLine="2506"/>
        <w:jc w:val="right"/>
        <w:outlineLvl w:val="5"/>
        <w:rPr>
          <w:rFonts w:hint="eastAsia"/>
          <w:b/>
          <w:bCs/>
          <w:color w:val="auto"/>
          <w:spacing w:val="13"/>
          <w:kern w:val="0"/>
          <w:sz w:val="24"/>
          <w:szCs w:val="24"/>
          <w:highlight w:val="none"/>
        </w:rPr>
      </w:pPr>
    </w:p>
    <w:p>
      <w:pPr>
        <w:spacing w:line="360" w:lineRule="auto"/>
        <w:ind w:firstLine="2506"/>
        <w:jc w:val="left"/>
        <w:outlineLvl w:val="5"/>
        <w:rPr>
          <w:rFonts w:hint="eastAsia"/>
          <w:b/>
          <w:bCs/>
          <w:color w:val="auto"/>
          <w:spacing w:val="13"/>
          <w:kern w:val="0"/>
          <w:sz w:val="24"/>
          <w:szCs w:val="24"/>
          <w:highlight w:val="none"/>
        </w:rPr>
      </w:pPr>
    </w:p>
    <w:p>
      <w:pPr>
        <w:spacing w:line="360" w:lineRule="auto"/>
        <w:ind w:firstLine="2506"/>
        <w:jc w:val="left"/>
        <w:outlineLvl w:val="5"/>
        <w:rPr>
          <w:rFonts w:hint="eastAsia"/>
          <w:b/>
          <w:bCs/>
          <w:color w:val="auto"/>
          <w:spacing w:val="13"/>
          <w:kern w:val="0"/>
          <w:sz w:val="24"/>
          <w:szCs w:val="24"/>
          <w:highlight w:val="none"/>
        </w:rPr>
      </w:pPr>
    </w:p>
    <w:p>
      <w:pPr>
        <w:spacing w:line="360" w:lineRule="auto"/>
        <w:ind w:firstLine="2506"/>
        <w:jc w:val="left"/>
        <w:outlineLvl w:val="5"/>
        <w:rPr>
          <w:rFonts w:hint="eastAsia"/>
          <w:b/>
          <w:bCs/>
          <w:color w:val="auto"/>
          <w:spacing w:val="13"/>
          <w:kern w:val="0"/>
          <w:sz w:val="24"/>
          <w:szCs w:val="24"/>
          <w:highlight w:val="none"/>
        </w:rPr>
      </w:pPr>
    </w:p>
    <w:p>
      <w:pPr>
        <w:spacing w:line="360" w:lineRule="auto"/>
        <w:ind w:firstLine="2506"/>
        <w:jc w:val="left"/>
        <w:outlineLvl w:val="5"/>
        <w:rPr>
          <w:rFonts w:hint="eastAsia"/>
          <w:b/>
          <w:bCs/>
          <w:color w:val="auto"/>
          <w:spacing w:val="13"/>
          <w:kern w:val="0"/>
          <w:sz w:val="24"/>
          <w:szCs w:val="24"/>
          <w:highlight w:val="none"/>
        </w:rPr>
      </w:pPr>
    </w:p>
    <w:p>
      <w:pPr>
        <w:spacing w:line="360" w:lineRule="auto"/>
        <w:ind w:firstLine="2506"/>
        <w:jc w:val="left"/>
        <w:outlineLvl w:val="5"/>
        <w:rPr>
          <w:rFonts w:hint="eastAsia"/>
          <w:b/>
          <w:bCs/>
          <w:color w:val="auto"/>
          <w:spacing w:val="13"/>
          <w:kern w:val="0"/>
          <w:sz w:val="24"/>
          <w:szCs w:val="24"/>
          <w:highlight w:val="none"/>
        </w:rPr>
      </w:pPr>
    </w:p>
    <w:p>
      <w:pPr>
        <w:spacing w:line="360" w:lineRule="auto"/>
        <w:jc w:val="left"/>
        <w:outlineLvl w:val="5"/>
        <w:rPr>
          <w:rFonts w:hint="eastAsia"/>
          <w:b/>
          <w:bCs/>
          <w:color w:val="auto"/>
          <w:spacing w:val="13"/>
          <w:kern w:val="0"/>
          <w:sz w:val="24"/>
          <w:szCs w:val="24"/>
          <w:highlight w:val="none"/>
        </w:rPr>
      </w:pPr>
    </w:p>
    <w:p>
      <w:pPr>
        <w:spacing w:line="360" w:lineRule="auto"/>
        <w:jc w:val="left"/>
        <w:outlineLvl w:val="5"/>
        <w:rPr>
          <w:rFonts w:hint="eastAsia"/>
          <w:b/>
          <w:bCs/>
          <w:color w:val="auto"/>
          <w:spacing w:val="13"/>
          <w:kern w:val="0"/>
          <w:sz w:val="24"/>
          <w:szCs w:val="24"/>
          <w:highlight w:val="none"/>
        </w:rPr>
      </w:pPr>
    </w:p>
    <w:p>
      <w:pPr>
        <w:spacing w:line="360" w:lineRule="auto"/>
        <w:jc w:val="center"/>
        <w:outlineLvl w:val="5"/>
        <w:rPr>
          <w:rFonts w:hint="eastAsia"/>
          <w:b/>
          <w:bCs/>
          <w:color w:val="auto"/>
          <w:spacing w:val="13"/>
          <w:kern w:val="0"/>
          <w:sz w:val="24"/>
          <w:szCs w:val="24"/>
          <w:highlight w:val="none"/>
        </w:rPr>
      </w:pPr>
    </w:p>
    <w:p>
      <w:pPr>
        <w:spacing w:line="360" w:lineRule="auto"/>
        <w:jc w:val="center"/>
        <w:outlineLvl w:val="5"/>
        <w:rPr>
          <w:rFonts w:hint="eastAsia"/>
          <w:b/>
          <w:bCs/>
          <w:color w:val="auto"/>
          <w:spacing w:val="13"/>
          <w:kern w:val="0"/>
          <w:sz w:val="24"/>
          <w:szCs w:val="24"/>
          <w:highlight w:val="none"/>
        </w:rPr>
      </w:pPr>
    </w:p>
    <w:p>
      <w:pPr>
        <w:spacing w:line="360" w:lineRule="auto"/>
        <w:jc w:val="center"/>
        <w:outlineLvl w:val="5"/>
        <w:rPr>
          <w:rFonts w:hint="eastAsia"/>
          <w:b/>
          <w:bCs/>
          <w:color w:val="auto"/>
          <w:spacing w:val="13"/>
          <w:kern w:val="0"/>
          <w:sz w:val="24"/>
          <w:szCs w:val="24"/>
          <w:highlight w:val="none"/>
        </w:rPr>
      </w:pPr>
    </w:p>
    <w:p>
      <w:pPr>
        <w:spacing w:line="360" w:lineRule="auto"/>
        <w:jc w:val="center"/>
        <w:outlineLvl w:val="5"/>
        <w:rPr>
          <w:rFonts w:hint="eastAsia"/>
          <w:b/>
          <w:bCs/>
          <w:color w:val="auto"/>
          <w:spacing w:val="13"/>
          <w:kern w:val="0"/>
          <w:sz w:val="24"/>
          <w:szCs w:val="24"/>
          <w:highlight w:val="none"/>
        </w:rPr>
      </w:pPr>
    </w:p>
    <w:p>
      <w:pPr>
        <w:spacing w:line="360" w:lineRule="auto"/>
        <w:jc w:val="center"/>
        <w:outlineLvl w:val="5"/>
        <w:rPr>
          <w:rFonts w:hint="eastAsia"/>
          <w:b/>
          <w:bCs/>
          <w:color w:val="auto"/>
          <w:spacing w:val="13"/>
          <w:kern w:val="0"/>
          <w:sz w:val="24"/>
          <w:szCs w:val="24"/>
          <w:highlight w:val="none"/>
        </w:rPr>
      </w:pPr>
    </w:p>
    <w:p>
      <w:pPr>
        <w:spacing w:line="360" w:lineRule="auto"/>
        <w:jc w:val="center"/>
        <w:outlineLvl w:val="5"/>
        <w:rPr>
          <w:rFonts w:hint="eastAsia"/>
          <w:b/>
          <w:bCs/>
          <w:color w:val="auto"/>
          <w:spacing w:val="13"/>
          <w:kern w:val="0"/>
          <w:sz w:val="24"/>
          <w:szCs w:val="24"/>
          <w:highlight w:val="none"/>
        </w:rPr>
      </w:pPr>
    </w:p>
    <w:p>
      <w:pPr>
        <w:spacing w:line="360" w:lineRule="auto"/>
        <w:jc w:val="center"/>
        <w:outlineLvl w:val="5"/>
        <w:rPr>
          <w:rFonts w:hint="eastAsia"/>
          <w:b/>
          <w:bCs/>
          <w:color w:val="auto"/>
          <w:spacing w:val="13"/>
          <w:kern w:val="0"/>
          <w:sz w:val="24"/>
          <w:szCs w:val="24"/>
          <w:highlight w:val="none"/>
        </w:rPr>
      </w:pPr>
    </w:p>
    <w:p>
      <w:pPr>
        <w:spacing w:line="360" w:lineRule="auto"/>
        <w:jc w:val="center"/>
        <w:outlineLvl w:val="5"/>
        <w:rPr>
          <w:b/>
          <w:bCs/>
          <w:color w:val="auto"/>
          <w:spacing w:val="13"/>
          <w:kern w:val="0"/>
          <w:sz w:val="24"/>
          <w:szCs w:val="24"/>
          <w:highlight w:val="none"/>
        </w:rPr>
      </w:pPr>
      <w:r>
        <w:rPr>
          <w:rFonts w:hint="eastAsia"/>
          <w:b/>
          <w:bCs/>
          <w:color w:val="auto"/>
          <w:spacing w:val="13"/>
          <w:kern w:val="0"/>
          <w:sz w:val="24"/>
          <w:szCs w:val="24"/>
          <w:highlight w:val="none"/>
        </w:rPr>
        <w:t>相关资质文件（复印件）</w:t>
      </w:r>
    </w:p>
    <w:p>
      <w:pPr>
        <w:spacing w:line="360" w:lineRule="auto"/>
        <w:jc w:val="center"/>
        <w:outlineLvl w:val="5"/>
        <w:rPr>
          <w:rFonts w:ascii="宋体" w:hAnsi="宋体"/>
          <w:bCs/>
          <w:color w:val="auto"/>
          <w:sz w:val="24"/>
          <w:szCs w:val="24"/>
          <w:highlight w:val="none"/>
        </w:rPr>
      </w:pPr>
      <w:r>
        <w:rPr>
          <w:rFonts w:hint="eastAsia" w:ascii="宋体" w:hAnsi="宋体"/>
          <w:bCs/>
          <w:color w:val="auto"/>
          <w:spacing w:val="15"/>
          <w:sz w:val="24"/>
          <w:szCs w:val="24"/>
          <w:highlight w:val="none"/>
        </w:rPr>
        <w:t>包括但不限于：企业法人营业执照（三证合一）</w:t>
      </w:r>
      <w:r>
        <w:rPr>
          <w:rFonts w:hint="eastAsia" w:ascii="宋体" w:hAnsi="宋体"/>
          <w:bCs/>
          <w:color w:val="auto"/>
          <w:sz w:val="24"/>
          <w:szCs w:val="24"/>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p/>
    <w:p>
      <w:pPr>
        <w:spacing w:line="360" w:lineRule="auto"/>
        <w:rPr>
          <w:rFonts w:ascii="宋体" w:hAnsi="宋体" w:cs="宋体"/>
          <w:color w:val="auto"/>
          <w:sz w:val="24"/>
          <w:highlight w:val="none"/>
        </w:rPr>
      </w:pPr>
    </w:p>
    <w:sectPr>
      <w:footerReference r:id="rId8"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w:t>
                          </w:r>
                          <w:r>
                            <w:rPr>
                              <w:rFonts w:hint="eastAsia"/>
                              <w:sz w:val="18"/>
                              <w:lang w:val="en-US" w:eastAsia="zh-CN"/>
                            </w:rPr>
                            <w:t>7</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UEyylQ4CAAAHBAAADgAAAAAAAAABACAAAAAf&#10;AQAAZHJzL2Uyb0RvYy54bWxQSwUGAAAAAAYABgBZAQAAnwU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w:t>
                    </w:r>
                    <w:r>
                      <w:rPr>
                        <w:rFonts w:hint="eastAsia"/>
                        <w:sz w:val="18"/>
                        <w:lang w:val="en-US" w:eastAsia="zh-CN"/>
                      </w:rPr>
                      <w:t>7</w:t>
                    </w:r>
                    <w:r>
                      <w:rPr>
                        <w:rFonts w:hint="eastAsia"/>
                        <w:sz w:val="18"/>
                      </w:rPr>
                      <w:t>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j4x0QAgAABwQAAA4AAABkcnMvZTJvRG9jLnhtbK1TzY7TMBC+I/EO&#10;lu80aRG7Vd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oI+MdEAIAAAcEAAAOAAAAAAAAAAEAIAAA&#10;AB8BAABkcnMvZTJvRG9jLnhtbFBLBQYAAAAABgAGAFkBAACh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nIJkC&#10;0wAAAAUBAAAPAAAAAAAAAAEAIAAAACIAAABkcnMvZG93bnJldi54bWxQSwECFAAUAAAACACHTuJA&#10;tIlOR7QBAABIAwAADgAAAAAAAAABACAAAAAiAQAAZHJzL2Uyb0RvYy54bWxQSwUGAAAAAAYABgBZ&#10;AQAASA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4384" behindDoc="0" locked="0" layoutInCell="1" allowOverlap="1">
              <wp:simplePos x="0" y="0"/>
              <wp:positionH relativeFrom="margin">
                <wp:posOffset>2233930</wp:posOffset>
              </wp:positionH>
              <wp:positionV relativeFrom="paragraph">
                <wp:posOffset>8255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w:t>
                          </w:r>
                          <w:r>
                            <w:rPr>
                              <w:rFonts w:hint="eastAsia"/>
                              <w:sz w:val="18"/>
                              <w:lang w:eastAsia="zh-CN"/>
                            </w:rPr>
                            <w:t>共</w:t>
                          </w:r>
                          <w:r>
                            <w:rPr>
                              <w:rFonts w:hint="eastAsia"/>
                              <w:sz w:val="18"/>
                              <w:lang w:val="en-US" w:eastAsia="zh-CN"/>
                            </w:rPr>
                            <w:t>7</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75.9pt;margin-top:0.65pt;height:144pt;width:144pt;mso-position-horizontal-relative:margin;mso-wrap-style:none;z-index:251664384;mso-width-relative:page;mso-height-relative:page;" filled="f" stroked="f" coordsize="21600,21600" o:gfxdata="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rlgXTWAAAACQEAAA8AAAAAAAAAAQAg&#10;AAAAIgAAAGRycy9kb3ducmV2LnhtbFBLAQIUABQAAAAIAIdO4kBhlWFeEAIAAAcEAAAOAAAAAAAA&#10;AAEAIAAAACUBAABkcnMvZTJvRG9jLnhtbFBLBQYAAAAABgAGAFkBAACn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w:t>
                    </w:r>
                    <w:r>
                      <w:rPr>
                        <w:rFonts w:hint="eastAsia"/>
                        <w:sz w:val="18"/>
                        <w:lang w:eastAsia="zh-CN"/>
                      </w:rPr>
                      <w:t>共</w:t>
                    </w:r>
                    <w:r>
                      <w:rPr>
                        <w:rFonts w:hint="eastAsia"/>
                        <w:sz w:val="18"/>
                        <w:lang w:val="en-US" w:eastAsia="zh-CN"/>
                      </w:rPr>
                      <w:t>7</w:t>
                    </w:r>
                    <w:r>
                      <w:rPr>
                        <w:rFonts w:hint="eastAsia"/>
                        <w:sz w:val="18"/>
                      </w:rPr>
                      <w:t>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mSwMQAgAABwQAAA4AAABkcnMvZTJvRG9jLnhtbK1TzY7TMBC+I/EO&#10;lu80aRGrbt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8JksDEAIAAAcEAAAOAAAAAAAAAAEAIAAA&#10;AB8BAABkcnMvZTJvRG9jLnhtbFBLBQYAAAAABgAGAFkBAACh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cgmQLT&#10;AAAABQEAAA8AAAAAAAAAAQAgAAAAIgAAAGRycy9kb3ducmV2LnhtbFBLAQIUABQAAAAIAIdO4kAD&#10;OytxswEAAEoDAAAOAAAAAAAAAAEAIAAAACIBAABkcnMvZTJvRG9jLnhtbFBLBQYAAAAABgAGAFkB&#10;AABH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posOffset>2233930</wp:posOffset>
              </wp:positionH>
              <wp:positionV relativeFrom="paragraph">
                <wp:posOffset>8255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w:t>
                          </w:r>
                          <w:r>
                            <w:rPr>
                              <w:rFonts w:hint="eastAsia"/>
                              <w:sz w:val="18"/>
                              <w:lang w:eastAsia="zh-CN"/>
                            </w:rPr>
                            <w:t>共</w:t>
                          </w:r>
                          <w:r>
                            <w:rPr>
                              <w:rFonts w:hint="eastAsia"/>
                              <w:sz w:val="18"/>
                              <w:lang w:val="en-US" w:eastAsia="zh-CN"/>
                            </w:rPr>
                            <w:t>7</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75.9pt;margin-top:0.65pt;height:144pt;width:144pt;mso-position-horizontal-relative:margin;mso-wrap-style:none;z-index:251662336;mso-width-relative:page;mso-height-relative:page;" filled="f" stroked="f" coordsize="21600,21600" o:gfxdata="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auWBdNYAAAAJAQAADwAAAAAAAAABACAA&#10;AAAiAAAAZHJzL2Rvd25yZXYueG1sUEsBAhQAFAAAAAgAh07iQHP4ZNkPAgAABwQAAA4AAAAAAAAA&#10;AQAgAAAAJQEAAGRycy9lMm9Eb2MueG1sUEsFBgAAAAAGAAYAWQEAAKY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w:t>
                    </w:r>
                    <w:r>
                      <w:rPr>
                        <w:rFonts w:hint="eastAsia"/>
                        <w:sz w:val="18"/>
                        <w:lang w:eastAsia="zh-CN"/>
                      </w:rPr>
                      <w:t>共</w:t>
                    </w:r>
                    <w:r>
                      <w:rPr>
                        <w:rFonts w:hint="eastAsia"/>
                        <w:sz w:val="18"/>
                        <w:lang w:val="en-US" w:eastAsia="zh-CN"/>
                      </w:rPr>
                      <w:t>7</w:t>
                    </w:r>
                    <w:r>
                      <w:rPr>
                        <w:rFonts w:hint="eastAsia"/>
                        <w:sz w:val="18"/>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BnIJkC&#10;0wAAAAUBAAAPAAAAAAAAAAEAIAAAACIAAABkcnMvZG93bnJldi54bWxQSwECFAAUAAAACACHTuJA&#10;8wL4yrQBAABIAwAADgAAAAAAAAABACAAAAAiAQAAZHJzL2Uyb0RvYy54bWxQSwUGAAAAAAYABgBZ&#10;AQAASA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A40F8A"/>
    <w:rsid w:val="02E84E1B"/>
    <w:rsid w:val="039A1E76"/>
    <w:rsid w:val="04501704"/>
    <w:rsid w:val="046B4A83"/>
    <w:rsid w:val="04CA6BD2"/>
    <w:rsid w:val="059852A9"/>
    <w:rsid w:val="05B67AF4"/>
    <w:rsid w:val="05CD2719"/>
    <w:rsid w:val="05F41940"/>
    <w:rsid w:val="060F4BD6"/>
    <w:rsid w:val="06910EC7"/>
    <w:rsid w:val="06AB0929"/>
    <w:rsid w:val="070A0B6B"/>
    <w:rsid w:val="07961E4E"/>
    <w:rsid w:val="08B379B6"/>
    <w:rsid w:val="08D01A69"/>
    <w:rsid w:val="095B0EE9"/>
    <w:rsid w:val="099E34FB"/>
    <w:rsid w:val="09B91536"/>
    <w:rsid w:val="0A5C68BB"/>
    <w:rsid w:val="0A726C5D"/>
    <w:rsid w:val="0A911DA6"/>
    <w:rsid w:val="0A9C5575"/>
    <w:rsid w:val="0AB60694"/>
    <w:rsid w:val="0B3145BB"/>
    <w:rsid w:val="0B5308D4"/>
    <w:rsid w:val="0B62608C"/>
    <w:rsid w:val="0BF7440E"/>
    <w:rsid w:val="0C183058"/>
    <w:rsid w:val="0C8849AD"/>
    <w:rsid w:val="0C95712B"/>
    <w:rsid w:val="0CBD44D5"/>
    <w:rsid w:val="0CC4072B"/>
    <w:rsid w:val="0CF24637"/>
    <w:rsid w:val="0CFD0263"/>
    <w:rsid w:val="0E2B54C7"/>
    <w:rsid w:val="0E8F38EB"/>
    <w:rsid w:val="0F7B2D38"/>
    <w:rsid w:val="10090346"/>
    <w:rsid w:val="100E20E9"/>
    <w:rsid w:val="1049436B"/>
    <w:rsid w:val="108F47AF"/>
    <w:rsid w:val="109C7D56"/>
    <w:rsid w:val="11325498"/>
    <w:rsid w:val="11727245"/>
    <w:rsid w:val="11C13F63"/>
    <w:rsid w:val="11C4398B"/>
    <w:rsid w:val="11D26011"/>
    <w:rsid w:val="11DD40A3"/>
    <w:rsid w:val="124B085A"/>
    <w:rsid w:val="127C43FA"/>
    <w:rsid w:val="12E542C2"/>
    <w:rsid w:val="13730DE0"/>
    <w:rsid w:val="1376193B"/>
    <w:rsid w:val="13AF2A62"/>
    <w:rsid w:val="140E14EE"/>
    <w:rsid w:val="15031A58"/>
    <w:rsid w:val="15127864"/>
    <w:rsid w:val="153E2707"/>
    <w:rsid w:val="15CE0DB9"/>
    <w:rsid w:val="163D0A11"/>
    <w:rsid w:val="16400086"/>
    <w:rsid w:val="16A076A8"/>
    <w:rsid w:val="16E17FD7"/>
    <w:rsid w:val="17087877"/>
    <w:rsid w:val="170F3531"/>
    <w:rsid w:val="17192215"/>
    <w:rsid w:val="17F90724"/>
    <w:rsid w:val="18377B1D"/>
    <w:rsid w:val="187E67B4"/>
    <w:rsid w:val="188E7C69"/>
    <w:rsid w:val="18DC7149"/>
    <w:rsid w:val="18E65311"/>
    <w:rsid w:val="19775419"/>
    <w:rsid w:val="1A443561"/>
    <w:rsid w:val="1A906401"/>
    <w:rsid w:val="1AB3401B"/>
    <w:rsid w:val="1B7A6B81"/>
    <w:rsid w:val="1C27355C"/>
    <w:rsid w:val="1C601D9D"/>
    <w:rsid w:val="1C9B0B55"/>
    <w:rsid w:val="1D7651D8"/>
    <w:rsid w:val="1E425E07"/>
    <w:rsid w:val="1EA91661"/>
    <w:rsid w:val="1EF814B6"/>
    <w:rsid w:val="1FB61E73"/>
    <w:rsid w:val="1FEA2DF0"/>
    <w:rsid w:val="207A4B27"/>
    <w:rsid w:val="20C2474B"/>
    <w:rsid w:val="20DE7F97"/>
    <w:rsid w:val="21086AC5"/>
    <w:rsid w:val="21164180"/>
    <w:rsid w:val="21CB7A68"/>
    <w:rsid w:val="21D11228"/>
    <w:rsid w:val="21D65FA3"/>
    <w:rsid w:val="21EA76D2"/>
    <w:rsid w:val="22410CA3"/>
    <w:rsid w:val="230D5F83"/>
    <w:rsid w:val="231435E3"/>
    <w:rsid w:val="26B143E9"/>
    <w:rsid w:val="26CF68D5"/>
    <w:rsid w:val="26D06059"/>
    <w:rsid w:val="27DB351F"/>
    <w:rsid w:val="2825074D"/>
    <w:rsid w:val="291D3964"/>
    <w:rsid w:val="298B6166"/>
    <w:rsid w:val="29D439C5"/>
    <w:rsid w:val="29F71DCE"/>
    <w:rsid w:val="2A5D4013"/>
    <w:rsid w:val="2A73216B"/>
    <w:rsid w:val="2B633DE6"/>
    <w:rsid w:val="2C4634F8"/>
    <w:rsid w:val="2C8A7F2A"/>
    <w:rsid w:val="2CA351F8"/>
    <w:rsid w:val="2DDB37E6"/>
    <w:rsid w:val="2E0A0EFD"/>
    <w:rsid w:val="2EDF4CC0"/>
    <w:rsid w:val="2F3C75DF"/>
    <w:rsid w:val="2F4D7950"/>
    <w:rsid w:val="2F5C0B8A"/>
    <w:rsid w:val="2FD21CB1"/>
    <w:rsid w:val="300924A8"/>
    <w:rsid w:val="30786DD9"/>
    <w:rsid w:val="30B351BB"/>
    <w:rsid w:val="30C42C66"/>
    <w:rsid w:val="30D83BD1"/>
    <w:rsid w:val="30D91360"/>
    <w:rsid w:val="30F21D51"/>
    <w:rsid w:val="3116556A"/>
    <w:rsid w:val="313E5419"/>
    <w:rsid w:val="31403EEE"/>
    <w:rsid w:val="314C4B41"/>
    <w:rsid w:val="3161392D"/>
    <w:rsid w:val="31705A3E"/>
    <w:rsid w:val="31F1799F"/>
    <w:rsid w:val="32AC098F"/>
    <w:rsid w:val="32FC2794"/>
    <w:rsid w:val="32FD5251"/>
    <w:rsid w:val="33591408"/>
    <w:rsid w:val="338E2CB9"/>
    <w:rsid w:val="33AE5DBB"/>
    <w:rsid w:val="34033776"/>
    <w:rsid w:val="34485725"/>
    <w:rsid w:val="344C3454"/>
    <w:rsid w:val="346E3510"/>
    <w:rsid w:val="34FB1B75"/>
    <w:rsid w:val="350967C7"/>
    <w:rsid w:val="35A54830"/>
    <w:rsid w:val="35E26F61"/>
    <w:rsid w:val="36A93D34"/>
    <w:rsid w:val="36C4459F"/>
    <w:rsid w:val="36CA7098"/>
    <w:rsid w:val="36CE7125"/>
    <w:rsid w:val="36DD06B5"/>
    <w:rsid w:val="38107BBE"/>
    <w:rsid w:val="38592D41"/>
    <w:rsid w:val="38723B01"/>
    <w:rsid w:val="38B17DB0"/>
    <w:rsid w:val="393307F8"/>
    <w:rsid w:val="39345BEF"/>
    <w:rsid w:val="399E5A8D"/>
    <w:rsid w:val="3A7115CF"/>
    <w:rsid w:val="3A762EA6"/>
    <w:rsid w:val="3AE871ED"/>
    <w:rsid w:val="3B166795"/>
    <w:rsid w:val="3B3A4A72"/>
    <w:rsid w:val="3B426DFA"/>
    <w:rsid w:val="3B821C4E"/>
    <w:rsid w:val="3C0C0FD1"/>
    <w:rsid w:val="3C0D22F1"/>
    <w:rsid w:val="3CFD0D4E"/>
    <w:rsid w:val="3D932ECE"/>
    <w:rsid w:val="3DF6298B"/>
    <w:rsid w:val="3E032F55"/>
    <w:rsid w:val="3E5A5D0F"/>
    <w:rsid w:val="3ED75761"/>
    <w:rsid w:val="3EE60069"/>
    <w:rsid w:val="3F037F80"/>
    <w:rsid w:val="3F5D7C25"/>
    <w:rsid w:val="3F6E7356"/>
    <w:rsid w:val="40CE4481"/>
    <w:rsid w:val="41044933"/>
    <w:rsid w:val="4192694E"/>
    <w:rsid w:val="419F0D09"/>
    <w:rsid w:val="41B64242"/>
    <w:rsid w:val="41D930E9"/>
    <w:rsid w:val="41F302A5"/>
    <w:rsid w:val="420172F8"/>
    <w:rsid w:val="4214444F"/>
    <w:rsid w:val="428178ED"/>
    <w:rsid w:val="437F3C55"/>
    <w:rsid w:val="443E1922"/>
    <w:rsid w:val="445544D0"/>
    <w:rsid w:val="44883556"/>
    <w:rsid w:val="4566672F"/>
    <w:rsid w:val="4597553F"/>
    <w:rsid w:val="45B96669"/>
    <w:rsid w:val="46B251D5"/>
    <w:rsid w:val="46D75F15"/>
    <w:rsid w:val="47873FED"/>
    <w:rsid w:val="478A5985"/>
    <w:rsid w:val="485A7764"/>
    <w:rsid w:val="48697707"/>
    <w:rsid w:val="487D34CE"/>
    <w:rsid w:val="48812C6D"/>
    <w:rsid w:val="48FA0CCE"/>
    <w:rsid w:val="497E67FC"/>
    <w:rsid w:val="49A07DB2"/>
    <w:rsid w:val="4A340908"/>
    <w:rsid w:val="4A654689"/>
    <w:rsid w:val="4AFB712A"/>
    <w:rsid w:val="4B3F2937"/>
    <w:rsid w:val="4B722F98"/>
    <w:rsid w:val="4BDA732C"/>
    <w:rsid w:val="4C747C00"/>
    <w:rsid w:val="4CAE23D4"/>
    <w:rsid w:val="4CF16EBB"/>
    <w:rsid w:val="4CF27A3F"/>
    <w:rsid w:val="4D952847"/>
    <w:rsid w:val="4DCF4033"/>
    <w:rsid w:val="4DD62762"/>
    <w:rsid w:val="4E111E7F"/>
    <w:rsid w:val="4E1F0A8F"/>
    <w:rsid w:val="4E460CED"/>
    <w:rsid w:val="4E9B72CC"/>
    <w:rsid w:val="4EFE4BD1"/>
    <w:rsid w:val="4FF36AD1"/>
    <w:rsid w:val="503B6ED8"/>
    <w:rsid w:val="506E60D9"/>
    <w:rsid w:val="50F4209B"/>
    <w:rsid w:val="51726F3B"/>
    <w:rsid w:val="51B306F8"/>
    <w:rsid w:val="5219661A"/>
    <w:rsid w:val="53646DCD"/>
    <w:rsid w:val="53932D81"/>
    <w:rsid w:val="539D4641"/>
    <w:rsid w:val="53AB1337"/>
    <w:rsid w:val="53EF0B3B"/>
    <w:rsid w:val="54507861"/>
    <w:rsid w:val="547919F2"/>
    <w:rsid w:val="54FC1BBE"/>
    <w:rsid w:val="553F47A0"/>
    <w:rsid w:val="554561C6"/>
    <w:rsid w:val="554D22F2"/>
    <w:rsid w:val="555108DF"/>
    <w:rsid w:val="55AE0DFF"/>
    <w:rsid w:val="55F857FB"/>
    <w:rsid w:val="560C77A6"/>
    <w:rsid w:val="569D378C"/>
    <w:rsid w:val="56AB6EAC"/>
    <w:rsid w:val="56F56768"/>
    <w:rsid w:val="571C15EB"/>
    <w:rsid w:val="58245D47"/>
    <w:rsid w:val="585D55F4"/>
    <w:rsid w:val="58734628"/>
    <w:rsid w:val="598F0310"/>
    <w:rsid w:val="59FD2825"/>
    <w:rsid w:val="5A0B5058"/>
    <w:rsid w:val="5B1F26BA"/>
    <w:rsid w:val="5B4162F2"/>
    <w:rsid w:val="5B6B1990"/>
    <w:rsid w:val="5B6E2B3B"/>
    <w:rsid w:val="5C270F1D"/>
    <w:rsid w:val="5C8F3336"/>
    <w:rsid w:val="5C927AE0"/>
    <w:rsid w:val="5CDE243B"/>
    <w:rsid w:val="5D754213"/>
    <w:rsid w:val="5D837E1D"/>
    <w:rsid w:val="5DAF4A90"/>
    <w:rsid w:val="5E102188"/>
    <w:rsid w:val="5E240B59"/>
    <w:rsid w:val="5EA6472F"/>
    <w:rsid w:val="5EC22C27"/>
    <w:rsid w:val="5F041F5F"/>
    <w:rsid w:val="5F1337E9"/>
    <w:rsid w:val="5F3F6973"/>
    <w:rsid w:val="5FA75912"/>
    <w:rsid w:val="5FE45DE0"/>
    <w:rsid w:val="5FE5141B"/>
    <w:rsid w:val="60D85E8A"/>
    <w:rsid w:val="60F821F8"/>
    <w:rsid w:val="612E6E2A"/>
    <w:rsid w:val="61604458"/>
    <w:rsid w:val="61E0736C"/>
    <w:rsid w:val="62FE7930"/>
    <w:rsid w:val="6315604E"/>
    <w:rsid w:val="64F216AE"/>
    <w:rsid w:val="64F54A79"/>
    <w:rsid w:val="65037CE8"/>
    <w:rsid w:val="652D0705"/>
    <w:rsid w:val="65676159"/>
    <w:rsid w:val="65E26DFB"/>
    <w:rsid w:val="65EF3B0C"/>
    <w:rsid w:val="66740FA8"/>
    <w:rsid w:val="670B0B64"/>
    <w:rsid w:val="67C65F33"/>
    <w:rsid w:val="685623B1"/>
    <w:rsid w:val="690B57BB"/>
    <w:rsid w:val="693718D7"/>
    <w:rsid w:val="69801D62"/>
    <w:rsid w:val="69AB7271"/>
    <w:rsid w:val="69B27FF1"/>
    <w:rsid w:val="6A5B058F"/>
    <w:rsid w:val="6AFB15BD"/>
    <w:rsid w:val="6B0C7C6D"/>
    <w:rsid w:val="6B1C0163"/>
    <w:rsid w:val="6BA04A3E"/>
    <w:rsid w:val="6C042199"/>
    <w:rsid w:val="6C2F1675"/>
    <w:rsid w:val="6C4A1BC7"/>
    <w:rsid w:val="6CE15D0F"/>
    <w:rsid w:val="6CFC63A0"/>
    <w:rsid w:val="6D70060F"/>
    <w:rsid w:val="6D9165AA"/>
    <w:rsid w:val="6DDB10B7"/>
    <w:rsid w:val="6E6F41E6"/>
    <w:rsid w:val="6E865A0B"/>
    <w:rsid w:val="6EB53B43"/>
    <w:rsid w:val="6ECB5AFA"/>
    <w:rsid w:val="6F2A656C"/>
    <w:rsid w:val="6F9159A1"/>
    <w:rsid w:val="6FE96964"/>
    <w:rsid w:val="700D7260"/>
    <w:rsid w:val="70966945"/>
    <w:rsid w:val="70D46D82"/>
    <w:rsid w:val="71462673"/>
    <w:rsid w:val="724E3782"/>
    <w:rsid w:val="72902DA7"/>
    <w:rsid w:val="72A57890"/>
    <w:rsid w:val="72AD55AD"/>
    <w:rsid w:val="73673268"/>
    <w:rsid w:val="73B54DDE"/>
    <w:rsid w:val="743F2AD2"/>
    <w:rsid w:val="7470173A"/>
    <w:rsid w:val="74CB497C"/>
    <w:rsid w:val="75F82604"/>
    <w:rsid w:val="76301283"/>
    <w:rsid w:val="764F12F9"/>
    <w:rsid w:val="767874E3"/>
    <w:rsid w:val="768024F8"/>
    <w:rsid w:val="76B86661"/>
    <w:rsid w:val="77187B21"/>
    <w:rsid w:val="774B1B00"/>
    <w:rsid w:val="775725A0"/>
    <w:rsid w:val="777A2A82"/>
    <w:rsid w:val="78237B8D"/>
    <w:rsid w:val="78C17529"/>
    <w:rsid w:val="78D70170"/>
    <w:rsid w:val="78FE2CC9"/>
    <w:rsid w:val="79123E17"/>
    <w:rsid w:val="792B04A4"/>
    <w:rsid w:val="79387F53"/>
    <w:rsid w:val="7A31432B"/>
    <w:rsid w:val="7A7D2F58"/>
    <w:rsid w:val="7AE925C7"/>
    <w:rsid w:val="7B886CE4"/>
    <w:rsid w:val="7BF6409C"/>
    <w:rsid w:val="7C2D6B7E"/>
    <w:rsid w:val="7C94167F"/>
    <w:rsid w:val="7D104923"/>
    <w:rsid w:val="7EA84284"/>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4">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5">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6">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7">
    <w:name w:val="Normal Indent"/>
    <w:basedOn w:val="1"/>
    <w:unhideWhenUsed/>
    <w:qFormat/>
    <w:uiPriority w:val="99"/>
    <w:pPr>
      <w:ind w:firstLine="420" w:firstLineChars="200"/>
    </w:pPr>
    <w:rPr>
      <w:kern w:val="0"/>
      <w:sz w:val="20"/>
    </w:rPr>
  </w:style>
  <w:style w:type="paragraph" w:styleId="8">
    <w:name w:val="Document Map"/>
    <w:basedOn w:val="1"/>
    <w:link w:val="53"/>
    <w:unhideWhenUsed/>
    <w:qFormat/>
    <w:uiPriority w:val="99"/>
    <w:rPr>
      <w:rFonts w:ascii="宋体"/>
      <w:sz w:val="18"/>
      <w:szCs w:val="18"/>
    </w:rPr>
  </w:style>
  <w:style w:type="paragraph" w:styleId="9">
    <w:name w:val="annotation text"/>
    <w:basedOn w:val="1"/>
    <w:semiHidden/>
    <w:unhideWhenUsed/>
    <w:qFormat/>
    <w:uiPriority w:val="99"/>
    <w:pPr>
      <w:jc w:val="left"/>
    </w:p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Plain Text"/>
    <w:basedOn w:val="1"/>
    <w:link w:val="26"/>
    <w:qFormat/>
    <w:uiPriority w:val="99"/>
    <w:rPr>
      <w:rFonts w:ascii="宋体" w:hAnsi="Courier New" w:eastAsiaTheme="minorEastAsia" w:cstheme="minorBidi"/>
    </w:rPr>
  </w:style>
  <w:style w:type="paragraph" w:styleId="12">
    <w:name w:val="Balloon Text"/>
    <w:basedOn w:val="1"/>
    <w:link w:val="41"/>
    <w:qFormat/>
    <w:uiPriority w:val="0"/>
    <w:rPr>
      <w:rFonts w:asciiTheme="minorHAnsi" w:hAnsiTheme="minorHAnsi" w:cstheme="minorBidi"/>
      <w:sz w:val="18"/>
      <w:szCs w:val="18"/>
    </w:rPr>
  </w:style>
  <w:style w:type="paragraph" w:styleId="13">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4">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5">
    <w:name w:val="toc 1"/>
    <w:basedOn w:val="1"/>
    <w:next w:val="1"/>
    <w:qFormat/>
    <w:uiPriority w:val="39"/>
    <w:pPr>
      <w:spacing w:beforeLines="50" w:line="360" w:lineRule="auto"/>
    </w:pPr>
    <w:rPr>
      <w:rFonts w:eastAsia="黑体"/>
    </w:rPr>
  </w:style>
  <w:style w:type="paragraph" w:styleId="16">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link w:val="28"/>
    <w:qFormat/>
    <w:uiPriority w:val="0"/>
    <w:pPr>
      <w:spacing w:before="240" w:after="60"/>
      <w:jc w:val="center"/>
      <w:outlineLvl w:val="0"/>
    </w:pPr>
    <w:rPr>
      <w:rFonts w:ascii="Arial" w:hAnsi="Arial" w:cs="Arial" w:eastAsiaTheme="minorEastAsia"/>
      <w:b/>
      <w:bCs/>
      <w:sz w:val="32"/>
      <w:szCs w:val="32"/>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1"/>
    <w:qFormat/>
    <w:uiPriority w:val="0"/>
    <w:rPr>
      <w:rFonts w:ascii="宋体" w:hAnsi="Courier New"/>
      <w:szCs w:val="24"/>
    </w:rPr>
  </w:style>
  <w:style w:type="character" w:customStyle="1" w:styleId="27">
    <w:name w:val="页脚 字符"/>
    <w:link w:val="13"/>
    <w:qFormat/>
    <w:uiPriority w:val="99"/>
    <w:rPr>
      <w:rFonts w:eastAsia="宋体"/>
      <w:sz w:val="18"/>
      <w:szCs w:val="18"/>
    </w:rPr>
  </w:style>
  <w:style w:type="character" w:customStyle="1" w:styleId="28">
    <w:name w:val="标题 字符"/>
    <w:link w:val="19"/>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4"/>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3"/>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4"/>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5"/>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2"/>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9"/>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8"/>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11</TotalTime>
  <ScaleCrop>false</ScaleCrop>
  <LinksUpToDate>false</LinksUpToDate>
  <CharactersWithSpaces>2663</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张光魏</cp:lastModifiedBy>
  <cp:lastPrinted>2022-06-23T08:14:00Z</cp:lastPrinted>
  <dcterms:modified xsi:type="dcterms:W3CDTF">2024-05-31T06:02:22Z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9A8BBEACDFB7459DAEE6226F8645937E</vt:lpwstr>
  </property>
</Properties>
</file>