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惠蓄ecb和gcb接触器及出口开关现地控制柜端子挡板零星采购要求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项目名称：惠蓄ecb和gcb接触器及出口开关现地控制柜端子挡板零星采购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2174"/>
        <w:gridCol w:w="3833"/>
        <w:gridCol w:w="1412"/>
        <w:gridCol w:w="2268"/>
        <w:gridCol w:w="987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76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4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7" w:type="pct"/>
            <w:vMerge w:val="restar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惠蓄ecb和gcb接触器及出口开关现地控制柜端子挡板零星采购</w:t>
            </w: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拓展节点全常开，厂家：Allen-Bradley；型号：195-MA40</w:t>
            </w:r>
          </w:p>
        </w:tc>
        <w:tc>
          <w:tcPr>
            <w:tcW w:w="498" w:type="pct"/>
            <w:vMerge w:val="restar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60天</w:t>
            </w:r>
            <w:bookmarkStart w:id="0" w:name="_GoBack"/>
            <w:bookmarkEnd w:id="0"/>
          </w:p>
        </w:tc>
        <w:tc>
          <w:tcPr>
            <w:tcW w:w="800" w:type="pct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惠州抽水蓄能水电站</w:t>
            </w:r>
          </w:p>
          <w:p>
            <w:pPr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67" w:type="pct"/>
            <w:vMerge w:val="continue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default" w:eastAsia="宋体" w:asciiTheme="minorHAnsi" w:hAnsiTheme="minorHAnsi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拓展节点全常闭， 厂家：Allen-Bradley；型号：195-MA04</w:t>
            </w:r>
          </w:p>
        </w:tc>
        <w:tc>
          <w:tcPr>
            <w:tcW w:w="498" w:type="pct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0" w:type="pct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67" w:type="pct"/>
            <w:vMerge w:val="continue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接触器，厂家：Allen-Bradley；型号：700-M400</w:t>
            </w:r>
          </w:p>
        </w:tc>
        <w:tc>
          <w:tcPr>
            <w:tcW w:w="498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67" w:type="pct"/>
            <w:vMerge w:val="continue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接触器，厂家：Allen-Bradley；型号：700-M220</w:t>
            </w:r>
          </w:p>
        </w:tc>
        <w:tc>
          <w:tcPr>
            <w:tcW w:w="498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473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67" w:type="pct"/>
            <w:vMerge w:val="continue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生产厂家：wago（万可）；产品型号：2002-1391</w:t>
            </w:r>
          </w:p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宽度：0.8mm；高度：59.5mm；深度：33mm</w:t>
            </w:r>
          </w:p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颜色：灰色；绝缘材料组别：I;绝缘材料：尼龙（PA 66)</w:t>
            </w:r>
          </w:p>
        </w:tc>
        <w:tc>
          <w:tcPr>
            <w:tcW w:w="498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800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160</w:t>
            </w:r>
          </w:p>
        </w:tc>
        <w:tc>
          <w:tcPr>
            <w:tcW w:w="759" w:type="pct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pStyle w:val="2"/>
        <w:rPr>
          <w:rFonts w:hint="eastAsia" w:ascii="宋体" w:hAnsi="宋体"/>
          <w:b/>
          <w:color w:val="auto"/>
          <w:sz w:val="18"/>
          <w:szCs w:val="18"/>
          <w:highlight w:val="none"/>
        </w:rPr>
      </w:pPr>
    </w:p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67F23BE"/>
    <w:rsid w:val="0D460355"/>
    <w:rsid w:val="0EDB2F3A"/>
    <w:rsid w:val="1278725B"/>
    <w:rsid w:val="13667836"/>
    <w:rsid w:val="18D70BF6"/>
    <w:rsid w:val="195A4FC4"/>
    <w:rsid w:val="1A165AF6"/>
    <w:rsid w:val="1C65054D"/>
    <w:rsid w:val="1C9D088A"/>
    <w:rsid w:val="1CE65563"/>
    <w:rsid w:val="1E4E7639"/>
    <w:rsid w:val="1F563263"/>
    <w:rsid w:val="22337D7F"/>
    <w:rsid w:val="27842F62"/>
    <w:rsid w:val="287D754D"/>
    <w:rsid w:val="2AF321F7"/>
    <w:rsid w:val="2B592991"/>
    <w:rsid w:val="30534DD6"/>
    <w:rsid w:val="3EFB671A"/>
    <w:rsid w:val="3F4802E2"/>
    <w:rsid w:val="3F7C1A35"/>
    <w:rsid w:val="3FAD5A88"/>
    <w:rsid w:val="418664A3"/>
    <w:rsid w:val="44380293"/>
    <w:rsid w:val="449915D1"/>
    <w:rsid w:val="4664337D"/>
    <w:rsid w:val="470A4582"/>
    <w:rsid w:val="4A4E3578"/>
    <w:rsid w:val="4B294E93"/>
    <w:rsid w:val="4F00719B"/>
    <w:rsid w:val="4F3A498A"/>
    <w:rsid w:val="503F172F"/>
    <w:rsid w:val="51875DD0"/>
    <w:rsid w:val="526A2243"/>
    <w:rsid w:val="57817D1D"/>
    <w:rsid w:val="5B0F7DE8"/>
    <w:rsid w:val="5B541E06"/>
    <w:rsid w:val="5D61797F"/>
    <w:rsid w:val="5FD27242"/>
    <w:rsid w:val="61FB7DFC"/>
    <w:rsid w:val="62A26D5C"/>
    <w:rsid w:val="65022330"/>
    <w:rsid w:val="659000A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2025-07-07T08:34:28Z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55C4834916A34A9BB43A53601BE19D53</vt:lpwstr>
  </property>
</Properties>
</file>