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sz w:val="36"/>
          <w:u w:val="single"/>
        </w:rPr>
      </w:pPr>
      <w:r>
        <w:rPr>
          <w:rFonts w:hint="eastAsia" w:ascii="宋体" w:hAnsi="宋体" w:eastAsia="宋体" w:cs="宋体"/>
          <w:sz w:val="52"/>
          <w:szCs w:val="52"/>
        </w:rPr>
        <w:drawing>
          <wp:anchor distT="0" distB="0" distL="114300" distR="114300" simplePos="0" relativeHeight="251659264" behindDoc="1" locked="0" layoutInCell="1" allowOverlap="1">
            <wp:simplePos x="0" y="0"/>
            <wp:positionH relativeFrom="column">
              <wp:posOffset>-1143000</wp:posOffset>
            </wp:positionH>
            <wp:positionV relativeFrom="paragraph">
              <wp:posOffset>-920115</wp:posOffset>
            </wp:positionV>
            <wp:extent cx="7876540" cy="2736850"/>
            <wp:effectExtent l="0" t="0" r="10160" b="6350"/>
            <wp:wrapNone/>
            <wp:docPr id="1"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模板-3"/>
                    <pic:cNvPicPr>
                      <a:picLocks noChangeAspect="1"/>
                    </pic:cNvPicPr>
                  </pic:nvPicPr>
                  <pic:blipFill>
                    <a:blip r:embed="rId7"/>
                    <a:srcRect l="1337" t="2971"/>
                    <a:stretch>
                      <a:fillRect/>
                    </a:stretch>
                  </pic:blipFill>
                  <pic:spPr>
                    <a:xfrm>
                      <a:off x="0" y="0"/>
                      <a:ext cx="7876540" cy="2736850"/>
                    </a:xfrm>
                    <a:prstGeom prst="rect">
                      <a:avLst/>
                    </a:prstGeom>
                    <a:noFill/>
                    <a:ln>
                      <a:noFill/>
                    </a:ln>
                  </pic:spPr>
                </pic:pic>
              </a:graphicData>
            </a:graphic>
          </wp:anchor>
        </w:drawing>
      </w:r>
    </w:p>
    <w:p>
      <w:pPr>
        <w:jc w:val="center"/>
        <w:rPr>
          <w:rFonts w:hint="eastAsia" w:ascii="宋体" w:hAnsi="宋体" w:eastAsia="宋体" w:cs="宋体"/>
          <w:b/>
          <w:sz w:val="36"/>
        </w:rPr>
      </w:pPr>
    </w:p>
    <w:p>
      <w:pPr>
        <w:jc w:val="center"/>
        <w:rPr>
          <w:rFonts w:hint="eastAsia" w:ascii="宋体" w:hAnsi="宋体" w:eastAsia="宋体" w:cs="宋体"/>
          <w:b/>
          <w:sz w:val="52"/>
        </w:rPr>
      </w:pPr>
    </w:p>
    <w:p>
      <w:pPr>
        <w:jc w:val="both"/>
        <w:rPr>
          <w:rFonts w:hint="eastAsia" w:ascii="宋体" w:hAnsi="宋体" w:eastAsia="宋体" w:cs="宋体"/>
          <w:b/>
          <w:sz w:val="52"/>
        </w:rPr>
      </w:pPr>
    </w:p>
    <w:p>
      <w:pPr>
        <w:jc w:val="center"/>
        <w:rPr>
          <w:rFonts w:hint="eastAsia" w:ascii="宋体" w:hAnsi="宋体" w:eastAsia="宋体" w:cs="宋体"/>
          <w:b/>
          <w:bCs/>
          <w:color w:val="0000FF"/>
          <w:sz w:val="52"/>
          <w:szCs w:val="52"/>
          <w:highlight w:val="yellow"/>
          <w:lang w:val="en-US" w:eastAsia="zh-CN"/>
        </w:rPr>
      </w:pPr>
      <w:r>
        <w:rPr>
          <w:rFonts w:hint="eastAsia" w:ascii="宋体" w:hAnsi="宋体" w:eastAsia="宋体" w:cs="宋体"/>
          <w:b/>
          <w:sz w:val="52"/>
          <w:szCs w:val="52"/>
          <w:lang w:eastAsia="zh-CN"/>
        </w:rPr>
        <w:t>2025-2027年贺州供电局变电管理所电力监控系统及二次安防系统维保</w:t>
      </w:r>
      <w:r>
        <w:rPr>
          <w:rFonts w:hint="eastAsia" w:ascii="宋体" w:hAnsi="宋体" w:cs="宋体"/>
          <w:b/>
          <w:sz w:val="52"/>
          <w:szCs w:val="52"/>
          <w:lang w:eastAsia="zh-CN"/>
        </w:rPr>
        <w:t>项目</w:t>
      </w:r>
    </w:p>
    <w:p>
      <w:pPr>
        <w:jc w:val="center"/>
        <w:rPr>
          <w:rFonts w:hint="eastAsia" w:ascii="宋体" w:hAnsi="宋体" w:eastAsia="宋体" w:cs="宋体"/>
        </w:rPr>
      </w:pPr>
      <w:r>
        <w:rPr>
          <w:rFonts w:hint="eastAsia" w:ascii="宋体" w:hAnsi="宋体" w:eastAsia="宋体" w:cs="宋体"/>
          <w:b/>
          <w:sz w:val="52"/>
          <w:szCs w:val="52"/>
        </w:rPr>
        <w:t>技术规范书</w:t>
      </w:r>
    </w:p>
    <w:p>
      <w:pPr>
        <w:jc w:val="center"/>
        <w:rPr>
          <w:rFonts w:hint="eastAsia" w:ascii="宋体" w:hAnsi="宋体" w:eastAsia="宋体" w:cs="宋体"/>
          <w:b/>
          <w:sz w:val="52"/>
          <w:szCs w:val="52"/>
        </w:rPr>
      </w:pPr>
    </w:p>
    <w:p>
      <w:pPr>
        <w:jc w:val="center"/>
        <w:rPr>
          <w:rFonts w:hint="eastAsia" w:ascii="宋体" w:hAnsi="宋体" w:eastAsia="宋体" w:cs="宋体"/>
          <w:sz w:val="52"/>
          <w:szCs w:val="52"/>
        </w:rPr>
      </w:pPr>
    </w:p>
    <w:p>
      <w:pPr>
        <w:jc w:val="center"/>
        <w:rPr>
          <w:rFonts w:hint="eastAsia" w:ascii="宋体" w:hAnsi="宋体" w:eastAsia="宋体" w:cs="宋体"/>
          <w:sz w:val="28"/>
        </w:rPr>
      </w:pPr>
    </w:p>
    <w:p>
      <w:pPr>
        <w:jc w:val="center"/>
        <w:rPr>
          <w:rFonts w:hint="eastAsia" w:ascii="宋体" w:hAnsi="宋体" w:eastAsia="宋体" w:cs="宋体"/>
          <w:sz w:val="28"/>
        </w:rPr>
      </w:pPr>
    </w:p>
    <w:p>
      <w:pPr>
        <w:jc w:val="center"/>
        <w:rPr>
          <w:rFonts w:hint="eastAsia" w:ascii="宋体" w:hAnsi="宋体" w:eastAsia="宋体" w:cs="宋体"/>
          <w:sz w:val="28"/>
        </w:rPr>
      </w:pPr>
    </w:p>
    <w:p>
      <w:pPr>
        <w:jc w:val="center"/>
        <w:rPr>
          <w:rFonts w:hint="eastAsia" w:ascii="宋体" w:hAnsi="宋体" w:eastAsia="宋体" w:cs="宋体"/>
          <w:sz w:val="28"/>
        </w:rPr>
      </w:pPr>
    </w:p>
    <w:p>
      <w:pPr>
        <w:jc w:val="center"/>
        <w:rPr>
          <w:rFonts w:hint="eastAsia" w:ascii="宋体" w:hAnsi="宋体" w:eastAsia="宋体" w:cs="宋体"/>
          <w:sz w:val="28"/>
        </w:rPr>
      </w:pPr>
    </w:p>
    <w:p>
      <w:pPr>
        <w:jc w:val="center"/>
        <w:rPr>
          <w:rFonts w:hint="eastAsia" w:ascii="宋体" w:hAnsi="宋体" w:eastAsia="宋体" w:cs="宋体"/>
          <w:sz w:val="28"/>
        </w:rPr>
      </w:pPr>
    </w:p>
    <w:p>
      <w:pPr>
        <w:jc w:val="center"/>
        <w:rPr>
          <w:rFonts w:hint="eastAsia" w:ascii="宋体" w:hAnsi="宋体" w:eastAsia="宋体" w:cs="宋体"/>
          <w:sz w:val="32"/>
          <w:szCs w:val="32"/>
          <w:lang w:val="en-US" w:eastAsia="zh-CN"/>
        </w:rPr>
      </w:pPr>
      <w:bookmarkStart w:id="0" w:name="_Toc205292079"/>
      <w:r>
        <w:rPr>
          <w:rFonts w:hint="eastAsia" w:ascii="宋体" w:hAnsi="宋体" w:cs="宋体"/>
          <w:sz w:val="32"/>
          <w:szCs w:val="32"/>
          <w:lang w:val="en-US" w:eastAsia="zh-CN"/>
        </w:rPr>
        <w:t>贺州供电局</w:t>
      </w:r>
    </w:p>
    <w:p>
      <w:pPr>
        <w:jc w:val="center"/>
        <w:rPr>
          <w:rFonts w:hint="default" w:ascii="宋体" w:hAnsi="宋体" w:eastAsia="宋体" w:cs="宋体"/>
          <w:color w:val="FF0000"/>
          <w:lang w:val="en-US" w:eastAsia="zh-CN"/>
        </w:rPr>
        <w:sectPr>
          <w:headerReference r:id="rId3" w:type="default"/>
          <w:pgSz w:w="11906" w:h="16838"/>
          <w:pgMar w:top="1440" w:right="1800" w:bottom="1440" w:left="1800" w:header="851" w:footer="992" w:gutter="0"/>
          <w:pgNumType w:start="1"/>
          <w:cols w:space="720" w:num="1"/>
          <w:docGrid w:type="lines" w:linePitch="312" w:charSpace="0"/>
        </w:sectPr>
      </w:pPr>
      <w:r>
        <w:rPr>
          <w:rFonts w:hint="eastAsia" w:ascii="宋体" w:hAnsi="宋体" w:cs="宋体"/>
          <w:sz w:val="32"/>
          <w:szCs w:val="32"/>
          <w:highlight w:val="none"/>
          <w:lang w:val="en-US" w:eastAsia="zh-CN"/>
        </w:rPr>
        <w:t>2025</w:t>
      </w:r>
      <w:r>
        <w:rPr>
          <w:rFonts w:hint="eastAsia" w:ascii="宋体" w:hAnsi="宋体" w:eastAsia="宋体" w:cs="宋体"/>
          <w:sz w:val="32"/>
          <w:szCs w:val="32"/>
          <w:highlight w:val="none"/>
        </w:rPr>
        <w:t>年</w:t>
      </w:r>
      <w:r>
        <w:rPr>
          <w:rFonts w:hint="eastAsia" w:ascii="宋体" w:hAnsi="宋体" w:cs="宋体"/>
          <w:sz w:val="32"/>
          <w:szCs w:val="32"/>
          <w:highlight w:val="none"/>
          <w:lang w:val="en-US" w:eastAsia="zh-CN"/>
        </w:rPr>
        <w:t>7</w:t>
      </w:r>
      <w:r>
        <w:rPr>
          <w:rFonts w:hint="eastAsia" w:ascii="宋体" w:hAnsi="宋体" w:eastAsia="宋体" w:cs="宋体"/>
          <w:sz w:val="32"/>
          <w:szCs w:val="32"/>
          <w:highlight w:val="none"/>
        </w:rPr>
        <w:t>月</w:t>
      </w:r>
    </w:p>
    <w:p>
      <w:pPr>
        <w:pStyle w:val="2"/>
        <w:rPr>
          <w:rFonts w:hint="eastAsia" w:ascii="宋体" w:hAnsi="宋体" w:eastAsia="宋体" w:cs="宋体"/>
        </w:rPr>
      </w:pPr>
      <w:bookmarkStart w:id="15" w:name="_GoBack"/>
      <w:bookmarkEnd w:id="15"/>
    </w:p>
    <w:p>
      <w:pPr>
        <w:rPr>
          <w:rFonts w:hint="eastAsia" w:ascii="宋体" w:hAnsi="宋体" w:eastAsia="宋体" w:cs="宋体"/>
        </w:rPr>
      </w:pPr>
    </w:p>
    <w:p>
      <w:pPr>
        <w:pStyle w:val="16"/>
        <w:jc w:val="center"/>
        <w:rPr>
          <w:rFonts w:hint="eastAsia" w:ascii="宋体" w:hAnsi="宋体" w:eastAsia="宋体" w:cs="宋体"/>
        </w:rPr>
      </w:pPr>
      <w:r>
        <w:rPr>
          <w:rFonts w:hint="eastAsia" w:ascii="宋体" w:hAnsi="宋体" w:eastAsia="宋体" w:cs="宋体"/>
        </w:rPr>
        <w:t>目录</w:t>
      </w:r>
    </w:p>
    <w:p>
      <w:pPr>
        <w:pStyle w:val="16"/>
        <w:rPr>
          <w:rFonts w:hint="eastAsia" w:ascii="宋体" w:hAnsi="宋体" w:eastAsia="宋体" w:cs="宋体"/>
        </w:rPr>
      </w:pPr>
    </w:p>
    <w:p>
      <w:pPr>
        <w:pStyle w:val="16"/>
        <w:rPr>
          <w:rFonts w:hint="eastAsia" w:ascii="宋体" w:hAnsi="宋体" w:eastAsia="宋体" w:cs="宋体"/>
          <w:sz w:val="21"/>
          <w:szCs w:val="22"/>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"_Toc508724614" </w:instrText>
      </w:r>
      <w:r>
        <w:rPr>
          <w:rFonts w:hint="eastAsia" w:ascii="宋体" w:hAnsi="宋体" w:eastAsia="宋体" w:cs="宋体"/>
        </w:rPr>
        <w:fldChar w:fldCharType="separate"/>
      </w:r>
      <w:r>
        <w:rPr>
          <w:rStyle w:val="23"/>
          <w:rFonts w:hint="eastAsia" w:ascii="宋体" w:hAnsi="宋体" w:eastAsia="宋体" w:cs="宋体"/>
        </w:rPr>
        <w:t>1.</w:t>
      </w:r>
      <w:r>
        <w:rPr>
          <w:rFonts w:hint="eastAsia" w:ascii="宋体" w:hAnsi="宋体" w:eastAsia="宋体" w:cs="宋体"/>
          <w:sz w:val="21"/>
          <w:szCs w:val="22"/>
        </w:rPr>
        <w:tab/>
      </w:r>
      <w:r>
        <w:rPr>
          <w:rStyle w:val="23"/>
          <w:rFonts w:hint="eastAsia" w:ascii="宋体" w:hAnsi="宋体" w:eastAsia="宋体" w:cs="宋体"/>
        </w:rPr>
        <w:t>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_Toc508724614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pPr>
        <w:pStyle w:val="16"/>
        <w:rPr>
          <w:rFonts w:hint="eastAsia" w:ascii="宋体" w:hAnsi="宋体" w:eastAsia="宋体" w:cs="宋体"/>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"_Toc508724615" </w:instrText>
      </w:r>
      <w:r>
        <w:rPr>
          <w:rFonts w:hint="eastAsia" w:ascii="宋体" w:hAnsi="宋体" w:eastAsia="宋体" w:cs="宋体"/>
        </w:rPr>
        <w:fldChar w:fldCharType="separate"/>
      </w:r>
      <w:r>
        <w:rPr>
          <w:rStyle w:val="23"/>
          <w:rFonts w:hint="eastAsia" w:ascii="宋体" w:hAnsi="宋体" w:eastAsia="宋体" w:cs="宋体"/>
        </w:rPr>
        <w:t>2.</w:t>
      </w:r>
      <w:r>
        <w:rPr>
          <w:rFonts w:hint="eastAsia" w:ascii="宋体" w:hAnsi="宋体" w:eastAsia="宋体" w:cs="宋体"/>
          <w:sz w:val="21"/>
          <w:szCs w:val="22"/>
        </w:rPr>
        <w:tab/>
      </w:r>
      <w:r>
        <w:rPr>
          <w:rStyle w:val="23"/>
          <w:rFonts w:hint="eastAsia" w:ascii="宋体" w:hAnsi="宋体" w:eastAsia="宋体" w:cs="宋体"/>
        </w:rPr>
        <w:t>适用标准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_Toc508724615 \h </w:instrText>
      </w:r>
      <w:r>
        <w:rPr>
          <w:rFonts w:hint="eastAsia" w:ascii="宋体" w:hAnsi="宋体" w:eastAsia="宋体" w:cs="宋体"/>
        </w:rPr>
        <w:fldChar w:fldCharType="separate"/>
      </w:r>
      <w:r>
        <w:rPr>
          <w:rFonts w:hint="eastAsia" w:ascii="宋体" w:hAnsi="宋体" w:eastAsia="宋体" w:cs="宋体"/>
        </w:rPr>
        <w:t>4</w:t>
      </w:r>
      <w:r>
        <w:rPr>
          <w:rFonts w:hint="eastAsia" w:ascii="宋体" w:hAnsi="宋体" w:eastAsia="宋体" w:cs="宋体"/>
        </w:rPr>
        <w:fldChar w:fldCharType="end"/>
      </w:r>
      <w:r>
        <w:rPr>
          <w:rFonts w:hint="eastAsia" w:ascii="宋体" w:hAnsi="宋体" w:eastAsia="宋体" w:cs="宋体"/>
        </w:rPr>
        <w:fldChar w:fldCharType="end"/>
      </w:r>
    </w:p>
    <w:p>
      <w:pPr>
        <w:pStyle w:val="16"/>
        <w:rPr>
          <w:rFonts w:hint="eastAsia" w:ascii="宋体" w:hAnsi="宋体" w:eastAsia="宋体" w:cs="宋体"/>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"_Toc508724616" </w:instrText>
      </w:r>
      <w:r>
        <w:rPr>
          <w:rFonts w:hint="eastAsia" w:ascii="宋体" w:hAnsi="宋体" w:eastAsia="宋体" w:cs="宋体"/>
        </w:rPr>
        <w:fldChar w:fldCharType="separate"/>
      </w:r>
      <w:r>
        <w:rPr>
          <w:rStyle w:val="23"/>
          <w:rFonts w:hint="eastAsia" w:ascii="宋体" w:hAnsi="宋体" w:eastAsia="宋体" w:cs="宋体"/>
        </w:rPr>
        <w:t>3.</w:t>
      </w:r>
      <w:r>
        <w:rPr>
          <w:rFonts w:hint="eastAsia" w:ascii="宋体" w:hAnsi="宋体" w:eastAsia="宋体" w:cs="宋体"/>
          <w:sz w:val="21"/>
          <w:szCs w:val="22"/>
        </w:rPr>
        <w:tab/>
      </w:r>
      <w:r>
        <w:rPr>
          <w:rStyle w:val="23"/>
          <w:rFonts w:hint="eastAsia" w:ascii="宋体" w:hAnsi="宋体" w:eastAsia="宋体" w:cs="宋体"/>
        </w:rPr>
        <w:t>项目概况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_Toc508724616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pPr>
        <w:pStyle w:val="16"/>
        <w:rPr>
          <w:rFonts w:hint="eastAsia" w:ascii="宋体" w:hAnsi="宋体" w:eastAsia="宋体" w:cs="宋体"/>
          <w:sz w:val="21"/>
          <w:szCs w:val="22"/>
        </w:rPr>
      </w:pPr>
      <w:r>
        <w:rPr>
          <w:rFonts w:hint="eastAsia" w:ascii="宋体" w:hAnsi="宋体" w:eastAsia="宋体" w:cs="宋体"/>
        </w:rPr>
        <w:fldChar w:fldCharType="begin"/>
      </w:r>
      <w:r>
        <w:rPr>
          <w:rFonts w:hint="eastAsia" w:ascii="宋体" w:hAnsi="宋体" w:eastAsia="宋体" w:cs="宋体"/>
        </w:rPr>
        <w:instrText xml:space="preserve"> HYPERLINK \l "_Toc508724617" </w:instrText>
      </w:r>
      <w:r>
        <w:rPr>
          <w:rFonts w:hint="eastAsia" w:ascii="宋体" w:hAnsi="宋体" w:eastAsia="宋体" w:cs="宋体"/>
        </w:rPr>
        <w:fldChar w:fldCharType="separate"/>
      </w:r>
      <w:r>
        <w:rPr>
          <w:rStyle w:val="23"/>
          <w:rFonts w:hint="eastAsia" w:ascii="宋体" w:hAnsi="宋体" w:eastAsia="宋体" w:cs="宋体"/>
        </w:rPr>
        <w:t>4.</w:t>
      </w:r>
      <w:r>
        <w:rPr>
          <w:rFonts w:hint="eastAsia" w:ascii="宋体" w:hAnsi="宋体" w:eastAsia="宋体" w:cs="宋体"/>
          <w:sz w:val="21"/>
          <w:szCs w:val="22"/>
        </w:rPr>
        <w:tab/>
      </w:r>
      <w:r>
        <w:rPr>
          <w:rStyle w:val="23"/>
          <w:rFonts w:hint="eastAsia" w:ascii="宋体" w:hAnsi="宋体" w:eastAsia="宋体" w:cs="宋体"/>
        </w:rPr>
        <w:t>技术服务要求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_Toc508724617 \h </w:instrText>
      </w:r>
      <w:r>
        <w:rPr>
          <w:rFonts w:hint="eastAsia" w:ascii="宋体" w:hAnsi="宋体" w:eastAsia="宋体" w:cs="宋体"/>
        </w:rPr>
        <w:fldChar w:fldCharType="separate"/>
      </w:r>
      <w:r>
        <w:rPr>
          <w:rFonts w:hint="eastAsia" w:ascii="宋体" w:hAnsi="宋体" w:eastAsia="宋体" w:cs="宋体"/>
        </w:rPr>
        <w:t>5</w:t>
      </w:r>
      <w:r>
        <w:rPr>
          <w:rFonts w:hint="eastAsia" w:ascii="宋体" w:hAnsi="宋体" w:eastAsia="宋体" w:cs="宋体"/>
        </w:rPr>
        <w:fldChar w:fldCharType="end"/>
      </w:r>
      <w:r>
        <w:rPr>
          <w:rFonts w:hint="eastAsia" w:ascii="宋体" w:hAnsi="宋体" w:eastAsia="宋体" w:cs="宋体"/>
        </w:rPr>
        <w:fldChar w:fldCharType="end"/>
      </w:r>
    </w:p>
    <w:p>
      <w:pPr>
        <w:rPr>
          <w:rFonts w:hint="eastAsia" w:ascii="宋体" w:hAnsi="宋体" w:eastAsia="宋体" w:cs="宋体"/>
        </w:rPr>
        <w:sectPr>
          <w:footerReference r:id="rId4" w:type="default"/>
          <w:pgSz w:w="11906" w:h="16838"/>
          <w:pgMar w:top="1440" w:right="1800" w:bottom="1440" w:left="1800" w:header="851" w:footer="992" w:gutter="0"/>
          <w:pgNumType w:start="1"/>
          <w:cols w:space="720" w:num="1"/>
          <w:docGrid w:type="lines" w:linePitch="312" w:charSpace="0"/>
        </w:sectPr>
      </w:pPr>
      <w:r>
        <w:rPr>
          <w:rFonts w:hint="eastAsia" w:ascii="宋体" w:hAnsi="宋体" w:eastAsia="宋体" w:cs="宋体"/>
        </w:rPr>
        <w:fldChar w:fldCharType="end"/>
      </w:r>
    </w:p>
    <w:p>
      <w:pPr>
        <w:pStyle w:val="2"/>
        <w:rPr>
          <w:rFonts w:hint="eastAsia" w:ascii="宋体" w:hAnsi="宋体" w:eastAsia="宋体" w:cs="宋体"/>
        </w:rPr>
      </w:pPr>
    </w:p>
    <w:p>
      <w:pPr>
        <w:pStyle w:val="5"/>
        <w:numPr>
          <w:ilvl w:val="0"/>
          <w:numId w:val="2"/>
        </w:numPr>
        <w:spacing w:before="156" w:after="156"/>
        <w:rPr>
          <w:rFonts w:hint="eastAsia" w:ascii="宋体" w:hAnsi="宋体" w:eastAsia="宋体" w:cs="宋体"/>
          <w:szCs w:val="28"/>
        </w:rPr>
      </w:pPr>
      <w:bookmarkStart w:id="1" w:name="_Toc508724614"/>
      <w:r>
        <w:rPr>
          <w:rFonts w:hint="eastAsia" w:ascii="宋体" w:hAnsi="宋体" w:eastAsia="宋体" w:cs="宋体"/>
        </w:rPr>
        <w:t>总则</w:t>
      </w:r>
      <w:bookmarkEnd w:id="0"/>
      <w:bookmarkEnd w:id="1"/>
    </w:p>
    <w:p>
      <w:pPr>
        <w:pageBreakBefore w:val="0"/>
        <w:widowControl w:val="0"/>
        <w:tabs>
          <w:tab w:val="left" w:pos="8640"/>
        </w:tabs>
        <w:kinsoku/>
        <w:wordWrap/>
        <w:overflowPunct/>
        <w:topLinePunct w:val="0"/>
        <w:autoSpaceDE/>
        <w:autoSpaceDN/>
        <w:bidi w:val="0"/>
        <w:adjustRightInd/>
        <w:snapToGrid/>
        <w:spacing w:line="360" w:lineRule="auto"/>
        <w:ind w:left="0" w:right="0" w:rightChars="0" w:hanging="480" w:hangingChars="200"/>
        <w:textAlignment w:val="auto"/>
        <w:rPr>
          <w:rFonts w:hint="eastAsia" w:ascii="宋体" w:hAnsi="宋体" w:eastAsia="宋体" w:cs="宋体"/>
          <w:sz w:val="24"/>
          <w:lang w:val="en-US" w:eastAsia="zh-CN"/>
        </w:rPr>
      </w:pPr>
      <w:r>
        <w:rPr>
          <w:rFonts w:hint="eastAsia" w:ascii="宋体" w:hAnsi="宋体" w:eastAsia="宋体" w:cs="宋体"/>
          <w:sz w:val="24"/>
        </w:rPr>
        <w:t>1.1本规范书适用于</w:t>
      </w:r>
      <w:r>
        <w:rPr>
          <w:rFonts w:hint="eastAsia" w:ascii="宋体" w:hAnsi="宋体" w:eastAsia="宋体" w:cs="宋体"/>
          <w:sz w:val="24"/>
          <w:lang w:eastAsia="zh-CN"/>
        </w:rPr>
        <w:t>明确2025-2027年贺州供电局变电管理所电力监控系统及二次安防系统维保</w:t>
      </w:r>
      <w:r>
        <w:rPr>
          <w:rFonts w:hint="eastAsia" w:ascii="宋体" w:hAnsi="宋体" w:cs="宋体"/>
          <w:sz w:val="24"/>
          <w:lang w:eastAsia="zh-CN"/>
        </w:rPr>
        <w:t>项目</w:t>
      </w:r>
      <w:r>
        <w:rPr>
          <w:rFonts w:hint="eastAsia" w:ascii="宋体" w:hAnsi="宋体" w:eastAsia="宋体" w:cs="宋体"/>
          <w:sz w:val="24"/>
        </w:rPr>
        <w:t>的服务的要求</w:t>
      </w:r>
      <w:r>
        <w:rPr>
          <w:rFonts w:hint="eastAsia" w:ascii="宋体" w:hAnsi="宋体" w:eastAsia="宋体" w:cs="宋体"/>
          <w:sz w:val="24"/>
          <w:lang w:eastAsia="zh-CN"/>
        </w:rPr>
        <w:t>。</w:t>
      </w:r>
    </w:p>
    <w:p>
      <w:pPr>
        <w:pageBreakBefore w:val="0"/>
        <w:widowControl w:val="0"/>
        <w:tabs>
          <w:tab w:val="left" w:pos="8640"/>
        </w:tabs>
        <w:kinsoku/>
        <w:wordWrap/>
        <w:overflowPunct/>
        <w:topLinePunct w:val="0"/>
        <w:autoSpaceDE/>
        <w:autoSpaceDN/>
        <w:bidi w:val="0"/>
        <w:adjustRightInd/>
        <w:snapToGrid/>
        <w:spacing w:line="360" w:lineRule="auto"/>
        <w:ind w:left="0" w:right="0" w:rightChars="0" w:hanging="360" w:hangingChars="150"/>
        <w:textAlignment w:val="auto"/>
        <w:rPr>
          <w:rFonts w:hint="eastAsia" w:ascii="宋体" w:hAnsi="宋体" w:eastAsia="宋体" w:cs="宋体"/>
          <w:sz w:val="24"/>
        </w:rPr>
      </w:pPr>
      <w:r>
        <w:rPr>
          <w:rFonts w:hint="eastAsia" w:ascii="宋体" w:hAnsi="宋体" w:eastAsia="宋体" w:cs="宋体"/>
          <w:sz w:val="24"/>
        </w:rPr>
        <w:t>1.2本规范书提出的是最基本的技术要求，</w:t>
      </w:r>
      <w:r>
        <w:rPr>
          <w:rFonts w:hint="eastAsia" w:ascii="宋体" w:hAnsi="宋体" w:eastAsia="宋体" w:cs="宋体"/>
          <w:sz w:val="24"/>
          <w:lang w:eastAsia="zh-CN"/>
        </w:rPr>
        <w:t>投标方</w:t>
      </w:r>
      <w:r>
        <w:rPr>
          <w:rFonts w:hint="eastAsia" w:ascii="宋体" w:hAnsi="宋体" w:eastAsia="宋体" w:cs="宋体"/>
          <w:sz w:val="24"/>
        </w:rPr>
        <w:t>应保证按本</w:t>
      </w:r>
      <w:r>
        <w:rPr>
          <w:rFonts w:hint="eastAsia" w:ascii="宋体" w:hAnsi="宋体" w:eastAsia="宋体" w:cs="宋体"/>
          <w:sz w:val="24"/>
          <w:lang w:eastAsia="zh-CN"/>
        </w:rPr>
        <w:t>技术</w:t>
      </w:r>
      <w:r>
        <w:rPr>
          <w:rFonts w:hint="eastAsia" w:ascii="宋体" w:hAnsi="宋体" w:eastAsia="宋体" w:cs="宋体"/>
          <w:sz w:val="24"/>
        </w:rPr>
        <w:t>规范书开展施工。本</w:t>
      </w:r>
      <w:r>
        <w:rPr>
          <w:rFonts w:hint="eastAsia" w:ascii="宋体" w:hAnsi="宋体" w:eastAsia="宋体" w:cs="宋体"/>
          <w:sz w:val="24"/>
          <w:lang w:eastAsia="zh-CN"/>
        </w:rPr>
        <w:t>技术规范书</w:t>
      </w:r>
      <w:r>
        <w:rPr>
          <w:rFonts w:hint="eastAsia" w:ascii="宋体" w:hAnsi="宋体" w:eastAsia="宋体" w:cs="宋体"/>
          <w:sz w:val="24"/>
        </w:rPr>
        <w:t>所使用的标准如与</w:t>
      </w:r>
      <w:r>
        <w:rPr>
          <w:rFonts w:hint="eastAsia" w:ascii="宋体" w:hAnsi="宋体" w:eastAsia="宋体" w:cs="宋体"/>
          <w:sz w:val="24"/>
          <w:lang w:eastAsia="zh-CN"/>
        </w:rPr>
        <w:t>投标方</w:t>
      </w:r>
      <w:r>
        <w:rPr>
          <w:rFonts w:hint="eastAsia" w:ascii="宋体" w:hAnsi="宋体" w:eastAsia="宋体" w:cs="宋体"/>
          <w:sz w:val="24"/>
        </w:rPr>
        <w:t>所执行的标准有偏差时，按高标准执行。</w:t>
      </w:r>
    </w:p>
    <w:p>
      <w:pPr>
        <w:pageBreakBefore w:val="0"/>
        <w:widowControl w:val="0"/>
        <w:tabs>
          <w:tab w:val="left" w:pos="8640"/>
        </w:tabs>
        <w:kinsoku/>
        <w:wordWrap/>
        <w:overflowPunct/>
        <w:topLinePunct w:val="0"/>
        <w:autoSpaceDE/>
        <w:autoSpaceDN/>
        <w:bidi w:val="0"/>
        <w:adjustRightInd/>
        <w:snapToGrid/>
        <w:spacing w:line="360" w:lineRule="auto"/>
        <w:ind w:left="0" w:right="0" w:rightChars="0" w:hanging="360" w:hangingChars="150"/>
        <w:textAlignment w:val="auto"/>
        <w:rPr>
          <w:rFonts w:hint="eastAsia"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3</w:t>
      </w:r>
      <w:r>
        <w:rPr>
          <w:rFonts w:hint="eastAsia" w:ascii="宋体" w:hAnsi="宋体" w:eastAsia="宋体" w:cs="宋体"/>
          <w:sz w:val="24"/>
        </w:rPr>
        <w:t>本规范书仅对</w:t>
      </w:r>
      <w:r>
        <w:rPr>
          <w:rFonts w:hint="eastAsia" w:ascii="宋体" w:hAnsi="宋体" w:eastAsia="宋体" w:cs="宋体"/>
          <w:sz w:val="24"/>
          <w:lang w:eastAsia="zh-CN"/>
        </w:rPr>
        <w:t>2025-2027年贺州供电局变电管理所电力监控系统及二次安防系统维保</w:t>
      </w:r>
      <w:r>
        <w:rPr>
          <w:rFonts w:hint="eastAsia" w:ascii="宋体" w:hAnsi="宋体" w:cs="宋体"/>
          <w:sz w:val="24"/>
          <w:lang w:eastAsia="zh-CN"/>
        </w:rPr>
        <w:t>项目</w:t>
      </w:r>
      <w:r>
        <w:rPr>
          <w:rFonts w:hint="eastAsia" w:ascii="宋体" w:hAnsi="宋体" w:eastAsia="宋体" w:cs="宋体"/>
          <w:sz w:val="24"/>
        </w:rPr>
        <w:t>提出基本要求，</w:t>
      </w:r>
      <w:r>
        <w:rPr>
          <w:rFonts w:hint="eastAsia" w:ascii="宋体" w:hAnsi="宋体" w:eastAsia="宋体" w:cs="宋体"/>
          <w:sz w:val="24"/>
          <w:lang w:eastAsia="zh-CN"/>
        </w:rPr>
        <w:t>投标方</w:t>
      </w:r>
      <w:r>
        <w:rPr>
          <w:rFonts w:hint="eastAsia" w:ascii="宋体" w:hAnsi="宋体" w:eastAsia="宋体" w:cs="宋体"/>
          <w:sz w:val="24"/>
        </w:rPr>
        <w:t>可结合自己的特点提出建议书并提供详细资料、图片及说明，以供参考。如有偏差，应得到委托方确认。</w:t>
      </w:r>
    </w:p>
    <w:p>
      <w:pPr>
        <w:pageBreakBefore w:val="0"/>
        <w:widowControl w:val="0"/>
        <w:tabs>
          <w:tab w:val="left" w:pos="8640"/>
        </w:tabs>
        <w:kinsoku/>
        <w:wordWrap/>
        <w:overflowPunct/>
        <w:topLinePunct w:val="0"/>
        <w:autoSpaceDE/>
        <w:autoSpaceDN/>
        <w:bidi w:val="0"/>
        <w:adjustRightInd/>
        <w:snapToGrid/>
        <w:spacing w:line="360" w:lineRule="auto"/>
        <w:ind w:left="0" w:right="0" w:rightChars="0" w:hanging="360" w:hangingChars="150"/>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1.4本规范书指标要求中，凡标有“★”的地方均被视为重要的技术指标要求或性能要求。投标方要特别加以注意，必须完全满足这些要求。</w:t>
      </w:r>
    </w:p>
    <w:p>
      <w:pPr>
        <w:pageBreakBefore w:val="0"/>
        <w:widowControl w:val="0"/>
        <w:tabs>
          <w:tab w:val="left" w:pos="8640"/>
        </w:tabs>
        <w:kinsoku/>
        <w:wordWrap/>
        <w:overflowPunct/>
        <w:topLinePunct w:val="0"/>
        <w:autoSpaceDE/>
        <w:autoSpaceDN/>
        <w:bidi w:val="0"/>
        <w:adjustRightInd/>
        <w:snapToGrid/>
        <w:spacing w:line="360" w:lineRule="auto"/>
        <w:ind w:left="0" w:right="0" w:rightChars="0" w:hanging="360" w:hangingChars="150"/>
        <w:textAlignment w:val="auto"/>
        <w:rPr>
          <w:rFonts w:hint="eastAsia" w:ascii="宋体" w:hAnsi="宋体" w:eastAsia="宋体" w:cs="宋体"/>
          <w:sz w:val="24"/>
        </w:rPr>
      </w:pPr>
    </w:p>
    <w:p>
      <w:pPr>
        <w:pStyle w:val="5"/>
        <w:pageBreakBefore w:val="0"/>
        <w:widowControl w:val="0"/>
        <w:numPr>
          <w:ilvl w:val="0"/>
          <w:numId w:val="2"/>
        </w:numPr>
        <w:kinsoku/>
        <w:wordWrap/>
        <w:overflowPunct/>
        <w:topLinePunct w:val="0"/>
        <w:autoSpaceDE/>
        <w:autoSpaceDN/>
        <w:bidi w:val="0"/>
        <w:adjustRightInd/>
        <w:snapToGrid/>
        <w:spacing w:before="0" w:beforeLines="0" w:after="0" w:afterLines="0" w:line="360" w:lineRule="auto"/>
        <w:ind w:left="0" w:right="0" w:rightChars="0"/>
        <w:textAlignment w:val="auto"/>
        <w:rPr>
          <w:rFonts w:hint="eastAsia" w:ascii="宋体" w:hAnsi="宋体" w:eastAsia="宋体" w:cs="宋体"/>
        </w:rPr>
      </w:pPr>
      <w:bookmarkStart w:id="2" w:name="_Toc508724615"/>
      <w:r>
        <w:rPr>
          <w:rFonts w:hint="eastAsia" w:ascii="宋体" w:hAnsi="宋体" w:eastAsia="宋体" w:cs="宋体"/>
        </w:rPr>
        <w:t>适用标准</w:t>
      </w:r>
      <w:bookmarkEnd w:id="2"/>
    </w:p>
    <w:p>
      <w:pPr>
        <w:pageBreakBefore w:val="0"/>
        <w:widowControl w:val="0"/>
        <w:tabs>
          <w:tab w:val="left" w:pos="8640"/>
        </w:tabs>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投标方提供的所有工作产品，除本规范书中规定的技术参数和要求外，其余均应遵照最新版本的国际电信联盟(ITU)、国际电工委员会标准(IEC)、国际公制(SI)、国际标准化组织（ISO）及国家标准，这是对设备的最低要求。如果投标方有自己的标准或规范经招标方同意方可采用，但原则上均不能低于上述标准的有关规定，特别是这些规定或规程中互相矛盾的地方，应先征得招标方同意后，才能制造或采购。</w:t>
      </w:r>
    </w:p>
    <w:p>
      <w:pPr>
        <w:pageBreakBefore w:val="0"/>
        <w:widowControl w:val="0"/>
        <w:tabs>
          <w:tab w:val="left" w:pos="8640"/>
        </w:tabs>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sz w:val="24"/>
        </w:rPr>
      </w:pPr>
      <w:r>
        <w:rPr>
          <w:rFonts w:hint="eastAsia" w:ascii="宋体" w:hAnsi="宋体" w:eastAsia="宋体" w:cs="宋体"/>
          <w:sz w:val="24"/>
        </w:rPr>
        <w:t>本项目的材料、设备、施工须达到下列现行中华人民共和国以及南方电网公司、广西电网公司的工程建设标准、规范的要求：</w:t>
      </w:r>
    </w:p>
    <w:p>
      <w:pPr>
        <w:keepNext w:val="0"/>
        <w:keepLines w:val="0"/>
        <w:pageBreakBefore w:val="0"/>
        <w:widowControl w:val="0"/>
        <w:numPr>
          <w:ilvl w:val="0"/>
          <w:numId w:val="3"/>
        </w:numPr>
        <w:tabs>
          <w:tab w:val="left" w:pos="8640"/>
        </w:tabs>
        <w:kinsoku/>
        <w:wordWrap/>
        <w:overflowPunct/>
        <w:topLinePunct w:val="0"/>
        <w:autoSpaceDE/>
        <w:autoSpaceDN/>
        <w:bidi w:val="0"/>
        <w:adjustRightInd/>
        <w:snapToGrid/>
        <w:spacing w:line="360" w:lineRule="auto"/>
        <w:ind w:left="0" w:right="0" w:rightChars="0" w:firstLine="57"/>
        <w:textAlignment w:val="auto"/>
        <w:rPr>
          <w:rFonts w:hint="eastAsia" w:ascii="宋体" w:hAnsi="宋体" w:eastAsia="宋体" w:cs="宋体"/>
          <w:sz w:val="24"/>
        </w:rPr>
      </w:pPr>
      <w:r>
        <w:rPr>
          <w:rFonts w:hint="eastAsia" w:ascii="宋体" w:hAnsi="宋体" w:eastAsia="宋体" w:cs="宋体"/>
          <w:sz w:val="24"/>
        </w:rPr>
        <w:t>《电力监控系统安全防护规定》（国家发展改革委员会20</w:t>
      </w:r>
      <w:r>
        <w:rPr>
          <w:rFonts w:hint="eastAsia" w:ascii="宋体" w:hAnsi="宋体" w:eastAsia="宋体" w:cs="宋体"/>
          <w:sz w:val="24"/>
          <w:lang w:val="en-US" w:eastAsia="zh-CN"/>
        </w:rPr>
        <w:t>2</w:t>
      </w:r>
      <w:r>
        <w:rPr>
          <w:rFonts w:hint="eastAsia" w:ascii="宋体" w:hAnsi="宋体" w:eastAsia="宋体" w:cs="宋体"/>
          <w:sz w:val="24"/>
        </w:rPr>
        <w:t>4年第</w:t>
      </w:r>
      <w:r>
        <w:rPr>
          <w:rFonts w:hint="eastAsia" w:ascii="宋体" w:hAnsi="宋体" w:eastAsia="宋体" w:cs="宋体"/>
          <w:sz w:val="24"/>
          <w:lang w:val="en-US" w:eastAsia="zh-CN"/>
        </w:rPr>
        <w:t>27</w:t>
      </w:r>
      <w:r>
        <w:rPr>
          <w:rFonts w:hint="eastAsia" w:ascii="宋体" w:hAnsi="宋体" w:eastAsia="宋体" w:cs="宋体"/>
          <w:sz w:val="24"/>
        </w:rPr>
        <w:t>号令）</w:t>
      </w:r>
    </w:p>
    <w:p>
      <w:pPr>
        <w:keepNext w:val="0"/>
        <w:keepLines w:val="0"/>
        <w:pageBreakBefore w:val="0"/>
        <w:widowControl w:val="0"/>
        <w:numPr>
          <w:ilvl w:val="0"/>
          <w:numId w:val="3"/>
        </w:numPr>
        <w:tabs>
          <w:tab w:val="left" w:pos="8640"/>
        </w:tabs>
        <w:kinsoku/>
        <w:wordWrap/>
        <w:overflowPunct/>
        <w:topLinePunct w:val="0"/>
        <w:autoSpaceDE/>
        <w:autoSpaceDN/>
        <w:bidi w:val="0"/>
        <w:adjustRightInd/>
        <w:snapToGrid/>
        <w:spacing w:line="360" w:lineRule="auto"/>
        <w:ind w:left="0" w:right="0" w:rightChars="0" w:firstLine="57"/>
        <w:textAlignment w:val="auto"/>
        <w:rPr>
          <w:rFonts w:hint="eastAsia" w:ascii="宋体" w:hAnsi="宋体" w:eastAsia="宋体" w:cs="宋体"/>
          <w:sz w:val="24"/>
        </w:rPr>
      </w:pPr>
      <w:r>
        <w:rPr>
          <w:rFonts w:hint="eastAsia" w:ascii="宋体" w:hAnsi="宋体" w:eastAsia="宋体" w:cs="宋体"/>
          <w:sz w:val="24"/>
        </w:rPr>
        <w:t>中国南方电网电力监控系统网络安全管理办法</w:t>
      </w:r>
    </w:p>
    <w:p>
      <w:pPr>
        <w:keepNext w:val="0"/>
        <w:keepLines w:val="0"/>
        <w:pageBreakBefore w:val="0"/>
        <w:widowControl w:val="0"/>
        <w:numPr>
          <w:ilvl w:val="0"/>
          <w:numId w:val="3"/>
        </w:numPr>
        <w:tabs>
          <w:tab w:val="left" w:pos="8640"/>
        </w:tabs>
        <w:kinsoku/>
        <w:wordWrap/>
        <w:overflowPunct/>
        <w:topLinePunct w:val="0"/>
        <w:autoSpaceDE/>
        <w:autoSpaceDN/>
        <w:bidi w:val="0"/>
        <w:adjustRightInd/>
        <w:snapToGrid/>
        <w:spacing w:line="360" w:lineRule="auto"/>
        <w:ind w:left="0" w:right="0" w:rightChars="0" w:firstLine="57"/>
        <w:textAlignment w:val="auto"/>
        <w:rPr>
          <w:rFonts w:hint="eastAsia" w:ascii="宋体" w:hAnsi="宋体" w:eastAsia="宋体" w:cs="宋体"/>
          <w:sz w:val="24"/>
        </w:rPr>
      </w:pPr>
      <w:r>
        <w:rPr>
          <w:rFonts w:hint="eastAsia" w:ascii="宋体" w:hAnsi="宋体" w:eastAsia="宋体" w:cs="宋体"/>
          <w:sz w:val="24"/>
        </w:rPr>
        <w:t>中国南方电网电力监控系统安全防护技术规范</w:t>
      </w:r>
    </w:p>
    <w:p>
      <w:pPr>
        <w:tabs>
          <w:tab w:val="left" w:pos="8640"/>
        </w:tabs>
        <w:ind w:right="-57" w:rightChars="-27" w:firstLine="480" w:firstLineChars="200"/>
        <w:rPr>
          <w:rFonts w:hint="eastAsia" w:ascii="宋体" w:hAnsi="宋体" w:eastAsia="宋体" w:cs="宋体"/>
          <w:sz w:val="24"/>
        </w:rPr>
      </w:pPr>
      <w:bookmarkStart w:id="3" w:name="_Toc84037432"/>
      <w:bookmarkStart w:id="4" w:name="_Toc84038456"/>
      <w:bookmarkStart w:id="5" w:name="_Toc83808935"/>
      <w:bookmarkStart w:id="6" w:name="_Toc83724327"/>
      <w:bookmarkStart w:id="7" w:name="_Toc84038536"/>
      <w:bookmarkStart w:id="8" w:name="_Toc171303941"/>
      <w:bookmarkStart w:id="9" w:name="_Toc84038119"/>
      <w:bookmarkStart w:id="10" w:name="_Toc84038376"/>
    </w:p>
    <w:p>
      <w:pPr>
        <w:pStyle w:val="5"/>
        <w:numPr>
          <w:ilvl w:val="0"/>
          <w:numId w:val="2"/>
        </w:numPr>
        <w:spacing w:before="156" w:after="156"/>
        <w:rPr>
          <w:rFonts w:hint="eastAsia" w:ascii="宋体" w:hAnsi="宋体" w:eastAsia="宋体" w:cs="宋体"/>
        </w:rPr>
      </w:pPr>
      <w:bookmarkStart w:id="11" w:name="_Toc508724616"/>
      <w:r>
        <w:rPr>
          <w:rFonts w:hint="eastAsia" w:ascii="宋体" w:hAnsi="宋体" w:eastAsia="宋体" w:cs="宋体"/>
        </w:rPr>
        <w:t>项目概况</w:t>
      </w:r>
      <w:bookmarkEnd w:id="11"/>
    </w:p>
    <w:p>
      <w:pPr>
        <w:spacing w:line="360" w:lineRule="auto"/>
        <w:ind w:firstLine="480" w:firstLineChars="200"/>
        <w:rPr>
          <w:rFonts w:hint="eastAsia" w:ascii="宋体" w:hAnsi="宋体" w:eastAsia="宋体" w:cs="宋体"/>
          <w:sz w:val="24"/>
          <w:lang w:val="zh-CN"/>
        </w:rPr>
      </w:pPr>
      <w:r>
        <w:rPr>
          <w:rFonts w:hint="eastAsia" w:ascii="宋体" w:hAnsi="宋体" w:eastAsia="宋体" w:cs="宋体"/>
          <w:sz w:val="24"/>
          <w:lang w:val="zh-CN"/>
        </w:rPr>
        <w:t>为保障</w:t>
      </w:r>
      <w:r>
        <w:rPr>
          <w:rFonts w:hint="eastAsia" w:ascii="宋体" w:hAnsi="宋体" w:cs="宋体"/>
          <w:color w:val="auto"/>
          <w:sz w:val="24"/>
          <w:highlight w:val="none"/>
          <w:lang w:val="en-US" w:eastAsia="zh-CN"/>
        </w:rPr>
        <w:t>贺州网区</w:t>
      </w:r>
      <w:r>
        <w:rPr>
          <w:rFonts w:hint="eastAsia" w:ascii="宋体" w:hAnsi="宋体" w:eastAsia="宋体" w:cs="宋体"/>
          <w:sz w:val="24"/>
          <w:lang w:val="zh-CN"/>
        </w:rPr>
        <w:t>厂站电力监控系统的安全、可靠运行，需要开展各类系统设备接入优化调整、故障处理、系统完善等现场修理维保服务，消除隐患，提升系统应用效果。</w:t>
      </w:r>
    </w:p>
    <w:p>
      <w:pPr>
        <w:pageBreakBefore w:val="0"/>
        <w:widowControl w:val="0"/>
        <w:kinsoku/>
        <w:wordWrap/>
        <w:overflowPunct/>
        <w:topLinePunct w:val="0"/>
        <w:autoSpaceDE/>
        <w:autoSpaceDN/>
        <w:bidi w:val="0"/>
        <w:adjustRightInd/>
        <w:snapToGrid/>
        <w:spacing w:line="360" w:lineRule="auto"/>
        <w:ind w:left="0" w:right="0" w:righ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本次采购内容如下：</w:t>
      </w:r>
    </w:p>
    <w:tbl>
      <w:tblPr>
        <w:tblStyle w:val="19"/>
        <w:tblW w:w="85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3301"/>
        <w:gridCol w:w="2194"/>
        <w:gridCol w:w="1098"/>
        <w:gridCol w:w="1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812" w:type="dxa"/>
            <w:tcBorders>
              <w:top w:val="single" w:color="auto" w:sz="4" w:space="0"/>
              <w:left w:val="single" w:color="auto" w:sz="4" w:space="0"/>
              <w:bottom w:val="single" w:color="auto" w:sz="4" w:space="0"/>
              <w:right w:val="single" w:color="auto" w:sz="4" w:space="0"/>
            </w:tcBorders>
            <w:noWrap w:val="0"/>
            <w:vAlign w:val="top"/>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3301"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内容</w:t>
            </w:r>
          </w:p>
        </w:tc>
        <w:tc>
          <w:tcPr>
            <w:tcW w:w="2194"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数量</w:t>
            </w:r>
          </w:p>
        </w:tc>
        <w:tc>
          <w:tcPr>
            <w:tcW w:w="1098"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单位</w:t>
            </w:r>
          </w:p>
        </w:tc>
        <w:tc>
          <w:tcPr>
            <w:tcW w:w="1182"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trPr>
        <w:tc>
          <w:tcPr>
            <w:tcW w:w="812" w:type="dxa"/>
            <w:tcBorders>
              <w:top w:val="single" w:color="auto" w:sz="4" w:space="0"/>
              <w:left w:val="single" w:color="auto" w:sz="4" w:space="0"/>
              <w:bottom w:val="single" w:color="auto" w:sz="4" w:space="0"/>
              <w:right w:val="single" w:color="auto" w:sz="4" w:space="0"/>
            </w:tcBorders>
            <w:noWrap w:val="0"/>
            <w:vAlign w:val="top"/>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lang w:val="en-US" w:eastAsia="zh-CN"/>
              </w:rPr>
            </w:pPr>
          </w:p>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3301"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spacing w:line="360" w:lineRule="auto"/>
              <w:ind w:left="0" w:right="0" w:right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为</w:t>
            </w:r>
            <w:r>
              <w:rPr>
                <w:rFonts w:hint="eastAsia" w:ascii="宋体" w:hAnsi="宋体" w:cs="宋体"/>
                <w:color w:val="auto"/>
                <w:sz w:val="24"/>
                <w:highlight w:val="none"/>
                <w:lang w:val="en-US" w:eastAsia="zh-CN"/>
              </w:rPr>
              <w:t>贺州供电</w:t>
            </w:r>
            <w:r>
              <w:rPr>
                <w:rFonts w:hint="eastAsia" w:ascii="宋体" w:hAnsi="宋体" w:eastAsia="宋体" w:cs="宋体"/>
                <w:color w:val="auto"/>
                <w:sz w:val="24"/>
                <w:highlight w:val="none"/>
                <w:lang w:val="en-US" w:eastAsia="zh-CN"/>
              </w:rPr>
              <w:t>局</w:t>
            </w:r>
            <w:r>
              <w:rPr>
                <w:rFonts w:hint="eastAsia" w:ascii="宋体" w:hAnsi="宋体" w:cs="宋体"/>
                <w:color w:val="auto"/>
                <w:sz w:val="24"/>
                <w:highlight w:val="none"/>
                <w:lang w:val="en-US" w:eastAsia="zh-CN"/>
              </w:rPr>
              <w:t>变电管理所</w:t>
            </w:r>
            <w:r>
              <w:rPr>
                <w:rFonts w:hint="eastAsia" w:ascii="宋体" w:hAnsi="宋体" w:eastAsia="宋体" w:cs="宋体"/>
                <w:color w:val="auto"/>
                <w:sz w:val="24"/>
                <w:highlight w:val="none"/>
                <w:lang w:val="en-US" w:eastAsia="zh-CN"/>
              </w:rPr>
              <w:t>提供为期</w:t>
            </w:r>
            <w:r>
              <w:rPr>
                <w:rFonts w:hint="eastAsia" w:ascii="宋体" w:hAnsi="宋体" w:cs="宋体"/>
                <w:color w:val="auto"/>
                <w:sz w:val="24"/>
                <w:highlight w:val="none"/>
                <w:lang w:val="en-US" w:eastAsia="zh-CN"/>
              </w:rPr>
              <w:t>24</w:t>
            </w:r>
            <w:r>
              <w:rPr>
                <w:rFonts w:hint="eastAsia" w:ascii="宋体" w:hAnsi="宋体" w:eastAsia="宋体" w:cs="宋体"/>
                <w:color w:val="auto"/>
                <w:sz w:val="24"/>
                <w:highlight w:val="none"/>
                <w:lang w:val="en-US" w:eastAsia="zh-CN"/>
              </w:rPr>
              <w:t>个月的变电站电力监控系统网络安全</w:t>
            </w:r>
            <w:r>
              <w:rPr>
                <w:rFonts w:hint="eastAsia" w:ascii="宋体" w:hAnsi="宋体" w:eastAsia="宋体" w:cs="宋体"/>
                <w:color w:val="auto"/>
                <w:sz w:val="24"/>
                <w:highlight w:val="none"/>
              </w:rPr>
              <w:t>综合服务</w:t>
            </w:r>
            <w:r>
              <w:rPr>
                <w:rFonts w:hint="eastAsia" w:ascii="宋体" w:hAnsi="宋体" w:eastAsia="宋体" w:cs="宋体"/>
                <w:color w:val="auto"/>
                <w:sz w:val="24"/>
                <w:highlight w:val="none"/>
                <w:lang w:eastAsia="zh-CN"/>
              </w:rPr>
              <w:t>，服务范围包括</w:t>
            </w:r>
            <w:r>
              <w:rPr>
                <w:rFonts w:hint="eastAsia" w:ascii="宋体" w:hAnsi="宋体" w:cs="宋体"/>
                <w:color w:val="auto"/>
                <w:sz w:val="24"/>
                <w:highlight w:val="none"/>
                <w:lang w:val="en-US" w:eastAsia="zh-CN"/>
              </w:rPr>
              <w:t>贺州供电</w:t>
            </w:r>
            <w:r>
              <w:rPr>
                <w:rFonts w:hint="eastAsia" w:ascii="宋体" w:hAnsi="宋体" w:eastAsia="宋体" w:cs="宋体"/>
                <w:color w:val="auto"/>
                <w:sz w:val="24"/>
                <w:highlight w:val="none"/>
                <w:lang w:val="en-US" w:eastAsia="zh-CN"/>
              </w:rPr>
              <w:t>局</w:t>
            </w:r>
            <w:r>
              <w:rPr>
                <w:rFonts w:hint="eastAsia" w:ascii="宋体" w:hAnsi="宋体" w:cs="宋体"/>
                <w:color w:val="auto"/>
                <w:sz w:val="24"/>
                <w:highlight w:val="none"/>
                <w:lang w:val="en-US" w:eastAsia="zh-CN"/>
              </w:rPr>
              <w:t>变电管理所</w:t>
            </w:r>
            <w:r>
              <w:rPr>
                <w:rFonts w:hint="eastAsia" w:ascii="宋体" w:hAnsi="宋体" w:eastAsia="宋体" w:cs="宋体"/>
                <w:sz w:val="24"/>
                <w:lang w:val="en-US" w:eastAsia="zh-CN"/>
              </w:rPr>
              <w:t>辖区内</w:t>
            </w:r>
            <w:r>
              <w:rPr>
                <w:rFonts w:hint="eastAsia" w:ascii="宋体" w:hAnsi="宋体" w:cs="宋体"/>
                <w:color w:val="auto"/>
                <w:sz w:val="24"/>
                <w:highlight w:val="none"/>
                <w:lang w:val="en-US" w:eastAsia="zh-CN"/>
              </w:rPr>
              <w:t>60</w:t>
            </w:r>
            <w:r>
              <w:rPr>
                <w:rFonts w:hint="eastAsia" w:ascii="宋体" w:hAnsi="宋体" w:eastAsia="宋体" w:cs="宋体"/>
                <w:sz w:val="24"/>
                <w:lang w:val="en-US" w:eastAsia="zh-CN"/>
              </w:rPr>
              <w:t>座35kV及以上变电站，服务内容</w:t>
            </w:r>
            <w:r>
              <w:rPr>
                <w:rFonts w:hint="eastAsia" w:ascii="宋体" w:hAnsi="宋体" w:eastAsia="宋体" w:cs="宋体"/>
                <w:sz w:val="24"/>
                <w:lang w:eastAsia="zh-CN"/>
              </w:rPr>
              <w:t>包括</w:t>
            </w:r>
            <w:r>
              <w:rPr>
                <w:rFonts w:hint="eastAsia" w:ascii="宋体" w:hAnsi="宋体" w:eastAsia="宋体" w:cs="宋体"/>
                <w:sz w:val="24"/>
              </w:rPr>
              <w:t>安全值守</w:t>
            </w:r>
            <w:r>
              <w:rPr>
                <w:rFonts w:hint="eastAsia" w:ascii="宋体" w:hAnsi="宋体" w:eastAsia="宋体" w:cs="宋体"/>
                <w:sz w:val="24"/>
                <w:lang w:val="en-US" w:eastAsia="zh-CN"/>
              </w:rPr>
              <w:t>、</w:t>
            </w:r>
            <w:r>
              <w:rPr>
                <w:rFonts w:hint="eastAsia" w:ascii="宋体" w:hAnsi="宋体" w:eastAsia="宋体" w:cs="宋体"/>
                <w:sz w:val="24"/>
              </w:rPr>
              <w:t>安全运维、安全加固、技术支持、</w:t>
            </w:r>
            <w:r>
              <w:rPr>
                <w:rFonts w:hint="eastAsia" w:ascii="宋体" w:hAnsi="宋体" w:eastAsia="宋体" w:cs="宋体"/>
                <w:sz w:val="24"/>
                <w:lang w:val="zh-CN"/>
              </w:rPr>
              <w:t>系统接入优化调整</w:t>
            </w:r>
            <w:r>
              <w:rPr>
                <w:rFonts w:hint="eastAsia" w:ascii="宋体" w:hAnsi="宋体" w:cs="宋体"/>
                <w:sz w:val="24"/>
                <w:lang w:val="zh-CN"/>
              </w:rPr>
              <w:t>、</w:t>
            </w:r>
            <w:r>
              <w:rPr>
                <w:rFonts w:hint="eastAsia" w:ascii="宋体" w:hAnsi="宋体" w:eastAsia="宋体" w:cs="宋体"/>
                <w:sz w:val="24"/>
                <w:lang w:val="zh-CN"/>
              </w:rPr>
              <w:t>故障处理及应急响应</w:t>
            </w:r>
            <w:r>
              <w:rPr>
                <w:rFonts w:hint="eastAsia" w:ascii="宋体" w:hAnsi="宋体" w:cs="宋体"/>
                <w:sz w:val="24"/>
                <w:lang w:val="zh-CN"/>
              </w:rPr>
              <w:t>等</w:t>
            </w:r>
            <w:r>
              <w:rPr>
                <w:rFonts w:hint="eastAsia" w:ascii="宋体" w:hAnsi="宋体" w:eastAsia="宋体" w:cs="宋体"/>
                <w:sz w:val="24"/>
                <w:lang w:val="zh-CN"/>
              </w:rPr>
              <w:t>，按</w:t>
            </w:r>
            <w:r>
              <w:rPr>
                <w:rFonts w:hint="eastAsia" w:ascii="宋体" w:hAnsi="宋体" w:eastAsia="宋体" w:cs="宋体"/>
                <w:sz w:val="24"/>
                <w:highlight w:val="none"/>
                <w:lang w:val="zh-CN"/>
              </w:rPr>
              <w:t>季度</w:t>
            </w:r>
            <w:r>
              <w:rPr>
                <w:rFonts w:hint="eastAsia" w:ascii="宋体" w:hAnsi="宋体" w:eastAsia="宋体" w:cs="宋体"/>
                <w:sz w:val="24"/>
                <w:lang w:val="zh-CN"/>
              </w:rPr>
              <w:t>出具工作报告。</w:t>
            </w:r>
          </w:p>
        </w:tc>
        <w:tc>
          <w:tcPr>
            <w:tcW w:w="2194"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098"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项</w:t>
            </w:r>
          </w:p>
        </w:tc>
        <w:tc>
          <w:tcPr>
            <w:tcW w:w="1182" w:type="dxa"/>
            <w:tcBorders>
              <w:top w:val="single" w:color="auto" w:sz="4" w:space="0"/>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spacing w:line="360" w:lineRule="auto"/>
              <w:ind w:left="0" w:right="0" w:right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p>
        </w:tc>
      </w:tr>
    </w:tbl>
    <w:p>
      <w:pPr>
        <w:pStyle w:val="5"/>
        <w:numPr>
          <w:ilvl w:val="0"/>
          <w:numId w:val="2"/>
        </w:numPr>
        <w:spacing w:before="156" w:after="156"/>
        <w:rPr>
          <w:rFonts w:hint="eastAsia" w:ascii="宋体" w:hAnsi="宋体" w:eastAsia="宋体" w:cs="宋体"/>
        </w:rPr>
      </w:pPr>
      <w:bookmarkStart w:id="12" w:name="_Toc508724617"/>
      <w:r>
        <w:rPr>
          <w:rFonts w:hint="eastAsia" w:ascii="宋体" w:hAnsi="宋体" w:eastAsia="宋体" w:cs="宋体"/>
        </w:rPr>
        <w:t>技术服务要求</w:t>
      </w:r>
      <w:bookmarkEnd w:id="3"/>
      <w:bookmarkEnd w:id="4"/>
      <w:bookmarkEnd w:id="5"/>
      <w:bookmarkEnd w:id="6"/>
      <w:bookmarkEnd w:id="7"/>
      <w:bookmarkEnd w:id="8"/>
      <w:bookmarkEnd w:id="9"/>
      <w:bookmarkEnd w:id="10"/>
      <w:bookmarkEnd w:id="12"/>
      <w:bookmarkStart w:id="13" w:name="_Toc171303942"/>
    </w:p>
    <w:bookmarkEnd w:id="13"/>
    <w:p>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hint="eastAsia" w:ascii="宋体" w:hAnsi="宋体" w:eastAsia="宋体" w:cs="宋体"/>
          <w:sz w:val="24"/>
          <w:lang w:val="zh-CN"/>
        </w:rPr>
      </w:pPr>
      <w:bookmarkStart w:id="14" w:name="_Toc171303944"/>
      <w:r>
        <w:rPr>
          <w:rFonts w:hint="eastAsia" w:ascii="宋体" w:hAnsi="宋体" w:eastAsia="宋体" w:cs="宋体"/>
          <w:sz w:val="24"/>
          <w:lang w:val="zh-CN"/>
        </w:rPr>
        <w:t>本项目要求投标人提供</w:t>
      </w:r>
      <w:r>
        <w:rPr>
          <w:rFonts w:hint="eastAsia" w:ascii="宋体" w:hAnsi="宋体" w:cs="宋体"/>
          <w:color w:val="auto"/>
          <w:sz w:val="24"/>
          <w:lang w:val="en-US" w:eastAsia="zh-CN"/>
        </w:rPr>
        <w:t>1</w:t>
      </w:r>
      <w:r>
        <w:rPr>
          <w:rFonts w:hint="eastAsia" w:ascii="宋体" w:hAnsi="宋体" w:eastAsia="宋体" w:cs="宋体"/>
          <w:sz w:val="24"/>
        </w:rPr>
        <w:t>人驻场服务，</w:t>
      </w:r>
      <w:r>
        <w:rPr>
          <w:rFonts w:hint="eastAsia" w:ascii="宋体" w:hAnsi="宋体" w:eastAsia="宋体" w:cs="宋体"/>
          <w:sz w:val="24"/>
          <w:lang w:val="zh-CN" w:eastAsia="zh-CN"/>
        </w:rPr>
        <w:t>常驻地点为</w:t>
      </w:r>
      <w:r>
        <w:rPr>
          <w:rFonts w:hint="eastAsia" w:ascii="宋体" w:hAnsi="宋体" w:cs="宋体"/>
          <w:color w:val="auto"/>
          <w:sz w:val="24"/>
          <w:highlight w:val="none"/>
          <w:lang w:val="en-US" w:eastAsia="zh-CN"/>
        </w:rPr>
        <w:t>贺州供电</w:t>
      </w:r>
      <w:r>
        <w:rPr>
          <w:rFonts w:hint="eastAsia" w:ascii="宋体" w:hAnsi="宋体" w:eastAsia="宋体" w:cs="宋体"/>
          <w:color w:val="auto"/>
          <w:sz w:val="24"/>
          <w:highlight w:val="none"/>
          <w:lang w:val="en-US" w:eastAsia="zh-CN"/>
        </w:rPr>
        <w:t>局</w:t>
      </w:r>
      <w:r>
        <w:rPr>
          <w:rFonts w:hint="eastAsia" w:ascii="宋体" w:hAnsi="宋体" w:cs="宋体"/>
          <w:color w:val="auto"/>
          <w:sz w:val="24"/>
          <w:highlight w:val="none"/>
          <w:lang w:val="en-US" w:eastAsia="zh-CN"/>
        </w:rPr>
        <w:t>变电管理所</w:t>
      </w:r>
      <w:r>
        <w:rPr>
          <w:rFonts w:hint="eastAsia" w:ascii="宋体" w:hAnsi="宋体" w:eastAsia="宋体" w:cs="宋体"/>
          <w:sz w:val="24"/>
          <w:lang w:val="zh-CN" w:eastAsia="zh-CN"/>
        </w:rPr>
        <w:t>，</w:t>
      </w:r>
      <w:r>
        <w:rPr>
          <w:rFonts w:hint="eastAsia" w:ascii="宋体" w:hAnsi="宋体" w:eastAsia="宋体" w:cs="宋体"/>
          <w:sz w:val="24"/>
          <w:lang w:val="zh-CN"/>
        </w:rPr>
        <w:t>涉及的服务主要包括:</w:t>
      </w:r>
    </w:p>
    <w:p>
      <w:pPr>
        <w:keepNext w:val="0"/>
        <w:keepLines w:val="0"/>
        <w:pageBreakBefore w:val="0"/>
        <w:widowControl w:val="0"/>
        <w:numPr>
          <w:ilvl w:val="0"/>
          <w:numId w:val="4"/>
        </w:numPr>
        <w:kinsoku/>
        <w:wordWrap/>
        <w:overflowPunct/>
        <w:topLinePunct w:val="0"/>
        <w:bidi w:val="0"/>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安全值守</w:t>
      </w:r>
      <w:r>
        <w:rPr>
          <w:rFonts w:hint="eastAsia" w:ascii="宋体" w:hAnsi="宋体" w:eastAsia="宋体" w:cs="宋体"/>
          <w:sz w:val="24"/>
          <w:lang w:val="en-US" w:eastAsia="zh-CN"/>
        </w:rPr>
        <w:t>:</w:t>
      </w:r>
      <w:r>
        <w:rPr>
          <w:rFonts w:hint="eastAsia" w:ascii="宋体" w:hAnsi="宋体" w:eastAsia="宋体" w:cs="宋体"/>
          <w:sz w:val="24"/>
          <w:lang w:val="zh-CN"/>
        </w:rPr>
        <w:t>根据招标人要求，投标人行政班时间提供在变电所驻场安全值守服务，核心工作包括日常安全分析、安全事件管理与响应（应急响应一小时内到达变电管理所）、安全检测和发现、安全应对等。安全值守的目标是协助变电班组确保</w:t>
      </w:r>
      <w:r>
        <w:rPr>
          <w:rFonts w:hint="eastAsia" w:ascii="宋体" w:hAnsi="宋体" w:eastAsia="宋体" w:cs="宋体"/>
          <w:color w:val="auto"/>
          <w:sz w:val="24"/>
          <w:lang w:val="en-US" w:eastAsia="zh-CN"/>
        </w:rPr>
        <w:t>项目范围</w:t>
      </w:r>
      <w:r>
        <w:rPr>
          <w:rFonts w:hint="eastAsia" w:ascii="宋体" w:hAnsi="宋体" w:eastAsia="宋体" w:cs="宋体"/>
          <w:sz w:val="24"/>
          <w:lang w:val="zh-CN"/>
        </w:rPr>
        <w:t>各变电站安全防护系统和业务不出现由于攻击等安全方面原因导致的安全事件或故障。</w:t>
      </w:r>
    </w:p>
    <w:p>
      <w:pPr>
        <w:keepNext w:val="0"/>
        <w:keepLines w:val="0"/>
        <w:pageBreakBefore w:val="0"/>
        <w:widowControl w:val="0"/>
        <w:numPr>
          <w:ilvl w:val="0"/>
          <w:numId w:val="4"/>
        </w:numPr>
        <w:kinsoku/>
        <w:wordWrap/>
        <w:overflowPunct/>
        <w:topLinePunct w:val="0"/>
        <w:bidi w:val="0"/>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安全运维：及时处理项目范围的安防设备、系统异常及缺陷，包括二次安防</w:t>
      </w:r>
      <w:r>
        <w:rPr>
          <w:rFonts w:hint="eastAsia" w:ascii="宋体" w:hAnsi="宋体" w:eastAsia="宋体" w:cs="宋体"/>
          <w:sz w:val="24"/>
        </w:rPr>
        <w:t>交换机、</w:t>
      </w:r>
      <w:r>
        <w:rPr>
          <w:rFonts w:hint="eastAsia" w:ascii="宋体" w:hAnsi="宋体" w:eastAsia="宋体" w:cs="宋体"/>
          <w:sz w:val="24"/>
          <w:lang w:val="zh-CN"/>
        </w:rPr>
        <w:t>加密装置、隔离装置、防火墙、态势感知系统等，确保安防设备、系统可用率达到要求。</w:t>
      </w:r>
      <w:r>
        <w:rPr>
          <w:rFonts w:hint="eastAsia" w:ascii="宋体" w:hAnsi="宋体" w:eastAsia="宋体" w:cs="宋体"/>
          <w:sz w:val="24"/>
        </w:rPr>
        <w:t>优化安全告警，更新安全系统软件及特征库。</w:t>
      </w:r>
      <w:r>
        <w:rPr>
          <w:rFonts w:hint="eastAsia" w:ascii="宋体" w:hAnsi="宋体" w:eastAsia="宋体" w:cs="宋体"/>
          <w:sz w:val="24"/>
          <w:lang w:val="zh-CN"/>
        </w:rPr>
        <w:t>查找和发现网络配置、操作系统、中间件、数据库等关键基础设施的安全漏洞，并协助修复漏洞。协助变电所做好变电站电力监控系统系统软件源码、系统架构、系统拓扑图、系统设计方案、运维手册、系统设备及IP信息、登录账户口令、网络及安全配置信息、系统安全漏洞情况、攻防演练资料、渗透测试报告、等保测试报告、安全评估报告等</w:t>
      </w:r>
      <w:r>
        <w:rPr>
          <w:rFonts w:hint="eastAsia" w:ascii="宋体" w:hAnsi="宋体" w:eastAsia="宋体" w:cs="宋体"/>
          <w:sz w:val="24"/>
          <w:lang w:val="zh-CN" w:eastAsia="zh-CN"/>
        </w:rPr>
        <w:t>信息的管理维护工作。</w:t>
      </w:r>
    </w:p>
    <w:p>
      <w:pPr>
        <w:keepNext w:val="0"/>
        <w:keepLines w:val="0"/>
        <w:pageBreakBefore w:val="0"/>
        <w:widowControl w:val="0"/>
        <w:numPr>
          <w:ilvl w:val="0"/>
          <w:numId w:val="4"/>
        </w:numPr>
        <w:kinsoku/>
        <w:wordWrap/>
        <w:overflowPunct/>
        <w:topLinePunct w:val="0"/>
        <w:bidi w:val="0"/>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安全加固：根据《</w:t>
      </w:r>
      <w:r>
        <w:rPr>
          <w:rFonts w:hint="eastAsia" w:ascii="宋体" w:hAnsi="宋体" w:eastAsia="宋体" w:cs="宋体"/>
          <w:sz w:val="24"/>
          <w:szCs w:val="24"/>
        </w:rPr>
        <w:t>中</w:t>
      </w:r>
      <w:r>
        <w:rPr>
          <w:rFonts w:hint="eastAsia" w:ascii="宋体" w:hAnsi="宋体" w:eastAsia="宋体" w:cs="宋体"/>
          <w:sz w:val="24"/>
          <w:lang w:val="zh-CN"/>
        </w:rPr>
        <w:t>国南方电网电力监控系统网络安全管理办法》要求协助变电管理所定期开展变电站电力监控系统、终端的病毒查杀工作，变电站病毒查杀、补丁安装周期不得超过6个月。协助变电管理所按照要求完成项目范围内变电站电力监控系统的加固工作，关闭各类高危端口，安装安全补丁，关闭、封堵、拆除或禁用主机上不必要的USB、软盘驱动、光盘驱动、串行口、无线、蓝牙等各类接口，关闭系统中不必要的服务。</w:t>
      </w:r>
    </w:p>
    <w:p>
      <w:pPr>
        <w:keepNext w:val="0"/>
        <w:keepLines w:val="0"/>
        <w:pageBreakBefore w:val="0"/>
        <w:widowControl w:val="0"/>
        <w:numPr>
          <w:ilvl w:val="0"/>
          <w:numId w:val="4"/>
        </w:numPr>
        <w:kinsoku/>
        <w:wordWrap/>
        <w:overflowPunct/>
        <w:topLinePunct w:val="0"/>
        <w:bidi w:val="0"/>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系统接入优化调整：</w:t>
      </w:r>
      <w:r>
        <w:rPr>
          <w:rFonts w:hint="eastAsia" w:ascii="宋体" w:hAnsi="宋体" w:eastAsia="宋体" w:cs="宋体"/>
          <w:sz w:val="24"/>
        </w:rPr>
        <w:t>根据</w:t>
      </w:r>
      <w:r>
        <w:rPr>
          <w:rFonts w:hint="eastAsia" w:ascii="宋体" w:hAnsi="宋体" w:eastAsia="宋体" w:cs="宋体"/>
          <w:sz w:val="24"/>
          <w:lang w:eastAsia="zh-CN"/>
        </w:rPr>
        <w:t>变电所</w:t>
      </w:r>
      <w:r>
        <w:rPr>
          <w:rFonts w:hint="eastAsia" w:ascii="宋体" w:hAnsi="宋体" w:eastAsia="宋体" w:cs="宋体"/>
          <w:sz w:val="24"/>
        </w:rPr>
        <w:t>新建、改造工作安排，按照安全防护技术规范、施工建设安全要求、安健环标准等，配合完成各类系统及设备安装部署、接入调试，</w:t>
      </w:r>
      <w:r>
        <w:rPr>
          <w:rFonts w:hint="eastAsia" w:ascii="宋体" w:hAnsi="宋体" w:eastAsia="宋体" w:cs="宋体"/>
          <w:sz w:val="24"/>
          <w:lang w:val="zh-CN"/>
        </w:rPr>
        <w:t>确保系统建设规范性、安全性。</w:t>
      </w:r>
    </w:p>
    <w:p>
      <w:pPr>
        <w:keepNext w:val="0"/>
        <w:keepLines w:val="0"/>
        <w:pageBreakBefore w:val="0"/>
        <w:widowControl w:val="0"/>
        <w:numPr>
          <w:ilvl w:val="0"/>
          <w:numId w:val="4"/>
        </w:numPr>
        <w:kinsoku/>
        <w:wordWrap/>
        <w:overflowPunct/>
        <w:topLinePunct w:val="0"/>
        <w:bidi w:val="0"/>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故障处理及应急响应：提供安全应急处置技术支持服务，当电力监控系统安全防护设备发生故障、电力监控系统或网络遭到攻击或发现被入侵的情况下，根据</w:t>
      </w:r>
      <w:r>
        <w:rPr>
          <w:rFonts w:hint="eastAsia" w:ascii="宋体" w:hAnsi="宋体" w:eastAsia="宋体" w:cs="宋体"/>
          <w:sz w:val="24"/>
          <w:lang w:val="zh-CN" w:eastAsia="zh-CN"/>
        </w:rPr>
        <w:t>招标人</w:t>
      </w:r>
      <w:r>
        <w:rPr>
          <w:rFonts w:hint="eastAsia" w:ascii="宋体" w:hAnsi="宋体" w:eastAsia="宋体" w:cs="宋体"/>
          <w:sz w:val="24"/>
          <w:lang w:val="zh-CN"/>
        </w:rPr>
        <w:t>的实际需要，安排专业技术人员赶赴现场，协助解决问题。对重大漏洞、风险和安全事件，协助调查分析处理并出具相应报告。</w:t>
      </w:r>
    </w:p>
    <w:p>
      <w:pPr>
        <w:pStyle w:val="6"/>
        <w:jc w:val="both"/>
        <w:rPr>
          <w:rFonts w:hint="eastAsia" w:ascii="宋体" w:hAnsi="宋体" w:eastAsia="宋体" w:cs="宋体"/>
          <w:b/>
          <w:bCs/>
          <w:kern w:val="44"/>
          <w:sz w:val="36"/>
          <w:szCs w:val="44"/>
          <w:lang w:val="zh-CN" w:eastAsia="zh-CN" w:bidi="ar-SA"/>
        </w:rPr>
      </w:pPr>
      <w:r>
        <w:rPr>
          <w:rFonts w:hint="eastAsia" w:ascii="宋体" w:hAnsi="宋体" w:eastAsia="宋体" w:cs="宋体"/>
          <w:b/>
          <w:bCs/>
          <w:kern w:val="44"/>
          <w:sz w:val="36"/>
          <w:szCs w:val="44"/>
          <w:lang w:val="en-US" w:eastAsia="zh-CN" w:bidi="ar-SA"/>
        </w:rPr>
        <w:t xml:space="preserve">5. </w:t>
      </w:r>
      <w:r>
        <w:rPr>
          <w:rFonts w:hint="eastAsia" w:ascii="宋体" w:hAnsi="宋体" w:eastAsia="宋体" w:cs="宋体"/>
          <w:b/>
          <w:bCs/>
          <w:kern w:val="44"/>
          <w:sz w:val="36"/>
          <w:szCs w:val="44"/>
          <w:lang w:val="zh-CN" w:eastAsia="zh-CN" w:bidi="ar-SA"/>
        </w:rPr>
        <w:t>服务质量要求</w:t>
      </w:r>
    </w:p>
    <w:p>
      <w:pPr>
        <w:autoSpaceDE w:val="0"/>
        <w:autoSpaceDN w:val="0"/>
        <w:adjustRightInd w:val="0"/>
        <w:spacing w:line="360" w:lineRule="auto"/>
        <w:rPr>
          <w:rFonts w:hint="eastAsia" w:ascii="宋体" w:hAnsi="宋体" w:eastAsia="宋体" w:cs="宋体"/>
          <w:b/>
          <w:bCs/>
          <w:sz w:val="24"/>
          <w:lang w:val="zh-CN"/>
        </w:rPr>
      </w:pPr>
      <w:r>
        <w:rPr>
          <w:rFonts w:hint="eastAsia" w:ascii="宋体" w:hAnsi="宋体" w:eastAsia="宋体" w:cs="宋体"/>
          <w:b/>
          <w:bCs/>
          <w:sz w:val="24"/>
          <w:lang w:val="en-US" w:eastAsia="zh-CN"/>
        </w:rPr>
        <w:t>5</w:t>
      </w:r>
      <w:r>
        <w:rPr>
          <w:rFonts w:hint="eastAsia" w:ascii="宋体" w:hAnsi="宋体" w:eastAsia="宋体" w:cs="宋体"/>
          <w:b/>
          <w:bCs/>
          <w:sz w:val="24"/>
        </w:rPr>
        <w:t>.</w:t>
      </w:r>
      <w:r>
        <w:rPr>
          <w:rFonts w:hint="eastAsia" w:ascii="宋体" w:hAnsi="宋体" w:eastAsia="宋体" w:cs="宋体"/>
          <w:b/>
          <w:bCs/>
          <w:sz w:val="24"/>
          <w:lang w:val="zh-CN"/>
        </w:rPr>
        <w:t>1服务方式与时限</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投标人应提供</w:t>
      </w:r>
      <w:r>
        <w:rPr>
          <w:rFonts w:hint="eastAsia" w:ascii="宋体" w:hAnsi="宋体" w:eastAsia="宋体" w:cs="宋体"/>
          <w:sz w:val="24"/>
          <w:lang w:val="zh-CN" w:eastAsia="zh-CN"/>
        </w:rPr>
        <w:t>热线</w:t>
      </w:r>
      <w:r>
        <w:rPr>
          <w:rFonts w:hint="eastAsia" w:ascii="宋体" w:hAnsi="宋体" w:eastAsia="宋体" w:cs="宋体"/>
          <w:sz w:val="24"/>
          <w:lang w:val="zh-CN"/>
        </w:rPr>
        <w:t>电话、E-Mail、远程诊断、现场服务、预防性维护（巡检）等多种服务方式，以满足用户各种技术服务需求。远程诊断只限于电话技术支持及邮件支持，不允许投标人远程接入招标人内网工作。投标人须具备服务支持热线、支持体系。并提交投标人内部服务流程说明。</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热线电话</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投标人指派有丰富经验的工程师提供7×24小时的热线电话服务，以便为招标人提供紧急技术支持和随时免费解答客户的问题。对于一般性的技术问题，由投标人第一响应人即时负责问题的响应及解决；对于较复杂的技术问题，由投标人第一响应人协调投标人资源，在3小时内给以答复。</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E-Mail服务</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投标人应开设专门的E-Mail信箱，并指派专职工程师定时查看信箱，接受招标人技术咨询或设备报修。投标人收到邮件后，对于一般性的技术问题应在</w:t>
      </w:r>
      <w:r>
        <w:rPr>
          <w:rFonts w:hint="eastAsia" w:ascii="宋体" w:hAnsi="宋体" w:eastAsia="宋体" w:cs="宋体"/>
          <w:sz w:val="24"/>
          <w:lang w:val="en-US" w:eastAsia="zh-CN"/>
        </w:rPr>
        <w:t>6</w:t>
      </w:r>
      <w:r>
        <w:rPr>
          <w:rFonts w:hint="eastAsia" w:ascii="宋体" w:hAnsi="宋体" w:eastAsia="宋体" w:cs="宋体"/>
          <w:sz w:val="24"/>
          <w:lang w:val="zh-CN"/>
        </w:rPr>
        <w:t>0分钟内给以响应；对于较复杂的技术问题，应在3小时内给以答复。</w:t>
      </w:r>
    </w:p>
    <w:p>
      <w:pPr>
        <w:autoSpaceDE w:val="0"/>
        <w:autoSpaceDN w:val="0"/>
        <w:adjustRightInd w:val="0"/>
        <w:spacing w:line="360" w:lineRule="auto"/>
        <w:rPr>
          <w:rFonts w:hint="eastAsia" w:ascii="宋体" w:hAnsi="宋体" w:eastAsia="宋体" w:cs="宋体"/>
          <w:sz w:val="24"/>
          <w:lang w:val="zh-CN"/>
        </w:rPr>
      </w:pPr>
      <w:r>
        <w:rPr>
          <w:rFonts w:hint="eastAsia" w:ascii="宋体" w:hAnsi="宋体" w:eastAsia="宋体" w:cs="宋体"/>
          <w:sz w:val="24"/>
        </w:rPr>
        <w:tab/>
      </w:r>
      <w:r>
        <w:rPr>
          <w:rFonts w:hint="eastAsia" w:ascii="宋体" w:hAnsi="宋体" w:eastAsia="宋体" w:cs="宋体"/>
          <w:sz w:val="24"/>
          <w:lang w:val="zh-CN"/>
        </w:rPr>
        <w:t>现场服务</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投标人须派有丰富经验的工程师现场值守，与招标人技术人员共同进行安全设备日常运维工作。招标人系统出现任何问题和故障，认为有必要投标人技术人员到现场支持时，投标人响应时间不得超过</w:t>
      </w:r>
      <w:r>
        <w:rPr>
          <w:rFonts w:hint="eastAsia" w:ascii="宋体" w:hAnsi="宋体" w:eastAsia="宋体" w:cs="宋体"/>
          <w:sz w:val="24"/>
          <w:lang w:val="en-US" w:eastAsia="zh-CN"/>
        </w:rPr>
        <w:t>6</w:t>
      </w:r>
      <w:r>
        <w:rPr>
          <w:rFonts w:hint="eastAsia" w:ascii="宋体" w:hAnsi="宋体" w:eastAsia="宋体" w:cs="宋体"/>
          <w:sz w:val="24"/>
          <w:lang w:val="zh-CN"/>
        </w:rPr>
        <w:t>0分钟。</w:t>
      </w:r>
    </w:p>
    <w:p>
      <w:pPr>
        <w:autoSpaceDE w:val="0"/>
        <w:autoSpaceDN w:val="0"/>
        <w:adjustRightInd w:val="0"/>
        <w:spacing w:line="360" w:lineRule="auto"/>
        <w:rPr>
          <w:rFonts w:hint="eastAsia" w:ascii="宋体" w:hAnsi="宋体" w:eastAsia="宋体" w:cs="宋体"/>
          <w:sz w:val="24"/>
          <w:lang w:val="zh-CN"/>
        </w:rPr>
      </w:pPr>
      <w:r>
        <w:rPr>
          <w:rFonts w:hint="eastAsia" w:ascii="宋体" w:hAnsi="宋体" w:eastAsia="宋体" w:cs="宋体"/>
          <w:sz w:val="24"/>
        </w:rPr>
        <w:tab/>
      </w:r>
      <w:r>
        <w:rPr>
          <w:rFonts w:hint="eastAsia" w:ascii="宋体" w:hAnsi="宋体" w:eastAsia="宋体" w:cs="宋体"/>
          <w:sz w:val="24"/>
          <w:lang w:val="zh-CN"/>
        </w:rPr>
        <w:t>故障恢复时间</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1、所有故障应在投标人接到招标人故障申报（需到现场维护的以抵达现场时间开始计算）4小时内解决并恢复系统正常运行，未造成系统停运的故障恢复时间最长不超过12小时。</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2、如果超过12小时故障仍未解决，投标人必须在继续进行故障处理的同时为招标人提供备机，于24小时内搭建环境恢复系统正常运行。</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3、投标人如在规定时间内无法解决故障，投标人须请求原厂或第三方解决时，由此发生的费用由投标人承担。</w:t>
      </w:r>
    </w:p>
    <w:p>
      <w:pPr>
        <w:autoSpaceDE w:val="0"/>
        <w:autoSpaceDN w:val="0"/>
        <w:adjustRightInd w:val="0"/>
        <w:spacing w:line="360" w:lineRule="auto"/>
        <w:rPr>
          <w:rFonts w:hint="eastAsia" w:ascii="宋体" w:hAnsi="宋体" w:eastAsia="宋体" w:cs="宋体"/>
          <w:b/>
          <w:bCs/>
          <w:sz w:val="24"/>
          <w:lang w:val="zh-CN"/>
        </w:rPr>
      </w:pPr>
      <w:r>
        <w:rPr>
          <w:rFonts w:hint="eastAsia" w:ascii="宋体" w:hAnsi="宋体" w:eastAsia="宋体" w:cs="宋体"/>
          <w:b/>
          <w:bCs/>
          <w:sz w:val="24"/>
          <w:lang w:val="en-US" w:eastAsia="zh-CN"/>
        </w:rPr>
        <w:t>5.2</w:t>
      </w:r>
      <w:r>
        <w:rPr>
          <w:rFonts w:hint="eastAsia" w:ascii="宋体" w:hAnsi="宋体" w:eastAsia="宋体" w:cs="宋体"/>
          <w:b/>
          <w:bCs/>
          <w:sz w:val="24"/>
        </w:rPr>
        <w:t xml:space="preserve"> </w:t>
      </w:r>
      <w:r>
        <w:rPr>
          <w:rFonts w:hint="eastAsia" w:ascii="宋体" w:hAnsi="宋体" w:eastAsia="宋体" w:cs="宋体"/>
          <w:b/>
          <w:bCs/>
          <w:sz w:val="24"/>
          <w:lang w:val="zh-CN"/>
        </w:rPr>
        <w:t>安全运行与指标</w:t>
      </w:r>
    </w:p>
    <w:p>
      <w:pPr>
        <w:autoSpaceDE w:val="0"/>
        <w:autoSpaceDN w:val="0"/>
        <w:adjustRightInd w:val="0"/>
        <w:spacing w:line="360" w:lineRule="auto"/>
        <w:rPr>
          <w:rFonts w:hint="eastAsia" w:ascii="宋体" w:hAnsi="宋体" w:eastAsia="宋体" w:cs="宋体"/>
          <w:sz w:val="24"/>
        </w:rPr>
      </w:pPr>
      <w:r>
        <w:rPr>
          <w:rFonts w:hint="eastAsia" w:ascii="宋体" w:hAnsi="宋体" w:eastAsia="宋体" w:cs="宋体"/>
          <w:sz w:val="24"/>
        </w:rPr>
        <w:tab/>
      </w:r>
      <w:r>
        <w:rPr>
          <w:rFonts w:hint="eastAsia" w:ascii="宋体" w:hAnsi="宋体" w:eastAsia="宋体" w:cs="宋体"/>
          <w:sz w:val="24"/>
        </w:rPr>
        <w:t>安全运行与指标未达到以下要求的相应扣减合同金额的1%/每次。</w:t>
      </w:r>
    </w:p>
    <w:p>
      <w:pPr>
        <w:autoSpaceDE w:val="0"/>
        <w:autoSpaceDN w:val="0"/>
        <w:adjustRightInd w:val="0"/>
        <w:spacing w:line="360" w:lineRule="auto"/>
        <w:ind w:firstLine="360" w:firstLineChars="150"/>
        <w:rPr>
          <w:rFonts w:hint="eastAsia" w:ascii="宋体" w:hAnsi="宋体" w:eastAsia="宋体" w:cs="宋体"/>
          <w:sz w:val="24"/>
          <w:lang w:val="zh-CN"/>
        </w:rPr>
      </w:pPr>
      <w:r>
        <w:rPr>
          <w:rFonts w:hint="eastAsia" w:ascii="宋体" w:hAnsi="宋体" w:eastAsia="宋体" w:cs="宋体"/>
          <w:sz w:val="24"/>
          <w:lang w:val="zh-CN"/>
        </w:rPr>
        <w:t>安全指标</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中标方在工作中必须遵守招标人信息安全及保密、系统管理、现场实施人员管理等各项有关规章制度。中标方须按支持服务职责要求开展工作，并服从招标方工作任务安排。</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1）不发生被上级主管单位、部门考核的安全事件；</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2）不发生数据丢失、泄密等重大安全事件。</w:t>
      </w:r>
    </w:p>
    <w:p>
      <w:pPr>
        <w:autoSpaceDE w:val="0"/>
        <w:autoSpaceDN w:val="0"/>
        <w:adjustRightInd w:val="0"/>
        <w:spacing w:line="360" w:lineRule="auto"/>
        <w:rPr>
          <w:rFonts w:hint="eastAsia" w:ascii="宋体" w:hAnsi="宋体" w:eastAsia="宋体" w:cs="宋体"/>
          <w:sz w:val="24"/>
          <w:lang w:val="zh-CN"/>
        </w:rPr>
      </w:pPr>
      <w:r>
        <w:rPr>
          <w:rFonts w:hint="eastAsia" w:ascii="宋体" w:hAnsi="宋体" w:eastAsia="宋体" w:cs="宋体"/>
          <w:sz w:val="24"/>
        </w:rPr>
        <w:tab/>
      </w:r>
      <w:r>
        <w:rPr>
          <w:rFonts w:hint="eastAsia" w:ascii="宋体" w:hAnsi="宋体" w:eastAsia="宋体" w:cs="宋体"/>
          <w:sz w:val="24"/>
          <w:lang w:val="zh-CN"/>
        </w:rPr>
        <w:t>服务指标</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1）事件解决率达100%；</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2）用户满意率达98%及以上，不发生用户投诉事件；</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3）服务响应时间不大于</w:t>
      </w:r>
      <w:r>
        <w:rPr>
          <w:rFonts w:hint="eastAsia" w:ascii="宋体" w:hAnsi="宋体" w:eastAsia="宋体" w:cs="宋体"/>
          <w:sz w:val="24"/>
          <w:lang w:val="en-US" w:eastAsia="zh-CN"/>
        </w:rPr>
        <w:t>60</w:t>
      </w:r>
      <w:r>
        <w:rPr>
          <w:rFonts w:hint="eastAsia" w:ascii="宋体" w:hAnsi="宋体" w:eastAsia="宋体" w:cs="宋体"/>
          <w:sz w:val="24"/>
          <w:lang w:val="zh-CN"/>
        </w:rPr>
        <w:t>分钟。</w:t>
      </w:r>
    </w:p>
    <w:p>
      <w:pPr>
        <w:autoSpaceDE w:val="0"/>
        <w:autoSpaceDN w:val="0"/>
        <w:adjustRightInd w:val="0"/>
        <w:spacing w:line="360" w:lineRule="auto"/>
        <w:rPr>
          <w:rFonts w:hint="eastAsia" w:ascii="宋体" w:hAnsi="宋体" w:eastAsia="宋体" w:cs="宋体"/>
          <w:b/>
          <w:bCs/>
          <w:sz w:val="24"/>
          <w:lang w:val="zh-CN"/>
        </w:rPr>
      </w:pPr>
      <w:r>
        <w:rPr>
          <w:rFonts w:hint="eastAsia" w:ascii="宋体" w:hAnsi="宋体" w:eastAsia="宋体" w:cs="宋体"/>
          <w:b/>
          <w:bCs/>
          <w:sz w:val="24"/>
          <w:lang w:val="en-US" w:eastAsia="zh-CN"/>
        </w:rPr>
        <w:t>5</w:t>
      </w:r>
      <w:r>
        <w:rPr>
          <w:rFonts w:hint="eastAsia" w:ascii="宋体" w:hAnsi="宋体" w:eastAsia="宋体" w:cs="宋体"/>
          <w:b/>
          <w:bCs/>
          <w:sz w:val="24"/>
        </w:rPr>
        <w:t>.</w:t>
      </w:r>
      <w:r>
        <w:rPr>
          <w:rFonts w:hint="eastAsia" w:ascii="宋体" w:hAnsi="宋体" w:eastAsia="宋体" w:cs="宋体"/>
          <w:b/>
          <w:bCs/>
          <w:sz w:val="24"/>
          <w:lang w:val="zh-CN"/>
        </w:rPr>
        <w:t>3</w:t>
      </w:r>
      <w:r>
        <w:rPr>
          <w:rFonts w:hint="eastAsia" w:ascii="宋体" w:hAnsi="宋体" w:eastAsia="宋体" w:cs="宋体"/>
          <w:b/>
          <w:bCs/>
          <w:sz w:val="24"/>
        </w:rPr>
        <w:t xml:space="preserve"> </w:t>
      </w:r>
      <w:r>
        <w:rPr>
          <w:rFonts w:hint="eastAsia" w:ascii="宋体" w:hAnsi="宋体" w:eastAsia="宋体" w:cs="宋体"/>
          <w:b/>
          <w:bCs/>
          <w:sz w:val="24"/>
          <w:lang w:val="zh-CN"/>
        </w:rPr>
        <w:t>项目资料要求</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1、投标人为招标人提供现场服务后，须及时提交详细的现场服务报告、故障处理报告，根据招标人要求或视具体情况提交详细的故障处理专题分析报告。每季度须提交季度服务报告，每年提供年度服务总结报告。</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2、投标人为招标人提供的文档（包括但不限于服务报告及建议方案）必须满足招标人提出的文档质量要求。</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en-US" w:eastAsia="zh-CN"/>
        </w:rPr>
        <w:t>3</w:t>
      </w:r>
      <w:r>
        <w:rPr>
          <w:rFonts w:hint="eastAsia" w:ascii="宋体" w:hAnsi="宋体" w:eastAsia="宋体" w:cs="宋体"/>
          <w:sz w:val="24"/>
          <w:lang w:val="zh-CN"/>
        </w:rPr>
        <w:t>、投标人提供的资料采用中国国家法定单位制，语言为中文。</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en-US" w:eastAsia="zh-CN"/>
        </w:rPr>
        <w:t>4</w:t>
      </w:r>
      <w:r>
        <w:rPr>
          <w:rFonts w:hint="eastAsia" w:ascii="宋体" w:hAnsi="宋体" w:eastAsia="宋体" w:cs="宋体"/>
          <w:sz w:val="24"/>
          <w:lang w:val="zh-CN"/>
        </w:rPr>
        <w:t>、投标人资料的组织结构清晰、逻辑性强。资料内容正确、准确、一致、清晰完整，满足工程要求。</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en-US" w:eastAsia="zh-CN"/>
        </w:rPr>
        <w:t>5</w:t>
      </w:r>
      <w:r>
        <w:rPr>
          <w:rFonts w:hint="eastAsia" w:ascii="宋体" w:hAnsi="宋体" w:eastAsia="宋体" w:cs="宋体"/>
          <w:sz w:val="24"/>
          <w:lang w:val="zh-CN"/>
        </w:rPr>
        <w:t>、投标人资料的提交及时充分，满足项目管理要求。</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en-US" w:eastAsia="zh-CN"/>
        </w:rPr>
        <w:t>6</w:t>
      </w:r>
      <w:r>
        <w:rPr>
          <w:rFonts w:hint="eastAsia" w:ascii="宋体" w:hAnsi="宋体" w:eastAsia="宋体" w:cs="宋体"/>
          <w:sz w:val="24"/>
          <w:lang w:val="zh-CN"/>
        </w:rPr>
        <w:t>、投标人所提供的纸质资料与电子文档内容必须完全一致。</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en-US" w:eastAsia="zh-CN"/>
        </w:rPr>
        <w:t>7</w:t>
      </w:r>
      <w:r>
        <w:rPr>
          <w:rFonts w:hint="eastAsia" w:ascii="宋体" w:hAnsi="宋体" w:eastAsia="宋体" w:cs="宋体"/>
          <w:sz w:val="24"/>
          <w:lang w:val="zh-CN"/>
        </w:rPr>
        <w:t>、本次项目中，投标人须提供完整的项目总结报告、巡检报告、问题清单、常见问题解决方案等项目相关资料。</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投标人需提供上述相关报告模板和样例。</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技术资料交付进度与项目实施进度同步，方案、资料在项目实施前交付，项目实施过程资料、报告于实施完后15日内交付。</w:t>
      </w:r>
    </w:p>
    <w:p>
      <w:pPr>
        <w:autoSpaceDE w:val="0"/>
        <w:autoSpaceDN w:val="0"/>
        <w:adjustRightInd w:val="0"/>
        <w:spacing w:line="360" w:lineRule="auto"/>
        <w:rPr>
          <w:rFonts w:hint="eastAsia" w:ascii="宋体" w:hAnsi="宋体" w:eastAsia="宋体" w:cs="宋体"/>
          <w:b/>
          <w:bCs/>
          <w:sz w:val="24"/>
          <w:lang w:val="zh-CN"/>
        </w:rPr>
      </w:pPr>
      <w:r>
        <w:rPr>
          <w:rFonts w:hint="eastAsia" w:ascii="宋体" w:hAnsi="宋体" w:eastAsia="宋体" w:cs="宋体"/>
          <w:b/>
          <w:bCs/>
          <w:sz w:val="24"/>
          <w:lang w:val="en-US" w:eastAsia="zh-CN"/>
        </w:rPr>
        <w:t>5</w:t>
      </w:r>
      <w:r>
        <w:rPr>
          <w:rFonts w:hint="eastAsia" w:ascii="宋体" w:hAnsi="宋体" w:eastAsia="宋体" w:cs="宋体"/>
          <w:b/>
          <w:bCs/>
          <w:sz w:val="24"/>
        </w:rPr>
        <w:t>.</w:t>
      </w:r>
      <w:r>
        <w:rPr>
          <w:rFonts w:hint="eastAsia" w:ascii="宋体" w:hAnsi="宋体" w:eastAsia="宋体" w:cs="宋体"/>
          <w:b/>
          <w:bCs/>
          <w:sz w:val="24"/>
          <w:lang w:val="zh-CN"/>
        </w:rPr>
        <w:t>4</w:t>
      </w:r>
      <w:r>
        <w:rPr>
          <w:rFonts w:hint="eastAsia" w:ascii="宋体" w:hAnsi="宋体" w:eastAsia="宋体" w:cs="宋体"/>
          <w:b/>
          <w:bCs/>
          <w:sz w:val="24"/>
        </w:rPr>
        <w:t xml:space="preserve"> </w:t>
      </w:r>
      <w:r>
        <w:rPr>
          <w:rFonts w:hint="eastAsia" w:ascii="宋体" w:hAnsi="宋体" w:eastAsia="宋体" w:cs="宋体"/>
          <w:b/>
          <w:bCs/>
          <w:sz w:val="24"/>
          <w:lang w:val="zh-CN"/>
        </w:rPr>
        <w:t>技术方案要求</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根据本投标项目要求，投标人应提供详细的运维服务方案。</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对于一些无法解决的技术难题，投标人应有能力和渠道将问题提交到原厂服务商寻求解决。</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投标人须在标书中提供已有的渠道说明和相关资料的案例。</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投标人须在标书中说明针对本项目的保障策略。</w:t>
      </w:r>
    </w:p>
    <w:p>
      <w:pPr>
        <w:autoSpaceDE w:val="0"/>
        <w:autoSpaceDN w:val="0"/>
        <w:adjustRightInd w:val="0"/>
        <w:spacing w:line="360" w:lineRule="auto"/>
        <w:rPr>
          <w:rFonts w:hint="eastAsia" w:ascii="宋体" w:hAnsi="宋体" w:eastAsia="宋体" w:cs="宋体"/>
          <w:b/>
          <w:bCs/>
          <w:sz w:val="24"/>
          <w:lang w:val="zh-CN"/>
        </w:rPr>
      </w:pPr>
      <w:r>
        <w:rPr>
          <w:rFonts w:hint="eastAsia" w:ascii="宋体" w:hAnsi="宋体" w:eastAsia="宋体" w:cs="宋体"/>
          <w:b/>
          <w:bCs/>
          <w:sz w:val="24"/>
          <w:lang w:val="en-US" w:eastAsia="zh-CN"/>
        </w:rPr>
        <w:t>5.5</w:t>
      </w:r>
      <w:r>
        <w:rPr>
          <w:rFonts w:hint="eastAsia" w:ascii="宋体" w:hAnsi="宋体" w:eastAsia="宋体" w:cs="宋体"/>
        </w:rPr>
        <w:t>★</w:t>
      </w:r>
      <w:r>
        <w:rPr>
          <w:rFonts w:hint="eastAsia" w:ascii="宋体" w:hAnsi="宋体" w:eastAsia="宋体" w:cs="宋体"/>
          <w:b/>
          <w:bCs/>
          <w:sz w:val="24"/>
          <w:lang w:val="zh-CN"/>
        </w:rPr>
        <w:t>投标人要求</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rPr>
        <w:t>★</w:t>
      </w:r>
      <w:r>
        <w:rPr>
          <w:rFonts w:hint="eastAsia" w:ascii="宋体" w:hAnsi="宋体" w:eastAsia="宋体" w:cs="宋体"/>
          <w:sz w:val="24"/>
          <w:lang w:val="zh-CN"/>
        </w:rPr>
        <w:t>投标人需拥有CISP、低压电工证等认证资质服务工程师，驻场人员宜具备低压电工证，如暂无低压电工证的需在驻场三个月内取得低压电工证。</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rPr>
        <w:t>★</w:t>
      </w:r>
      <w:r>
        <w:rPr>
          <w:rFonts w:hint="eastAsia" w:ascii="宋体" w:hAnsi="宋体" w:eastAsia="宋体" w:cs="宋体"/>
          <w:sz w:val="24"/>
          <w:lang w:val="zh-CN"/>
        </w:rPr>
        <w:t>投标人需要熟悉电力监控系统网络架构及安全标准，具备相关信息安全服务案例。</w:t>
      </w:r>
    </w:p>
    <w:p>
      <w:pPr>
        <w:autoSpaceDE w:val="0"/>
        <w:autoSpaceDN w:val="0"/>
        <w:adjustRightInd w:val="0"/>
        <w:spacing w:line="360" w:lineRule="auto"/>
        <w:rPr>
          <w:rFonts w:hint="eastAsia" w:ascii="宋体" w:hAnsi="宋体" w:eastAsia="宋体" w:cs="宋体"/>
          <w:b/>
          <w:bCs/>
          <w:sz w:val="24"/>
          <w:lang w:val="zh-CN"/>
        </w:rPr>
      </w:pPr>
      <w:r>
        <w:rPr>
          <w:rFonts w:hint="eastAsia" w:ascii="宋体" w:hAnsi="宋体" w:eastAsia="宋体" w:cs="宋体"/>
          <w:b/>
          <w:bCs/>
          <w:sz w:val="24"/>
          <w:lang w:val="en-US" w:eastAsia="zh-CN"/>
        </w:rPr>
        <w:t>5.6</w:t>
      </w:r>
      <w:r>
        <w:rPr>
          <w:rFonts w:hint="eastAsia" w:ascii="宋体" w:hAnsi="宋体" w:eastAsia="宋体" w:cs="宋体"/>
          <w:b/>
          <w:bCs/>
          <w:sz w:val="24"/>
        </w:rPr>
        <w:t xml:space="preserve"> </w:t>
      </w:r>
      <w:r>
        <w:rPr>
          <w:rFonts w:hint="eastAsia" w:ascii="宋体" w:hAnsi="宋体" w:eastAsia="宋体" w:cs="宋体"/>
          <w:b/>
          <w:bCs/>
          <w:sz w:val="24"/>
          <w:lang w:val="zh-CN"/>
        </w:rPr>
        <w:t>项目管理</w:t>
      </w:r>
    </w:p>
    <w:p>
      <w:pPr>
        <w:autoSpaceDE w:val="0"/>
        <w:autoSpaceDN w:val="0"/>
        <w:adjustRightInd w:val="0"/>
        <w:spacing w:line="360" w:lineRule="auto"/>
        <w:rPr>
          <w:rFonts w:hint="eastAsia" w:ascii="宋体" w:hAnsi="宋体" w:eastAsia="宋体" w:cs="宋体"/>
          <w:sz w:val="24"/>
          <w:lang w:val="zh-CN"/>
        </w:rPr>
      </w:pPr>
      <w:r>
        <w:rPr>
          <w:rFonts w:hint="eastAsia" w:ascii="宋体" w:hAnsi="宋体" w:eastAsia="宋体" w:cs="宋体"/>
          <w:sz w:val="24"/>
          <w:lang w:val="en-US" w:eastAsia="zh-CN"/>
        </w:rPr>
        <w:t>5.6</w:t>
      </w:r>
      <w:r>
        <w:rPr>
          <w:rFonts w:hint="eastAsia" w:ascii="宋体" w:hAnsi="宋体" w:eastAsia="宋体" w:cs="宋体"/>
          <w:sz w:val="24"/>
        </w:rPr>
        <w:t>.</w:t>
      </w:r>
      <w:r>
        <w:rPr>
          <w:rFonts w:hint="eastAsia" w:ascii="宋体" w:hAnsi="宋体" w:eastAsia="宋体" w:cs="宋体"/>
          <w:sz w:val="24"/>
          <w:lang w:val="zh-CN"/>
        </w:rPr>
        <w:t>1管理体系</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投标人将依据招标人确定的项目工程管理要求，确定与之相应的项目管理体系，并任命一名项目负责人全面负责工程的实施，与招标人指定的项目负责人和现场负责人等进行技术交流和协商，解决支持服务中出现的问题。</w:t>
      </w:r>
    </w:p>
    <w:p>
      <w:pPr>
        <w:autoSpaceDE w:val="0"/>
        <w:autoSpaceDN w:val="0"/>
        <w:adjustRightInd w:val="0"/>
        <w:spacing w:line="360" w:lineRule="auto"/>
        <w:rPr>
          <w:rFonts w:hint="eastAsia" w:ascii="宋体" w:hAnsi="宋体" w:eastAsia="宋体" w:cs="宋体"/>
          <w:sz w:val="24"/>
          <w:lang w:val="zh-CN"/>
        </w:rPr>
      </w:pPr>
      <w:r>
        <w:rPr>
          <w:rFonts w:hint="eastAsia" w:ascii="宋体" w:hAnsi="宋体" w:eastAsia="宋体" w:cs="宋体"/>
          <w:sz w:val="24"/>
          <w:lang w:val="en-US" w:eastAsia="zh-CN"/>
        </w:rPr>
        <w:t>5.6</w:t>
      </w:r>
      <w:r>
        <w:rPr>
          <w:rFonts w:hint="eastAsia" w:ascii="宋体" w:hAnsi="宋体" w:eastAsia="宋体" w:cs="宋体"/>
          <w:sz w:val="24"/>
          <w:lang w:val="zh-CN"/>
        </w:rPr>
        <w:t>.2 实施分工与职责</w:t>
      </w:r>
    </w:p>
    <w:p>
      <w:pPr>
        <w:autoSpaceDE w:val="0"/>
        <w:autoSpaceDN w:val="0"/>
        <w:adjustRightInd w:val="0"/>
        <w:spacing w:line="360" w:lineRule="auto"/>
        <w:rPr>
          <w:rFonts w:hint="eastAsia" w:ascii="宋体" w:hAnsi="宋体" w:eastAsia="宋体" w:cs="宋体"/>
          <w:sz w:val="24"/>
          <w:lang w:val="zh-CN"/>
        </w:rPr>
      </w:pPr>
      <w:r>
        <w:rPr>
          <w:rFonts w:hint="eastAsia" w:ascii="宋体" w:hAnsi="宋体" w:eastAsia="宋体" w:cs="宋体"/>
          <w:sz w:val="24"/>
        </w:rPr>
        <w:tab/>
      </w:r>
      <w:r>
        <w:rPr>
          <w:rFonts w:hint="eastAsia" w:ascii="宋体" w:hAnsi="宋体" w:eastAsia="宋体" w:cs="宋体"/>
          <w:sz w:val="24"/>
          <w:lang w:val="zh-CN"/>
        </w:rPr>
        <w:t>招标人</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(1)参加项目实施过程中涉及本合同各方的技术和商务协调工作；</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(2)负责项目实施过程中重大事件的决策；</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(3)协调项目进展及实施，并监督实施；</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(4)协调项目中有关各方参加人员的分工合作，资源分配；</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(5)参加制定阶段验收标准和最终验收标准，并审定阶段验收标准和最终验收标准；</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(6)根据项目的验收标准进行验收。</w:t>
      </w:r>
    </w:p>
    <w:p>
      <w:pPr>
        <w:autoSpaceDE w:val="0"/>
        <w:autoSpaceDN w:val="0"/>
        <w:adjustRightInd w:val="0"/>
        <w:spacing w:line="360" w:lineRule="auto"/>
        <w:rPr>
          <w:rFonts w:hint="eastAsia" w:ascii="宋体" w:hAnsi="宋体" w:eastAsia="宋体" w:cs="宋体"/>
          <w:sz w:val="24"/>
          <w:lang w:val="zh-CN"/>
        </w:rPr>
      </w:pPr>
      <w:r>
        <w:rPr>
          <w:rFonts w:hint="eastAsia" w:ascii="宋体" w:hAnsi="宋体" w:eastAsia="宋体" w:cs="宋体"/>
          <w:sz w:val="24"/>
        </w:rPr>
        <w:tab/>
      </w:r>
      <w:r>
        <w:rPr>
          <w:rFonts w:hint="eastAsia" w:ascii="宋体" w:hAnsi="宋体" w:eastAsia="宋体" w:cs="宋体"/>
          <w:sz w:val="24"/>
          <w:lang w:val="zh-CN"/>
        </w:rPr>
        <w:t>投标人：</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(1)负责根据合同项内容按要求为招标人提供服务支持，在服务期间应根据项目进展情况及招标人的要求进行进度安排与实施；</w:t>
      </w:r>
    </w:p>
    <w:p>
      <w:pPr>
        <w:autoSpaceDE w:val="0"/>
        <w:autoSpaceDN w:val="0"/>
        <w:adjustRightInd w:val="0"/>
        <w:spacing w:line="360" w:lineRule="auto"/>
        <w:ind w:firstLine="420"/>
        <w:rPr>
          <w:rFonts w:hint="eastAsia" w:ascii="宋体" w:hAnsi="宋体" w:eastAsia="宋体" w:cs="宋体"/>
          <w:sz w:val="24"/>
        </w:rPr>
      </w:pPr>
      <w:r>
        <w:rPr>
          <w:rFonts w:hint="eastAsia" w:ascii="宋体" w:hAnsi="宋体" w:eastAsia="宋体" w:cs="宋体"/>
          <w:sz w:val="24"/>
        </w:rPr>
        <w:t>(3)负责最终提供的全部技术资料的准确性。</w:t>
      </w:r>
    </w:p>
    <w:p>
      <w:pPr>
        <w:autoSpaceDE w:val="0"/>
        <w:autoSpaceDN w:val="0"/>
        <w:adjustRightInd w:val="0"/>
        <w:spacing w:line="360" w:lineRule="auto"/>
        <w:ind w:firstLine="420"/>
        <w:rPr>
          <w:rFonts w:hint="eastAsia" w:ascii="宋体" w:hAnsi="宋体" w:eastAsia="宋体" w:cs="宋体"/>
          <w:sz w:val="24"/>
        </w:rPr>
      </w:pPr>
      <w:r>
        <w:rPr>
          <w:rFonts w:hint="eastAsia" w:ascii="宋体" w:hAnsi="宋体" w:eastAsia="宋体" w:cs="宋体"/>
          <w:sz w:val="24"/>
        </w:rPr>
        <w:t>(4)保证提供的所有服务、工作产品的质量及技术指标完全满足合同要求。</w:t>
      </w:r>
    </w:p>
    <w:p>
      <w:pPr>
        <w:autoSpaceDE w:val="0"/>
        <w:autoSpaceDN w:val="0"/>
        <w:adjustRightInd w:val="0"/>
        <w:spacing w:line="360" w:lineRule="auto"/>
        <w:ind w:firstLine="420"/>
        <w:rPr>
          <w:rFonts w:hint="eastAsia" w:ascii="宋体" w:hAnsi="宋体" w:eastAsia="宋体" w:cs="宋体"/>
          <w:sz w:val="24"/>
        </w:rPr>
      </w:pPr>
      <w:r>
        <w:rPr>
          <w:rFonts w:hint="eastAsia" w:ascii="宋体" w:hAnsi="宋体" w:eastAsia="宋体" w:cs="宋体"/>
          <w:sz w:val="24"/>
        </w:rPr>
        <w:t>(6)投标方自理投标方项目组人员的往返交通、住宿等费用等。</w:t>
      </w:r>
    </w:p>
    <w:p>
      <w:pPr>
        <w:autoSpaceDE w:val="0"/>
        <w:autoSpaceDN w:val="0"/>
        <w:adjustRightInd w:val="0"/>
        <w:spacing w:line="360" w:lineRule="auto"/>
        <w:rPr>
          <w:rFonts w:hint="eastAsia" w:ascii="宋体" w:hAnsi="宋体" w:eastAsia="宋体" w:cs="宋体"/>
          <w:sz w:val="24"/>
          <w:lang w:val="zh-CN"/>
        </w:rPr>
      </w:pPr>
      <w:r>
        <w:rPr>
          <w:rFonts w:hint="eastAsia" w:ascii="宋体" w:hAnsi="宋体" w:eastAsia="宋体" w:cs="宋体"/>
          <w:sz w:val="24"/>
        </w:rPr>
        <w:tab/>
      </w:r>
      <w:r>
        <w:rPr>
          <w:rFonts w:hint="eastAsia" w:ascii="宋体" w:hAnsi="宋体" w:eastAsia="宋体" w:cs="宋体"/>
          <w:sz w:val="24"/>
          <w:lang w:val="zh-CN"/>
        </w:rPr>
        <w:t>(7)提交服务总结报告。</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(8)在项目完成后将相关资料及有关技术文件、测试、完工报告等文档交付招标人。</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(9)协助招标人制定项目的实施计划及验收标准。</w:t>
      </w:r>
    </w:p>
    <w:p>
      <w:pPr>
        <w:autoSpaceDE w:val="0"/>
        <w:autoSpaceDN w:val="0"/>
        <w:adjustRightInd w:val="0"/>
        <w:spacing w:line="360" w:lineRule="auto"/>
        <w:ind w:firstLine="420"/>
        <w:rPr>
          <w:rFonts w:hint="eastAsia" w:ascii="宋体" w:hAnsi="宋体" w:eastAsia="宋体" w:cs="宋体"/>
          <w:sz w:val="24"/>
          <w:lang w:val="zh-CN"/>
        </w:rPr>
      </w:pPr>
      <w:r>
        <w:rPr>
          <w:rFonts w:hint="eastAsia" w:ascii="宋体" w:hAnsi="宋体" w:eastAsia="宋体" w:cs="宋体"/>
          <w:sz w:val="24"/>
          <w:lang w:val="zh-CN"/>
        </w:rPr>
        <w:t>(10)协助招标人进行项目实施管理及验收工作。</w:t>
      </w:r>
      <w:bookmarkEnd w:id="14"/>
    </w:p>
    <w:sectPr>
      <w:foot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文鼎报宋简">
    <w:altName w:val="宋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fldChar w:fldCharType="begin"/>
    </w:r>
    <w:r>
      <w:instrText xml:space="preserve">PAGE   \* MERGEFORMAT</w:instrText>
    </w:r>
    <w:r>
      <w:fldChar w:fldCharType="separate"/>
    </w:r>
    <w:r>
      <w:rPr>
        <w:lang w:val="zh-CN"/>
      </w:rPr>
      <w:t>11</w:t>
    </w:r>
    <w:r>
      <w:fldChar w:fldCharType="end"/>
    </w:r>
  </w:p>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suff w:val="space"/>
      <w:lvlText w:val="%1."/>
      <w:lvlJc w:val="left"/>
      <w:pPr>
        <w:ind w:left="0"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pStyle w:val="8"/>
      <w:isLgl/>
      <w:suff w:val="space"/>
      <w:lvlText w:val="%1.%2.%3"/>
      <w:lvlJc w:val="left"/>
      <w:pPr>
        <w:ind w:left="0" w:firstLine="0"/>
      </w:pPr>
      <w:rPr>
        <w:rFonts w:hint="eastAsia"/>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0A0F028D"/>
    <w:multiLevelType w:val="multilevel"/>
    <w:tmpl w:val="0A0F028D"/>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43B4F2A"/>
    <w:multiLevelType w:val="multilevel"/>
    <w:tmpl w:val="143B4F2A"/>
    <w:lvl w:ilvl="0" w:tentative="0">
      <w:start w:val="1"/>
      <w:numFmt w:val="bullet"/>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abstractNum w:abstractNumId="3">
    <w:nsid w:val="5AD4367D"/>
    <w:multiLevelType w:val="singleLevel"/>
    <w:tmpl w:val="5AD4367D"/>
    <w:lvl w:ilvl="0" w:tentative="0">
      <w:start w:val="1"/>
      <w:numFmt w:val="decimal"/>
      <w:suff w:val="space"/>
      <w:lvlText w:val="(%1)"/>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E3MzVlNjVmNGEwN2U4OThlNmY4MmYxMWU3ZGRlNDEifQ=="/>
  </w:docVars>
  <w:rsids>
    <w:rsidRoot w:val="00946E29"/>
    <w:rsid w:val="00011E6D"/>
    <w:rsid w:val="00015796"/>
    <w:rsid w:val="000169E0"/>
    <w:rsid w:val="00023083"/>
    <w:rsid w:val="00026F48"/>
    <w:rsid w:val="00036BB8"/>
    <w:rsid w:val="00044A2F"/>
    <w:rsid w:val="00060E8E"/>
    <w:rsid w:val="00067107"/>
    <w:rsid w:val="00067F9B"/>
    <w:rsid w:val="00071281"/>
    <w:rsid w:val="00074734"/>
    <w:rsid w:val="000817D8"/>
    <w:rsid w:val="00082E86"/>
    <w:rsid w:val="00084D0C"/>
    <w:rsid w:val="00085817"/>
    <w:rsid w:val="00092B87"/>
    <w:rsid w:val="0009597F"/>
    <w:rsid w:val="00096FE5"/>
    <w:rsid w:val="000B2535"/>
    <w:rsid w:val="000B32CD"/>
    <w:rsid w:val="000B76B8"/>
    <w:rsid w:val="000C5C75"/>
    <w:rsid w:val="000C6B1B"/>
    <w:rsid w:val="000D55AF"/>
    <w:rsid w:val="000E05C8"/>
    <w:rsid w:val="000E2EEA"/>
    <w:rsid w:val="000E376D"/>
    <w:rsid w:val="000E436F"/>
    <w:rsid w:val="000F0DD4"/>
    <w:rsid w:val="00103C68"/>
    <w:rsid w:val="00104BBF"/>
    <w:rsid w:val="001075E0"/>
    <w:rsid w:val="001331CB"/>
    <w:rsid w:val="00133337"/>
    <w:rsid w:val="001333E8"/>
    <w:rsid w:val="00133CB3"/>
    <w:rsid w:val="001442A5"/>
    <w:rsid w:val="001552A8"/>
    <w:rsid w:val="00164AC3"/>
    <w:rsid w:val="00191D41"/>
    <w:rsid w:val="00194BF4"/>
    <w:rsid w:val="001A1A2A"/>
    <w:rsid w:val="001B39D7"/>
    <w:rsid w:val="001B6EC6"/>
    <w:rsid w:val="001E6D0C"/>
    <w:rsid w:val="001F25F8"/>
    <w:rsid w:val="001F667D"/>
    <w:rsid w:val="001F7CA1"/>
    <w:rsid w:val="002027B7"/>
    <w:rsid w:val="00226B9F"/>
    <w:rsid w:val="002353C4"/>
    <w:rsid w:val="00242ED2"/>
    <w:rsid w:val="00253530"/>
    <w:rsid w:val="00253E16"/>
    <w:rsid w:val="0025406E"/>
    <w:rsid w:val="00257D83"/>
    <w:rsid w:val="00264041"/>
    <w:rsid w:val="00266E04"/>
    <w:rsid w:val="00270C4C"/>
    <w:rsid w:val="00270C70"/>
    <w:rsid w:val="002717B2"/>
    <w:rsid w:val="00273B88"/>
    <w:rsid w:val="002814E8"/>
    <w:rsid w:val="002A0968"/>
    <w:rsid w:val="002A242F"/>
    <w:rsid w:val="002A5919"/>
    <w:rsid w:val="002A6218"/>
    <w:rsid w:val="002C236D"/>
    <w:rsid w:val="002D42F7"/>
    <w:rsid w:val="002F1820"/>
    <w:rsid w:val="002F45F6"/>
    <w:rsid w:val="003018A1"/>
    <w:rsid w:val="003022CA"/>
    <w:rsid w:val="00315D2B"/>
    <w:rsid w:val="00315DB6"/>
    <w:rsid w:val="00321109"/>
    <w:rsid w:val="00322127"/>
    <w:rsid w:val="00323D3C"/>
    <w:rsid w:val="00323EFA"/>
    <w:rsid w:val="00326041"/>
    <w:rsid w:val="0033103B"/>
    <w:rsid w:val="00337F42"/>
    <w:rsid w:val="00340A88"/>
    <w:rsid w:val="003552AA"/>
    <w:rsid w:val="00362080"/>
    <w:rsid w:val="00365353"/>
    <w:rsid w:val="003679BC"/>
    <w:rsid w:val="003709EA"/>
    <w:rsid w:val="0037144D"/>
    <w:rsid w:val="003835B5"/>
    <w:rsid w:val="00385506"/>
    <w:rsid w:val="00397204"/>
    <w:rsid w:val="003A1CCC"/>
    <w:rsid w:val="003A2107"/>
    <w:rsid w:val="003C3CDB"/>
    <w:rsid w:val="003D5760"/>
    <w:rsid w:val="003E5995"/>
    <w:rsid w:val="003E6DEE"/>
    <w:rsid w:val="003F5916"/>
    <w:rsid w:val="0040080D"/>
    <w:rsid w:val="004024A4"/>
    <w:rsid w:val="00402C87"/>
    <w:rsid w:val="00404EBF"/>
    <w:rsid w:val="0040598A"/>
    <w:rsid w:val="0041255C"/>
    <w:rsid w:val="00412791"/>
    <w:rsid w:val="00412B69"/>
    <w:rsid w:val="00424EEB"/>
    <w:rsid w:val="00437CAC"/>
    <w:rsid w:val="00445E59"/>
    <w:rsid w:val="00454B2A"/>
    <w:rsid w:val="00467501"/>
    <w:rsid w:val="00472C47"/>
    <w:rsid w:val="004814B3"/>
    <w:rsid w:val="00495B14"/>
    <w:rsid w:val="004A30CA"/>
    <w:rsid w:val="004B057A"/>
    <w:rsid w:val="004B4E29"/>
    <w:rsid w:val="004B5E3E"/>
    <w:rsid w:val="004C0D82"/>
    <w:rsid w:val="004C4593"/>
    <w:rsid w:val="004C49CB"/>
    <w:rsid w:val="004C4AC4"/>
    <w:rsid w:val="004E5086"/>
    <w:rsid w:val="004F1ED8"/>
    <w:rsid w:val="004F4667"/>
    <w:rsid w:val="005000A2"/>
    <w:rsid w:val="005041C7"/>
    <w:rsid w:val="005132A2"/>
    <w:rsid w:val="00516F11"/>
    <w:rsid w:val="00521657"/>
    <w:rsid w:val="00524CAE"/>
    <w:rsid w:val="005251DE"/>
    <w:rsid w:val="005301B4"/>
    <w:rsid w:val="005362CF"/>
    <w:rsid w:val="005375D0"/>
    <w:rsid w:val="00540824"/>
    <w:rsid w:val="005409F5"/>
    <w:rsid w:val="005428BF"/>
    <w:rsid w:val="00553167"/>
    <w:rsid w:val="00553CAA"/>
    <w:rsid w:val="00554E39"/>
    <w:rsid w:val="0056085B"/>
    <w:rsid w:val="00566BD1"/>
    <w:rsid w:val="00570B51"/>
    <w:rsid w:val="00577EFC"/>
    <w:rsid w:val="0058121A"/>
    <w:rsid w:val="00593CD1"/>
    <w:rsid w:val="005A0809"/>
    <w:rsid w:val="005A34C3"/>
    <w:rsid w:val="005B6846"/>
    <w:rsid w:val="005D7A52"/>
    <w:rsid w:val="005F0122"/>
    <w:rsid w:val="005F6F50"/>
    <w:rsid w:val="005F788C"/>
    <w:rsid w:val="0060120D"/>
    <w:rsid w:val="006058A6"/>
    <w:rsid w:val="00612285"/>
    <w:rsid w:val="00616DC8"/>
    <w:rsid w:val="00617526"/>
    <w:rsid w:val="00623A0B"/>
    <w:rsid w:val="00624E28"/>
    <w:rsid w:val="00634445"/>
    <w:rsid w:val="00652812"/>
    <w:rsid w:val="006656BE"/>
    <w:rsid w:val="0066785F"/>
    <w:rsid w:val="00672E61"/>
    <w:rsid w:val="00687085"/>
    <w:rsid w:val="006A180A"/>
    <w:rsid w:val="006A6A55"/>
    <w:rsid w:val="006B155C"/>
    <w:rsid w:val="006B3700"/>
    <w:rsid w:val="006B3C19"/>
    <w:rsid w:val="006D4365"/>
    <w:rsid w:val="006D5A61"/>
    <w:rsid w:val="006D70D2"/>
    <w:rsid w:val="006E2083"/>
    <w:rsid w:val="006E6E30"/>
    <w:rsid w:val="006F67CB"/>
    <w:rsid w:val="00704473"/>
    <w:rsid w:val="00706D00"/>
    <w:rsid w:val="00724C58"/>
    <w:rsid w:val="00724D07"/>
    <w:rsid w:val="00725776"/>
    <w:rsid w:val="00731D06"/>
    <w:rsid w:val="00735905"/>
    <w:rsid w:val="00742713"/>
    <w:rsid w:val="00743DC3"/>
    <w:rsid w:val="0074431B"/>
    <w:rsid w:val="00745187"/>
    <w:rsid w:val="007646EF"/>
    <w:rsid w:val="007673A4"/>
    <w:rsid w:val="0078319F"/>
    <w:rsid w:val="00793573"/>
    <w:rsid w:val="007A51A0"/>
    <w:rsid w:val="007A782A"/>
    <w:rsid w:val="007B2021"/>
    <w:rsid w:val="007B2B76"/>
    <w:rsid w:val="007B3424"/>
    <w:rsid w:val="007C0A93"/>
    <w:rsid w:val="007C6D03"/>
    <w:rsid w:val="007C7ADC"/>
    <w:rsid w:val="007D025A"/>
    <w:rsid w:val="007D28E0"/>
    <w:rsid w:val="007D3AE4"/>
    <w:rsid w:val="007E081C"/>
    <w:rsid w:val="007E65C1"/>
    <w:rsid w:val="007F6E9A"/>
    <w:rsid w:val="008232F2"/>
    <w:rsid w:val="00831E96"/>
    <w:rsid w:val="0084680B"/>
    <w:rsid w:val="00875CBB"/>
    <w:rsid w:val="008769D9"/>
    <w:rsid w:val="00883730"/>
    <w:rsid w:val="00886076"/>
    <w:rsid w:val="008A6477"/>
    <w:rsid w:val="008C1AB8"/>
    <w:rsid w:val="008C3896"/>
    <w:rsid w:val="008C3ED9"/>
    <w:rsid w:val="008D00BC"/>
    <w:rsid w:val="008D6FC3"/>
    <w:rsid w:val="008E0784"/>
    <w:rsid w:val="008E3875"/>
    <w:rsid w:val="008F1872"/>
    <w:rsid w:val="008F6F76"/>
    <w:rsid w:val="00906E47"/>
    <w:rsid w:val="00913B9B"/>
    <w:rsid w:val="0092046F"/>
    <w:rsid w:val="00932578"/>
    <w:rsid w:val="009342A9"/>
    <w:rsid w:val="00935C3F"/>
    <w:rsid w:val="0094192B"/>
    <w:rsid w:val="0094389C"/>
    <w:rsid w:val="00946E29"/>
    <w:rsid w:val="00957B1D"/>
    <w:rsid w:val="00962583"/>
    <w:rsid w:val="00965AC1"/>
    <w:rsid w:val="00976EAC"/>
    <w:rsid w:val="009800F4"/>
    <w:rsid w:val="009813C1"/>
    <w:rsid w:val="009879C0"/>
    <w:rsid w:val="00994300"/>
    <w:rsid w:val="009A189B"/>
    <w:rsid w:val="009A3C9F"/>
    <w:rsid w:val="009B39EC"/>
    <w:rsid w:val="009B4FE2"/>
    <w:rsid w:val="009C4D0D"/>
    <w:rsid w:val="009D37B1"/>
    <w:rsid w:val="009D3E42"/>
    <w:rsid w:val="009E52A0"/>
    <w:rsid w:val="009F1665"/>
    <w:rsid w:val="00A004AC"/>
    <w:rsid w:val="00A045BC"/>
    <w:rsid w:val="00A1260C"/>
    <w:rsid w:val="00A14282"/>
    <w:rsid w:val="00A17B6A"/>
    <w:rsid w:val="00A207EF"/>
    <w:rsid w:val="00A27B64"/>
    <w:rsid w:val="00A3305B"/>
    <w:rsid w:val="00A3763E"/>
    <w:rsid w:val="00A444AA"/>
    <w:rsid w:val="00A50466"/>
    <w:rsid w:val="00A55A8B"/>
    <w:rsid w:val="00A61B1C"/>
    <w:rsid w:val="00A64B4E"/>
    <w:rsid w:val="00A721CB"/>
    <w:rsid w:val="00A72EA7"/>
    <w:rsid w:val="00A75C79"/>
    <w:rsid w:val="00A8406A"/>
    <w:rsid w:val="00A86E76"/>
    <w:rsid w:val="00A90376"/>
    <w:rsid w:val="00A929A1"/>
    <w:rsid w:val="00A94D23"/>
    <w:rsid w:val="00AA1AC4"/>
    <w:rsid w:val="00AA3D60"/>
    <w:rsid w:val="00AA3F15"/>
    <w:rsid w:val="00AB0ABB"/>
    <w:rsid w:val="00AB46E4"/>
    <w:rsid w:val="00AB591D"/>
    <w:rsid w:val="00AC5777"/>
    <w:rsid w:val="00AC6EF9"/>
    <w:rsid w:val="00AC7226"/>
    <w:rsid w:val="00AC7E65"/>
    <w:rsid w:val="00AD3567"/>
    <w:rsid w:val="00AD5DF3"/>
    <w:rsid w:val="00AE485C"/>
    <w:rsid w:val="00AF1A71"/>
    <w:rsid w:val="00AF2020"/>
    <w:rsid w:val="00AF6468"/>
    <w:rsid w:val="00B2158C"/>
    <w:rsid w:val="00B22795"/>
    <w:rsid w:val="00B3079C"/>
    <w:rsid w:val="00B36882"/>
    <w:rsid w:val="00B400E9"/>
    <w:rsid w:val="00B418D7"/>
    <w:rsid w:val="00B41B75"/>
    <w:rsid w:val="00B53DFE"/>
    <w:rsid w:val="00B558B1"/>
    <w:rsid w:val="00B56538"/>
    <w:rsid w:val="00B648C3"/>
    <w:rsid w:val="00B81503"/>
    <w:rsid w:val="00B87175"/>
    <w:rsid w:val="00B90B92"/>
    <w:rsid w:val="00B94368"/>
    <w:rsid w:val="00B960D3"/>
    <w:rsid w:val="00BA0C67"/>
    <w:rsid w:val="00BA2A0E"/>
    <w:rsid w:val="00BA526E"/>
    <w:rsid w:val="00BB4E7F"/>
    <w:rsid w:val="00BC27D1"/>
    <w:rsid w:val="00BC4B95"/>
    <w:rsid w:val="00BC6CC2"/>
    <w:rsid w:val="00BD0191"/>
    <w:rsid w:val="00BD6032"/>
    <w:rsid w:val="00BD7EE4"/>
    <w:rsid w:val="00BF513F"/>
    <w:rsid w:val="00C1121E"/>
    <w:rsid w:val="00C17136"/>
    <w:rsid w:val="00C27F89"/>
    <w:rsid w:val="00C325F2"/>
    <w:rsid w:val="00C46AD6"/>
    <w:rsid w:val="00C46B89"/>
    <w:rsid w:val="00C96ABE"/>
    <w:rsid w:val="00CA06CE"/>
    <w:rsid w:val="00CA43CF"/>
    <w:rsid w:val="00CB1C6C"/>
    <w:rsid w:val="00CD054C"/>
    <w:rsid w:val="00CD3321"/>
    <w:rsid w:val="00CE2BC6"/>
    <w:rsid w:val="00CE3E5E"/>
    <w:rsid w:val="00CE4D36"/>
    <w:rsid w:val="00CF3ABF"/>
    <w:rsid w:val="00CF5C4C"/>
    <w:rsid w:val="00D01BC7"/>
    <w:rsid w:val="00D20873"/>
    <w:rsid w:val="00D269FB"/>
    <w:rsid w:val="00D52B8D"/>
    <w:rsid w:val="00D53938"/>
    <w:rsid w:val="00D66722"/>
    <w:rsid w:val="00D67FF6"/>
    <w:rsid w:val="00D81FE3"/>
    <w:rsid w:val="00D8441D"/>
    <w:rsid w:val="00D85335"/>
    <w:rsid w:val="00D9229B"/>
    <w:rsid w:val="00D92469"/>
    <w:rsid w:val="00D947CB"/>
    <w:rsid w:val="00D97D8E"/>
    <w:rsid w:val="00DA1373"/>
    <w:rsid w:val="00DB2808"/>
    <w:rsid w:val="00DB4E94"/>
    <w:rsid w:val="00DB4FA1"/>
    <w:rsid w:val="00DC67B2"/>
    <w:rsid w:val="00DD4FB7"/>
    <w:rsid w:val="00DE44CD"/>
    <w:rsid w:val="00DE49DB"/>
    <w:rsid w:val="00DF3793"/>
    <w:rsid w:val="00E10A1E"/>
    <w:rsid w:val="00E13C10"/>
    <w:rsid w:val="00E341C4"/>
    <w:rsid w:val="00E36738"/>
    <w:rsid w:val="00E369EB"/>
    <w:rsid w:val="00E40244"/>
    <w:rsid w:val="00E40FED"/>
    <w:rsid w:val="00E438CF"/>
    <w:rsid w:val="00E44119"/>
    <w:rsid w:val="00E5071F"/>
    <w:rsid w:val="00E51981"/>
    <w:rsid w:val="00E524A3"/>
    <w:rsid w:val="00E543F3"/>
    <w:rsid w:val="00E55508"/>
    <w:rsid w:val="00E7263F"/>
    <w:rsid w:val="00E737AB"/>
    <w:rsid w:val="00E74392"/>
    <w:rsid w:val="00E74897"/>
    <w:rsid w:val="00E75A2A"/>
    <w:rsid w:val="00E76313"/>
    <w:rsid w:val="00E80589"/>
    <w:rsid w:val="00E93FFC"/>
    <w:rsid w:val="00E96731"/>
    <w:rsid w:val="00E96F4B"/>
    <w:rsid w:val="00EA7D21"/>
    <w:rsid w:val="00EB7D96"/>
    <w:rsid w:val="00EC21C7"/>
    <w:rsid w:val="00ED08D1"/>
    <w:rsid w:val="00ED20FD"/>
    <w:rsid w:val="00ED6B6B"/>
    <w:rsid w:val="00EE0DF2"/>
    <w:rsid w:val="00EF0761"/>
    <w:rsid w:val="00EF3A3B"/>
    <w:rsid w:val="00EF4254"/>
    <w:rsid w:val="00F044E7"/>
    <w:rsid w:val="00F15F5D"/>
    <w:rsid w:val="00F224D4"/>
    <w:rsid w:val="00F250CE"/>
    <w:rsid w:val="00F3076F"/>
    <w:rsid w:val="00F31A74"/>
    <w:rsid w:val="00F42158"/>
    <w:rsid w:val="00F4460D"/>
    <w:rsid w:val="00F4765F"/>
    <w:rsid w:val="00F541EC"/>
    <w:rsid w:val="00F61612"/>
    <w:rsid w:val="00F716D5"/>
    <w:rsid w:val="00F8348B"/>
    <w:rsid w:val="00F83804"/>
    <w:rsid w:val="00F914DA"/>
    <w:rsid w:val="00F952DE"/>
    <w:rsid w:val="00FA3C9C"/>
    <w:rsid w:val="00FA66C9"/>
    <w:rsid w:val="00FB4B48"/>
    <w:rsid w:val="00FB7C16"/>
    <w:rsid w:val="00FC1B43"/>
    <w:rsid w:val="00FC7F09"/>
    <w:rsid w:val="00FE6D1B"/>
    <w:rsid w:val="022961C6"/>
    <w:rsid w:val="029A28D1"/>
    <w:rsid w:val="05296F64"/>
    <w:rsid w:val="05551C65"/>
    <w:rsid w:val="05564FEF"/>
    <w:rsid w:val="05EC442A"/>
    <w:rsid w:val="06895A2C"/>
    <w:rsid w:val="0A372D15"/>
    <w:rsid w:val="0AAB0CA4"/>
    <w:rsid w:val="0E2A3543"/>
    <w:rsid w:val="10C24ABF"/>
    <w:rsid w:val="13A14369"/>
    <w:rsid w:val="13F82D93"/>
    <w:rsid w:val="15475735"/>
    <w:rsid w:val="168D390B"/>
    <w:rsid w:val="179936E8"/>
    <w:rsid w:val="197B6376"/>
    <w:rsid w:val="197C114C"/>
    <w:rsid w:val="1A5F09F0"/>
    <w:rsid w:val="1BA336B4"/>
    <w:rsid w:val="1E383F83"/>
    <w:rsid w:val="20A66D67"/>
    <w:rsid w:val="20FC32E6"/>
    <w:rsid w:val="222F3F39"/>
    <w:rsid w:val="230D7CAA"/>
    <w:rsid w:val="24F17796"/>
    <w:rsid w:val="27634C03"/>
    <w:rsid w:val="283838C3"/>
    <w:rsid w:val="2B3971FA"/>
    <w:rsid w:val="2C2F748D"/>
    <w:rsid w:val="2D0D61FC"/>
    <w:rsid w:val="2DA863AF"/>
    <w:rsid w:val="303D743F"/>
    <w:rsid w:val="314F22EF"/>
    <w:rsid w:val="362143CD"/>
    <w:rsid w:val="378F2234"/>
    <w:rsid w:val="380A3163"/>
    <w:rsid w:val="39347AE2"/>
    <w:rsid w:val="3A617AD4"/>
    <w:rsid w:val="3AEF3184"/>
    <w:rsid w:val="3CF42668"/>
    <w:rsid w:val="3D272C7B"/>
    <w:rsid w:val="3F3E6EEB"/>
    <w:rsid w:val="407E29A9"/>
    <w:rsid w:val="414B2BC0"/>
    <w:rsid w:val="44090AE2"/>
    <w:rsid w:val="45A6746A"/>
    <w:rsid w:val="46BA6DAD"/>
    <w:rsid w:val="48F92457"/>
    <w:rsid w:val="49EC5A55"/>
    <w:rsid w:val="4B151458"/>
    <w:rsid w:val="4FA72139"/>
    <w:rsid w:val="51D0252B"/>
    <w:rsid w:val="538964CB"/>
    <w:rsid w:val="54545091"/>
    <w:rsid w:val="545C0F81"/>
    <w:rsid w:val="54B80B8E"/>
    <w:rsid w:val="56EE2BFF"/>
    <w:rsid w:val="571240DB"/>
    <w:rsid w:val="573458CE"/>
    <w:rsid w:val="57E941A1"/>
    <w:rsid w:val="5B745A99"/>
    <w:rsid w:val="5D0F4CF3"/>
    <w:rsid w:val="5E6F15E2"/>
    <w:rsid w:val="601166A7"/>
    <w:rsid w:val="612255F7"/>
    <w:rsid w:val="61C415B1"/>
    <w:rsid w:val="651E04B0"/>
    <w:rsid w:val="68043E7B"/>
    <w:rsid w:val="69043791"/>
    <w:rsid w:val="70897698"/>
    <w:rsid w:val="71127900"/>
    <w:rsid w:val="71F3422E"/>
    <w:rsid w:val="72165998"/>
    <w:rsid w:val="72622E36"/>
    <w:rsid w:val="726B718F"/>
    <w:rsid w:val="728833A5"/>
    <w:rsid w:val="73397B18"/>
    <w:rsid w:val="73816560"/>
    <w:rsid w:val="742F6D2D"/>
    <w:rsid w:val="769926B2"/>
    <w:rsid w:val="76C640C0"/>
    <w:rsid w:val="795640BE"/>
    <w:rsid w:val="7A1742F0"/>
    <w:rsid w:val="7AC5601E"/>
    <w:rsid w:val="7B356018"/>
    <w:rsid w:val="7B8A1B95"/>
    <w:rsid w:val="7C12522A"/>
    <w:rsid w:val="7CF2192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25"/>
    <w:qFormat/>
    <w:uiPriority w:val="9"/>
    <w:pPr>
      <w:keepNext/>
      <w:keepLines/>
      <w:spacing w:before="50" w:beforeLines="50" w:after="50" w:afterLines="50"/>
      <w:outlineLvl w:val="0"/>
    </w:pPr>
    <w:rPr>
      <w:b/>
      <w:bCs/>
      <w:kern w:val="44"/>
      <w:sz w:val="36"/>
      <w:szCs w:val="44"/>
    </w:rPr>
  </w:style>
  <w:style w:type="paragraph" w:styleId="6">
    <w:name w:val="heading 2"/>
    <w:basedOn w:val="1"/>
    <w:next w:val="1"/>
    <w:link w:val="26"/>
    <w:qFormat/>
    <w:uiPriority w:val="0"/>
    <w:pPr>
      <w:keepNext/>
      <w:keepLines/>
      <w:spacing w:before="260" w:after="260" w:line="416" w:lineRule="auto"/>
      <w:jc w:val="center"/>
      <w:outlineLvl w:val="1"/>
    </w:pPr>
    <w:rPr>
      <w:rFonts w:ascii="Arial" w:hAnsi="Arial" w:eastAsia="黑体"/>
      <w:b/>
      <w:bCs/>
      <w:sz w:val="32"/>
      <w:szCs w:val="32"/>
    </w:rPr>
  </w:style>
  <w:style w:type="paragraph" w:styleId="7">
    <w:name w:val="heading 3"/>
    <w:basedOn w:val="8"/>
    <w:next w:val="1"/>
    <w:link w:val="27"/>
    <w:qFormat/>
    <w:uiPriority w:val="9"/>
    <w:pPr>
      <w:keepNext/>
      <w:keepLines/>
      <w:spacing w:before="260" w:after="260" w:line="416" w:lineRule="auto"/>
      <w:outlineLvl w:val="2"/>
    </w:pPr>
    <w:rPr>
      <w:b/>
      <w:bCs/>
      <w:sz w:val="32"/>
      <w:szCs w:val="32"/>
    </w:rPr>
  </w:style>
  <w:style w:type="paragraph" w:styleId="9">
    <w:name w:val="heading 4"/>
    <w:basedOn w:val="1"/>
    <w:next w:val="1"/>
    <w:link w:val="28"/>
    <w:qFormat/>
    <w:uiPriority w:val="0"/>
    <w:pPr>
      <w:keepNext/>
      <w:keepLines/>
      <w:spacing w:before="280" w:after="290" w:line="376" w:lineRule="auto"/>
      <w:outlineLvl w:val="3"/>
    </w:pPr>
    <w:rPr>
      <w:rFonts w:ascii="Arial" w:hAnsi="Arial" w:eastAsia="黑体"/>
      <w:b/>
      <w:bCs/>
      <w:sz w:val="28"/>
      <w:szCs w:val="28"/>
    </w:rPr>
  </w:style>
  <w:style w:type="character" w:default="1" w:styleId="21">
    <w:name w:val="Default Paragraph Font"/>
    <w:unhideWhenUsed/>
    <w:qFormat/>
    <w:uiPriority w:val="1"/>
  </w:style>
  <w:style w:type="table" w:default="1" w:styleId="19">
    <w:name w:val="Normal Table"/>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next w:val="4"/>
    <w:unhideWhenUsed/>
    <w:qFormat/>
    <w:uiPriority w:val="99"/>
    <w:pPr>
      <w:spacing w:after="120"/>
    </w:pPr>
  </w:style>
  <w:style w:type="paragraph" w:styleId="4">
    <w:name w:val="Title"/>
    <w:basedOn w:val="1"/>
    <w:next w:val="1"/>
    <w:link w:val="24"/>
    <w:qFormat/>
    <w:uiPriority w:val="10"/>
    <w:pPr>
      <w:spacing w:before="240" w:after="60"/>
      <w:jc w:val="center"/>
      <w:outlineLvl w:val="0"/>
    </w:pPr>
    <w:rPr>
      <w:rFonts w:ascii="Cambria" w:hAnsi="Cambria"/>
      <w:b/>
      <w:bCs/>
      <w:sz w:val="32"/>
      <w:szCs w:val="32"/>
    </w:rPr>
  </w:style>
  <w:style w:type="paragraph" w:customStyle="1" w:styleId="8">
    <w:name w:val="样式1"/>
    <w:basedOn w:val="1"/>
    <w:qFormat/>
    <w:uiPriority w:val="0"/>
    <w:pPr>
      <w:numPr>
        <w:ilvl w:val="2"/>
        <w:numId w:val="1"/>
      </w:numPr>
    </w:pPr>
  </w:style>
  <w:style w:type="paragraph" w:styleId="10">
    <w:name w:val="Normal Indent"/>
    <w:basedOn w:val="1"/>
    <w:qFormat/>
    <w:uiPriority w:val="0"/>
    <w:pPr>
      <w:spacing w:line="300" w:lineRule="auto"/>
      <w:ind w:firstLine="420" w:firstLineChars="200"/>
    </w:pPr>
    <w:rPr>
      <w:szCs w:val="20"/>
    </w:rPr>
  </w:style>
  <w:style w:type="paragraph" w:styleId="11">
    <w:name w:val="annotation text"/>
    <w:basedOn w:val="1"/>
    <w:unhideWhenUsed/>
    <w:qFormat/>
    <w:uiPriority w:val="99"/>
    <w:pPr>
      <w:jc w:val="left"/>
    </w:pPr>
  </w:style>
  <w:style w:type="paragraph" w:styleId="12">
    <w:name w:val="Plain Text"/>
    <w:basedOn w:val="1"/>
    <w:link w:val="29"/>
    <w:qFormat/>
    <w:uiPriority w:val="0"/>
    <w:rPr>
      <w:rFonts w:ascii="宋体" w:hAnsi="Courier New"/>
      <w:szCs w:val="20"/>
    </w:rPr>
  </w:style>
  <w:style w:type="paragraph" w:styleId="13">
    <w:name w:val="Date"/>
    <w:basedOn w:val="1"/>
    <w:next w:val="1"/>
    <w:qFormat/>
    <w:uiPriority w:val="0"/>
    <w:pPr>
      <w:ind w:left="100" w:leftChars="2500"/>
    </w:pPr>
  </w:style>
  <w:style w:type="paragraph" w:styleId="14">
    <w:name w:val="footer"/>
    <w:basedOn w:val="1"/>
    <w:link w:val="30"/>
    <w:unhideWhenUsed/>
    <w:qFormat/>
    <w:uiPriority w:val="99"/>
    <w:pPr>
      <w:tabs>
        <w:tab w:val="center" w:pos="4153"/>
        <w:tab w:val="right" w:pos="8306"/>
      </w:tabs>
      <w:snapToGrid w:val="0"/>
      <w:jc w:val="left"/>
    </w:pPr>
    <w:rPr>
      <w:sz w:val="18"/>
      <w:szCs w:val="18"/>
    </w:rPr>
  </w:style>
  <w:style w:type="paragraph" w:styleId="15">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pPr>
      <w:tabs>
        <w:tab w:val="left" w:pos="420"/>
        <w:tab w:val="right" w:leader="dot" w:pos="8296"/>
      </w:tabs>
      <w:jc w:val="left"/>
    </w:pPr>
    <w:rPr>
      <w:sz w:val="24"/>
    </w:rPr>
  </w:style>
  <w:style w:type="paragraph" w:styleId="17">
    <w:name w:val="Body Text Indent 3"/>
    <w:basedOn w:val="1"/>
    <w:link w:val="32"/>
    <w:semiHidden/>
    <w:qFormat/>
    <w:uiPriority w:val="0"/>
    <w:pPr>
      <w:snapToGrid w:val="0"/>
      <w:spacing w:line="360" w:lineRule="auto"/>
      <w:ind w:left="900" w:firstLine="899"/>
    </w:pPr>
    <w:rPr>
      <w:rFonts w:ascii="宋体" w:hAnsi="文鼎报宋简"/>
      <w:sz w:val="28"/>
      <w:szCs w:val="20"/>
    </w:rPr>
  </w:style>
  <w:style w:type="paragraph" w:styleId="18">
    <w:name w:val="Normal (Web)"/>
    <w:basedOn w:val="1"/>
    <w:semiHidden/>
    <w:qFormat/>
    <w:uiPriority w:val="0"/>
    <w:pPr>
      <w:widowControl/>
      <w:spacing w:before="100" w:beforeAutospacing="1" w:after="100" w:afterAutospacing="1"/>
      <w:jc w:val="left"/>
    </w:pPr>
    <w:rPr>
      <w:rFonts w:ascii="宋体"/>
      <w:kern w:val="0"/>
      <w:sz w:val="18"/>
      <w:szCs w:val="18"/>
      <w:lang w:eastAsia="en-US"/>
    </w:rPr>
  </w:style>
  <w:style w:type="table" w:styleId="20">
    <w:name w:val="Table Grid"/>
    <w:basedOn w:val="1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
    <w:name w:val="page number"/>
    <w:basedOn w:val="21"/>
    <w:unhideWhenUsed/>
    <w:qFormat/>
    <w:uiPriority w:val="99"/>
  </w:style>
  <w:style w:type="character" w:styleId="23">
    <w:name w:val="Hyperlink"/>
    <w:unhideWhenUsed/>
    <w:qFormat/>
    <w:uiPriority w:val="99"/>
    <w:rPr>
      <w:color w:val="0000FF"/>
      <w:u w:val="single"/>
    </w:rPr>
  </w:style>
  <w:style w:type="character" w:customStyle="1" w:styleId="24">
    <w:name w:val="标题 字符"/>
    <w:link w:val="4"/>
    <w:qFormat/>
    <w:uiPriority w:val="10"/>
    <w:rPr>
      <w:rFonts w:ascii="Cambria" w:hAnsi="Cambria" w:cs="Times New Roman"/>
      <w:b/>
      <w:bCs/>
      <w:kern w:val="2"/>
      <w:sz w:val="32"/>
      <w:szCs w:val="32"/>
    </w:rPr>
  </w:style>
  <w:style w:type="character" w:customStyle="1" w:styleId="25">
    <w:name w:val="标题 1 字符"/>
    <w:link w:val="5"/>
    <w:qFormat/>
    <w:uiPriority w:val="9"/>
    <w:rPr>
      <w:rFonts w:ascii="Times New Roman" w:hAnsi="Times New Roman"/>
      <w:b/>
      <w:bCs/>
      <w:kern w:val="44"/>
      <w:sz w:val="36"/>
      <w:szCs w:val="44"/>
    </w:rPr>
  </w:style>
  <w:style w:type="character" w:customStyle="1" w:styleId="26">
    <w:name w:val="标题 2 字符"/>
    <w:link w:val="6"/>
    <w:qFormat/>
    <w:uiPriority w:val="0"/>
    <w:rPr>
      <w:rFonts w:ascii="Arial" w:hAnsi="Arial" w:eastAsia="黑体"/>
      <w:b/>
      <w:bCs/>
      <w:kern w:val="2"/>
      <w:sz w:val="32"/>
      <w:szCs w:val="32"/>
    </w:rPr>
  </w:style>
  <w:style w:type="character" w:customStyle="1" w:styleId="27">
    <w:name w:val="标题 3 字符"/>
    <w:link w:val="7"/>
    <w:semiHidden/>
    <w:qFormat/>
    <w:uiPriority w:val="9"/>
    <w:rPr>
      <w:rFonts w:ascii="Times New Roman" w:hAnsi="Times New Roman"/>
      <w:b/>
      <w:bCs/>
      <w:kern w:val="2"/>
      <w:sz w:val="32"/>
      <w:szCs w:val="32"/>
    </w:rPr>
  </w:style>
  <w:style w:type="character" w:customStyle="1" w:styleId="28">
    <w:name w:val="标题 4 字符"/>
    <w:link w:val="9"/>
    <w:qFormat/>
    <w:uiPriority w:val="0"/>
    <w:rPr>
      <w:rFonts w:ascii="Arial" w:hAnsi="Arial" w:eastAsia="黑体"/>
      <w:b/>
      <w:bCs/>
      <w:kern w:val="2"/>
      <w:sz w:val="28"/>
      <w:szCs w:val="28"/>
    </w:rPr>
  </w:style>
  <w:style w:type="character" w:customStyle="1" w:styleId="29">
    <w:name w:val="纯文本 字符"/>
    <w:link w:val="12"/>
    <w:qFormat/>
    <w:uiPriority w:val="0"/>
    <w:rPr>
      <w:rFonts w:ascii="宋体" w:hAnsi="Courier New"/>
      <w:kern w:val="2"/>
      <w:sz w:val="21"/>
    </w:rPr>
  </w:style>
  <w:style w:type="character" w:customStyle="1" w:styleId="30">
    <w:name w:val="页脚 字符"/>
    <w:link w:val="14"/>
    <w:qFormat/>
    <w:uiPriority w:val="99"/>
    <w:rPr>
      <w:rFonts w:ascii="Times New Roman" w:hAnsi="Times New Roman"/>
      <w:kern w:val="2"/>
      <w:sz w:val="18"/>
      <w:szCs w:val="18"/>
    </w:rPr>
  </w:style>
  <w:style w:type="character" w:customStyle="1" w:styleId="31">
    <w:name w:val="页眉 字符"/>
    <w:link w:val="15"/>
    <w:semiHidden/>
    <w:qFormat/>
    <w:uiPriority w:val="99"/>
    <w:rPr>
      <w:rFonts w:ascii="Times New Roman" w:hAnsi="Times New Roman"/>
      <w:kern w:val="2"/>
      <w:sz w:val="18"/>
      <w:szCs w:val="18"/>
    </w:rPr>
  </w:style>
  <w:style w:type="character" w:customStyle="1" w:styleId="32">
    <w:name w:val="正文文本缩进 3 字符"/>
    <w:link w:val="17"/>
    <w:semiHidden/>
    <w:qFormat/>
    <w:uiPriority w:val="0"/>
    <w:rPr>
      <w:rFonts w:ascii="宋体" w:hAnsi="文鼎报宋简"/>
      <w:kern w:val="2"/>
      <w:sz w:val="28"/>
    </w:rPr>
  </w:style>
  <w:style w:type="paragraph" w:customStyle="1" w:styleId="33">
    <w:name w:val="Default Paragraph Font Para Char Char Char Char Char Char"/>
    <w:basedOn w:val="1"/>
    <w:qFormat/>
    <w:uiPriority w:val="0"/>
    <w:pPr>
      <w:widowControl/>
      <w:spacing w:after="160" w:line="240" w:lineRule="exact"/>
      <w:jc w:val="left"/>
    </w:pPr>
    <w:rPr>
      <w:rFonts w:ascii="Verdana" w:hAnsi="Verdana"/>
      <w:kern w:val="0"/>
      <w:sz w:val="20"/>
      <w:szCs w:val="20"/>
      <w:lang w:eastAsia="en-US"/>
    </w:rPr>
  </w:style>
  <w:style w:type="character" w:customStyle="1" w:styleId="34">
    <w:name w:val="h21"/>
    <w:qFormat/>
    <w:uiPriority w:val="0"/>
    <w:rPr>
      <w:sz w:val="19"/>
      <w:szCs w:val="19"/>
    </w:rPr>
  </w:style>
  <w:style w:type="character" w:customStyle="1" w:styleId="35">
    <w:name w:val="子系统 Char"/>
    <w:qFormat/>
    <w:uiPriority w:val="0"/>
    <w:rPr>
      <w:rFonts w:eastAsia="宋体"/>
      <w:b/>
      <w:bCs/>
      <w:kern w:val="2"/>
      <w:sz w:val="32"/>
      <w:szCs w:val="32"/>
      <w:lang w:val="en-US" w:eastAsia="zh-CN" w:bidi="ar-SA"/>
    </w:rPr>
  </w:style>
  <w:style w:type="character" w:customStyle="1" w:styleId="36">
    <w:name w:val="msonormal"/>
    <w:basedOn w:val="21"/>
    <w:qFormat/>
    <w:uiPriority w:val="0"/>
  </w:style>
  <w:style w:type="character" w:customStyle="1" w:styleId="37">
    <w:name w:val="section1"/>
    <w:basedOn w:val="21"/>
    <w:qFormat/>
    <w:uiPriority w:val="0"/>
  </w:style>
  <w:style w:type="paragraph" w:customStyle="1" w:styleId="38">
    <w:name w:val="p0"/>
    <w:basedOn w:val="1"/>
    <w:qFormat/>
    <w:uiPriority w:val="0"/>
    <w:pPr>
      <w:widowControl/>
    </w:pPr>
    <w:rPr>
      <w:rFonts w:eastAsia="仿宋"/>
      <w:kern w:val="0"/>
      <w:sz w:val="32"/>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8</Pages>
  <Words>816</Words>
  <Characters>4655</Characters>
  <Lines>38</Lines>
  <Paragraphs>10</Paragraphs>
  <TotalTime>8</TotalTime>
  <ScaleCrop>false</ScaleCrop>
  <LinksUpToDate>false</LinksUpToDate>
  <CharactersWithSpaces>5461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2018-04-17T07:37:00Z</dcterms:created>
  <dc:creator>Bendy</dc:creator>
  <cp:lastModifiedBy>刘慕娴</cp:lastModifiedBy>
  <dcterms:modified xsi:type="dcterms:W3CDTF">2025-08-01T01:13:06Z</dcterms:modified>
  <dc:title>调度自动化新机房修缮</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D78C5D4DDCDF45FDA5511DB248122901</vt:lpwstr>
  </property>
</Properties>
</file>