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A2FAD0">
      <w:pPr>
        <w:rPr>
          <w:highlight w:val="none"/>
        </w:rPr>
      </w:pPr>
      <w:r>
        <w:rPr>
          <w:rFonts w:hint="eastAsia"/>
          <w:highlight w:val="none"/>
        </w:rPr>
        <w:drawing>
          <wp:anchor distT="0" distB="0" distL="114300" distR="114300" simplePos="0" relativeHeight="251659264" behindDoc="0" locked="0" layoutInCell="1" allowOverlap="1">
            <wp:simplePos x="0" y="0"/>
            <wp:positionH relativeFrom="page">
              <wp:posOffset>0</wp:posOffset>
            </wp:positionH>
            <wp:positionV relativeFrom="paragraph">
              <wp:posOffset>-1163955</wp:posOffset>
            </wp:positionV>
            <wp:extent cx="7531100" cy="2541905"/>
            <wp:effectExtent l="0" t="0" r="0" b="0"/>
            <wp:wrapNone/>
            <wp:docPr id="1" name="图片 1"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模板-3"/>
                    <pic:cNvPicPr>
                      <a:picLocks noChangeAspect="1" noChangeArrowheads="1"/>
                    </pic:cNvPicPr>
                  </pic:nvPicPr>
                  <pic:blipFill>
                    <a:blip r:embed="rId11" cstate="print">
                      <a:extLst>
                        <a:ext uri="{28A0092B-C50C-407E-A947-70E740481C1C}">
                          <a14:useLocalDpi xmlns:a14="http://schemas.microsoft.com/office/drawing/2010/main" val="0"/>
                        </a:ext>
                      </a:extLst>
                    </a:blip>
                    <a:srcRect b="75984"/>
                    <a:stretch>
                      <a:fillRect/>
                    </a:stretch>
                  </pic:blipFill>
                  <pic:spPr>
                    <a:xfrm>
                      <a:off x="0" y="0"/>
                      <a:ext cx="7543953" cy="2546413"/>
                    </a:xfrm>
                    <a:prstGeom prst="rect">
                      <a:avLst/>
                    </a:prstGeom>
                    <a:noFill/>
                    <a:ln>
                      <a:noFill/>
                    </a:ln>
                  </pic:spPr>
                </pic:pic>
              </a:graphicData>
            </a:graphic>
          </wp:anchor>
        </w:drawing>
      </w:r>
    </w:p>
    <w:tbl>
      <w:tblPr>
        <w:tblStyle w:val="50"/>
        <w:tblW w:w="9500" w:type="dxa"/>
        <w:jc w:val="center"/>
        <w:tblLayout w:type="fixed"/>
        <w:tblCellMar>
          <w:top w:w="0" w:type="dxa"/>
          <w:left w:w="28" w:type="dxa"/>
          <w:bottom w:w="0" w:type="dxa"/>
          <w:right w:w="28" w:type="dxa"/>
        </w:tblCellMar>
      </w:tblPr>
      <w:tblGrid>
        <w:gridCol w:w="6453"/>
        <w:gridCol w:w="3047"/>
      </w:tblGrid>
      <w:tr w14:paraId="29AC113F">
        <w:tblPrEx>
          <w:tblCellMar>
            <w:top w:w="0" w:type="dxa"/>
            <w:left w:w="28" w:type="dxa"/>
            <w:bottom w:w="0" w:type="dxa"/>
            <w:right w:w="28" w:type="dxa"/>
          </w:tblCellMar>
        </w:tblPrEx>
        <w:trPr>
          <w:cantSplit/>
          <w:trHeight w:val="1300" w:hRule="atLeast"/>
          <w:jc w:val="center"/>
        </w:trPr>
        <w:tc>
          <w:tcPr>
            <w:tcW w:w="6453" w:type="dxa"/>
            <w:vAlign w:val="center"/>
          </w:tcPr>
          <w:p w14:paraId="5C7CF5E5">
            <w:pPr>
              <w:rPr>
                <w:highlight w:val="none"/>
              </w:rPr>
            </w:pPr>
            <w:bookmarkStart w:id="0" w:name="OLE_LINK17"/>
            <w:bookmarkStart w:id="1" w:name="OLE_LINK18"/>
            <w:r>
              <w:rPr>
                <w:highlight w:val="none"/>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Pr>
                <w:highlight w:val="none"/>
              </w:rPr>
              <w:instrText xml:space="preserve">ADDIN CNKISM.UserStyle</w:instrText>
            </w:r>
            <w:r>
              <w:rPr>
                <w:highlight w:val="none"/>
              </w:rPr>
              <w:fldChar w:fldCharType="end"/>
            </w:r>
          </w:p>
        </w:tc>
        <w:tc>
          <w:tcPr>
            <w:tcW w:w="3047" w:type="dxa"/>
            <w:vAlign w:val="center"/>
          </w:tcPr>
          <w:p w14:paraId="40F24774">
            <w:pPr>
              <w:rPr>
                <w:highlight w:val="none"/>
              </w:rPr>
            </w:pPr>
          </w:p>
        </w:tc>
      </w:tr>
      <w:tr w14:paraId="2F0101F8">
        <w:tblPrEx>
          <w:tblCellMar>
            <w:top w:w="0" w:type="dxa"/>
            <w:left w:w="28" w:type="dxa"/>
            <w:bottom w:w="0" w:type="dxa"/>
            <w:right w:w="28" w:type="dxa"/>
          </w:tblCellMar>
        </w:tblPrEx>
        <w:trPr>
          <w:trHeight w:val="650" w:hRule="atLeast"/>
          <w:jc w:val="center"/>
        </w:trPr>
        <w:tc>
          <w:tcPr>
            <w:tcW w:w="9500" w:type="dxa"/>
            <w:gridSpan w:val="2"/>
          </w:tcPr>
          <w:p w14:paraId="491E6B23">
            <w:pPr>
              <w:rPr>
                <w:highlight w:val="none"/>
              </w:rPr>
            </w:pPr>
          </w:p>
        </w:tc>
      </w:tr>
      <w:bookmarkEnd w:id="0"/>
      <w:bookmarkEnd w:id="1"/>
    </w:tbl>
    <w:p w14:paraId="54B56248">
      <w:pPr>
        <w:rPr>
          <w:highlight w:val="none"/>
        </w:rPr>
      </w:pPr>
    </w:p>
    <w:p w14:paraId="4D88402B">
      <w:pPr>
        <w:snapToGrid w:val="0"/>
        <w:spacing w:line="360" w:lineRule="auto"/>
        <w:ind w:firstLine="0" w:firstLineChars="0"/>
        <w:jc w:val="center"/>
        <w:rPr>
          <w:b/>
          <w:bCs/>
          <w:sz w:val="48"/>
          <w:szCs w:val="44"/>
          <w:highlight w:val="none"/>
        </w:rPr>
      </w:pPr>
      <w:r>
        <w:rPr>
          <w:rFonts w:hint="eastAsia"/>
          <w:b/>
          <w:bCs/>
          <w:sz w:val="48"/>
          <w:szCs w:val="44"/>
          <w:highlight w:val="none"/>
        </w:rPr>
        <w:t>2025年广州供电局计量中心（基于大模型的智能体能力提升）计量自动化系统主站改造</w:t>
      </w:r>
    </w:p>
    <w:p w14:paraId="7F128D8E">
      <w:pPr>
        <w:snapToGrid w:val="0"/>
        <w:spacing w:line="360" w:lineRule="auto"/>
        <w:ind w:firstLine="0" w:firstLineChars="0"/>
        <w:jc w:val="center"/>
        <w:rPr>
          <w:b/>
          <w:bCs/>
          <w:sz w:val="48"/>
          <w:szCs w:val="44"/>
          <w:highlight w:val="none"/>
        </w:rPr>
      </w:pPr>
      <w:r>
        <w:rPr>
          <w:rFonts w:hint="eastAsia"/>
          <w:b/>
          <w:bCs/>
          <w:sz w:val="48"/>
          <w:szCs w:val="44"/>
          <w:highlight w:val="none"/>
        </w:rPr>
        <w:t>计量自动化系统智能化改造技术规范书</w:t>
      </w:r>
    </w:p>
    <w:p w14:paraId="05CD7BEC">
      <w:pPr>
        <w:rPr>
          <w:highlight w:val="none"/>
        </w:rPr>
      </w:pPr>
    </w:p>
    <w:p w14:paraId="3717BF9D">
      <w:pPr>
        <w:rPr>
          <w:highlight w:val="none"/>
        </w:rPr>
      </w:pPr>
    </w:p>
    <w:p w14:paraId="251EAA53">
      <w:pPr>
        <w:rPr>
          <w:highlight w:val="none"/>
        </w:rPr>
      </w:pPr>
      <w:bookmarkStart w:id="2" w:name="_Toc20516_WPSOffice_Level1"/>
    </w:p>
    <w:p w14:paraId="24790626">
      <w:pPr>
        <w:rPr>
          <w:highlight w:val="none"/>
        </w:rPr>
      </w:pPr>
    </w:p>
    <w:p w14:paraId="51EDAB08">
      <w:pPr>
        <w:rPr>
          <w:highlight w:val="none"/>
        </w:rPr>
      </w:pPr>
    </w:p>
    <w:p w14:paraId="25C739D5">
      <w:pPr>
        <w:rPr>
          <w:highlight w:val="none"/>
        </w:rPr>
      </w:pPr>
    </w:p>
    <w:p w14:paraId="670277BE">
      <w:pPr>
        <w:pStyle w:val="14"/>
        <w:ind w:firstLine="422"/>
        <w:rPr>
          <w:highlight w:val="none"/>
        </w:rPr>
      </w:pPr>
    </w:p>
    <w:p w14:paraId="64B8AC48">
      <w:pPr>
        <w:pStyle w:val="14"/>
        <w:ind w:firstLine="422"/>
        <w:rPr>
          <w:highlight w:val="none"/>
        </w:rPr>
      </w:pPr>
    </w:p>
    <w:bookmarkEnd w:id="2"/>
    <w:p w14:paraId="1BB63474">
      <w:pPr>
        <w:rPr>
          <w:highlight w:val="none"/>
        </w:rPr>
      </w:pPr>
    </w:p>
    <w:p w14:paraId="38070801">
      <w:pPr>
        <w:ind w:firstLine="0" w:firstLineChars="0"/>
        <w:jc w:val="center"/>
        <w:rPr>
          <w:b/>
          <w:bCs/>
          <w:sz w:val="32"/>
          <w:szCs w:val="28"/>
          <w:highlight w:val="none"/>
        </w:rPr>
      </w:pPr>
      <w:r>
        <w:rPr>
          <w:rFonts w:hint="eastAsia"/>
          <w:b/>
          <w:bCs/>
          <w:sz w:val="32"/>
          <w:szCs w:val="28"/>
          <w:highlight w:val="none"/>
        </w:rPr>
        <w:t>广州供电局计量中心</w:t>
      </w:r>
    </w:p>
    <w:p w14:paraId="00CADB3E">
      <w:pPr>
        <w:ind w:firstLine="0" w:firstLineChars="0"/>
        <w:jc w:val="center"/>
        <w:rPr>
          <w:b/>
          <w:bCs/>
          <w:sz w:val="32"/>
          <w:szCs w:val="28"/>
          <w:highlight w:val="none"/>
        </w:rPr>
      </w:pPr>
      <w:bookmarkStart w:id="3" w:name="_Toc30035_WPSOffice_Level1"/>
      <w:r>
        <w:rPr>
          <w:rFonts w:hint="eastAsia"/>
          <w:b/>
          <w:bCs/>
          <w:sz w:val="32"/>
          <w:szCs w:val="28"/>
          <w:highlight w:val="none"/>
        </w:rPr>
        <w:t>2025年5月</w:t>
      </w:r>
      <w:bookmarkEnd w:id="3"/>
    </w:p>
    <w:p w14:paraId="01499AF1">
      <w:pPr>
        <w:rPr>
          <w:highlight w:val="none"/>
        </w:rPr>
      </w:pPr>
    </w:p>
    <w:p w14:paraId="7FC9B29D">
      <w:pPr>
        <w:rPr>
          <w:highlight w:val="none"/>
        </w:rPr>
        <w:sectPr>
          <w:headerReference r:id="rId7" w:type="first"/>
          <w:headerReference r:id="rId5" w:type="default"/>
          <w:headerReference r:id="rId6" w:type="even"/>
          <w:pgSz w:w="11906" w:h="16838"/>
          <w:pgMar w:top="1843" w:right="1418" w:bottom="1418" w:left="1418" w:header="1021" w:footer="1021" w:gutter="0"/>
          <w:pgNumType w:fmt="upperRoman" w:start="1"/>
          <w:cols w:space="425" w:num="1"/>
          <w:docGrid w:linePitch="312" w:charSpace="0"/>
        </w:sectPr>
      </w:pPr>
    </w:p>
    <w:sdt>
      <w:sdtPr>
        <w:rPr>
          <w:rFonts w:ascii="Times New Roman" w:hAnsi="Times New Roman" w:eastAsia="宋体" w:cs="Times New Roman"/>
          <w:color w:val="auto"/>
          <w:kern w:val="2"/>
          <w:sz w:val="24"/>
          <w:szCs w:val="24"/>
          <w:highlight w:val="none"/>
          <w:lang w:val="zh-CN"/>
        </w:rPr>
        <w:id w:val="-2099249612"/>
        <w:docPartObj>
          <w:docPartGallery w:val="Table of Contents"/>
          <w:docPartUnique/>
        </w:docPartObj>
      </w:sdtPr>
      <w:sdtEndPr>
        <w:rPr>
          <w:rFonts w:ascii="Times New Roman" w:hAnsi="Times New Roman" w:eastAsia="宋体" w:cs="Times New Roman"/>
          <w:b/>
          <w:color w:val="auto"/>
          <w:kern w:val="2"/>
          <w:sz w:val="24"/>
          <w:szCs w:val="24"/>
          <w:highlight w:val="none"/>
          <w:lang w:val="zh-CN"/>
        </w:rPr>
      </w:sdtEndPr>
      <w:sdtContent>
        <w:p w14:paraId="77D63D09">
          <w:pPr>
            <w:pStyle w:val="100"/>
            <w:rPr>
              <w:rFonts w:ascii="Times New Roman" w:hAnsi="Times New Roman" w:eastAsia="宋体"/>
              <w:b/>
              <w:color w:val="auto"/>
              <w:sz w:val="24"/>
              <w:szCs w:val="24"/>
              <w:highlight w:val="none"/>
              <w:lang w:val="zh-CN"/>
            </w:rPr>
          </w:pPr>
          <w:r>
            <w:rPr>
              <w:rFonts w:ascii="Times New Roman" w:hAnsi="Times New Roman" w:eastAsia="宋体"/>
              <w:b/>
              <w:color w:val="auto"/>
              <w:sz w:val="24"/>
              <w:szCs w:val="24"/>
              <w:highlight w:val="none"/>
              <w:lang w:val="zh-CN"/>
            </w:rPr>
            <w:t>目</w:t>
          </w:r>
          <w:r>
            <w:rPr>
              <w:rFonts w:hint="eastAsia" w:ascii="Times New Roman" w:hAnsi="Times New Roman" w:eastAsia="宋体"/>
              <w:b/>
              <w:color w:val="auto"/>
              <w:sz w:val="24"/>
              <w:szCs w:val="24"/>
              <w:highlight w:val="none"/>
              <w:lang w:val="zh-CN"/>
            </w:rPr>
            <w:t xml:space="preserve"> </w:t>
          </w:r>
          <w:r>
            <w:rPr>
              <w:rFonts w:ascii="Times New Roman" w:hAnsi="Times New Roman" w:eastAsia="宋体"/>
              <w:b/>
              <w:color w:val="auto"/>
              <w:sz w:val="24"/>
              <w:szCs w:val="24"/>
              <w:highlight w:val="none"/>
              <w:lang w:val="zh-CN"/>
            </w:rPr>
            <w:t>录</w:t>
          </w:r>
        </w:p>
        <w:p w14:paraId="70F0677F">
          <w:pPr>
            <w:pStyle w:val="38"/>
            <w:tabs>
              <w:tab w:val="right" w:leader="dot" w:pos="9070"/>
            </w:tabs>
            <w:rPr>
              <w:highlight w:val="none"/>
            </w:rPr>
          </w:pPr>
          <w:r>
            <w:rPr>
              <w:highlight w:val="none"/>
            </w:rPr>
            <w:fldChar w:fldCharType="begin"/>
          </w:r>
          <w:r>
            <w:rPr>
              <w:highlight w:val="none"/>
            </w:rPr>
            <w:instrText xml:space="preserve"> TOC \o "1-3" \h \z \u </w:instrText>
          </w:r>
          <w:r>
            <w:rPr>
              <w:highlight w:val="none"/>
            </w:rPr>
            <w:fldChar w:fldCharType="separate"/>
          </w:r>
          <w:r>
            <w:rPr>
              <w:highlight w:val="none"/>
            </w:rPr>
            <w:fldChar w:fldCharType="begin"/>
          </w:r>
          <w:r>
            <w:rPr>
              <w:highlight w:val="none"/>
            </w:rPr>
            <w:instrText xml:space="preserve"> HYPERLINK \l "_Toc30804" </w:instrText>
          </w:r>
          <w:r>
            <w:rPr>
              <w:highlight w:val="none"/>
            </w:rPr>
            <w:fldChar w:fldCharType="separate"/>
          </w:r>
          <w:r>
            <w:rPr>
              <w:highlight w:val="none"/>
            </w:rPr>
            <w:t xml:space="preserve">1 </w:t>
          </w:r>
          <w:r>
            <w:rPr>
              <w:rFonts w:hint="eastAsia"/>
              <w:highlight w:val="none"/>
            </w:rPr>
            <w:t>总则</w:t>
          </w:r>
          <w:r>
            <w:rPr>
              <w:highlight w:val="none"/>
            </w:rPr>
            <w:tab/>
          </w:r>
          <w:r>
            <w:rPr>
              <w:highlight w:val="none"/>
            </w:rPr>
            <w:fldChar w:fldCharType="begin"/>
          </w:r>
          <w:r>
            <w:rPr>
              <w:highlight w:val="none"/>
            </w:rPr>
            <w:instrText xml:space="preserve"> PAGEREF _Toc30804 \h </w:instrText>
          </w:r>
          <w:r>
            <w:rPr>
              <w:highlight w:val="none"/>
            </w:rPr>
            <w:fldChar w:fldCharType="separate"/>
          </w:r>
          <w:r>
            <w:rPr>
              <w:highlight w:val="none"/>
            </w:rPr>
            <w:t>4</w:t>
          </w:r>
          <w:r>
            <w:rPr>
              <w:highlight w:val="none"/>
            </w:rPr>
            <w:fldChar w:fldCharType="end"/>
          </w:r>
          <w:r>
            <w:rPr>
              <w:highlight w:val="none"/>
            </w:rPr>
            <w:fldChar w:fldCharType="end"/>
          </w:r>
        </w:p>
        <w:p w14:paraId="51BF5C43">
          <w:pPr>
            <w:pStyle w:val="38"/>
            <w:tabs>
              <w:tab w:val="right" w:leader="dot" w:pos="9070"/>
            </w:tabs>
            <w:rPr>
              <w:highlight w:val="none"/>
            </w:rPr>
          </w:pPr>
          <w:r>
            <w:rPr>
              <w:highlight w:val="none"/>
            </w:rPr>
            <w:fldChar w:fldCharType="begin"/>
          </w:r>
          <w:r>
            <w:rPr>
              <w:highlight w:val="none"/>
            </w:rPr>
            <w:instrText xml:space="preserve"> HYPERLINK \l "_Toc15735" </w:instrText>
          </w:r>
          <w:r>
            <w:rPr>
              <w:highlight w:val="none"/>
            </w:rPr>
            <w:fldChar w:fldCharType="separate"/>
          </w:r>
          <w:r>
            <w:rPr>
              <w:highlight w:val="none"/>
            </w:rPr>
            <w:t xml:space="preserve">2 </w:t>
          </w:r>
          <w:r>
            <w:rPr>
              <w:rFonts w:hint="eastAsia"/>
              <w:highlight w:val="none"/>
            </w:rPr>
            <w:t>技术投标编制文件要求</w:t>
          </w:r>
          <w:r>
            <w:rPr>
              <w:highlight w:val="none"/>
            </w:rPr>
            <w:tab/>
          </w:r>
          <w:r>
            <w:rPr>
              <w:highlight w:val="none"/>
            </w:rPr>
            <w:fldChar w:fldCharType="begin"/>
          </w:r>
          <w:r>
            <w:rPr>
              <w:highlight w:val="none"/>
            </w:rPr>
            <w:instrText xml:space="preserve"> PAGEREF _Toc15735 \h </w:instrText>
          </w:r>
          <w:r>
            <w:rPr>
              <w:highlight w:val="none"/>
            </w:rPr>
            <w:fldChar w:fldCharType="separate"/>
          </w:r>
          <w:r>
            <w:rPr>
              <w:highlight w:val="none"/>
            </w:rPr>
            <w:t>5</w:t>
          </w:r>
          <w:r>
            <w:rPr>
              <w:highlight w:val="none"/>
            </w:rPr>
            <w:fldChar w:fldCharType="end"/>
          </w:r>
          <w:r>
            <w:rPr>
              <w:highlight w:val="none"/>
            </w:rPr>
            <w:fldChar w:fldCharType="end"/>
          </w:r>
        </w:p>
        <w:p w14:paraId="35434A30">
          <w:pPr>
            <w:pStyle w:val="38"/>
            <w:tabs>
              <w:tab w:val="right" w:leader="dot" w:pos="9070"/>
            </w:tabs>
            <w:rPr>
              <w:highlight w:val="none"/>
            </w:rPr>
          </w:pPr>
          <w:r>
            <w:rPr>
              <w:highlight w:val="none"/>
            </w:rPr>
            <w:fldChar w:fldCharType="begin"/>
          </w:r>
          <w:r>
            <w:rPr>
              <w:highlight w:val="none"/>
            </w:rPr>
            <w:instrText xml:space="preserve"> HYPERLINK \l "_Toc29804" </w:instrText>
          </w:r>
          <w:r>
            <w:rPr>
              <w:highlight w:val="none"/>
            </w:rPr>
            <w:fldChar w:fldCharType="separate"/>
          </w:r>
          <w:r>
            <w:rPr>
              <w:highlight w:val="none"/>
            </w:rPr>
            <w:t xml:space="preserve">3 </w:t>
          </w:r>
          <w:r>
            <w:rPr>
              <w:rFonts w:hint="eastAsia"/>
              <w:highlight w:val="none"/>
            </w:rPr>
            <w:t>遵循标准</w:t>
          </w:r>
          <w:r>
            <w:rPr>
              <w:highlight w:val="none"/>
            </w:rPr>
            <w:tab/>
          </w:r>
          <w:r>
            <w:rPr>
              <w:highlight w:val="none"/>
            </w:rPr>
            <w:fldChar w:fldCharType="begin"/>
          </w:r>
          <w:r>
            <w:rPr>
              <w:highlight w:val="none"/>
            </w:rPr>
            <w:instrText xml:space="preserve"> PAGEREF _Toc29804 \h </w:instrText>
          </w:r>
          <w:r>
            <w:rPr>
              <w:highlight w:val="none"/>
            </w:rPr>
            <w:fldChar w:fldCharType="separate"/>
          </w:r>
          <w:r>
            <w:rPr>
              <w:highlight w:val="none"/>
            </w:rPr>
            <w:t>6</w:t>
          </w:r>
          <w:r>
            <w:rPr>
              <w:highlight w:val="none"/>
            </w:rPr>
            <w:fldChar w:fldCharType="end"/>
          </w:r>
          <w:r>
            <w:rPr>
              <w:highlight w:val="none"/>
            </w:rPr>
            <w:fldChar w:fldCharType="end"/>
          </w:r>
        </w:p>
        <w:p w14:paraId="7181D0BA">
          <w:pPr>
            <w:pStyle w:val="38"/>
            <w:tabs>
              <w:tab w:val="right" w:leader="dot" w:pos="9070"/>
            </w:tabs>
            <w:rPr>
              <w:highlight w:val="none"/>
            </w:rPr>
          </w:pPr>
          <w:r>
            <w:rPr>
              <w:highlight w:val="none"/>
            </w:rPr>
            <w:fldChar w:fldCharType="begin"/>
          </w:r>
          <w:r>
            <w:rPr>
              <w:highlight w:val="none"/>
            </w:rPr>
            <w:instrText xml:space="preserve"> HYPERLINK \l "_Toc8739" </w:instrText>
          </w:r>
          <w:r>
            <w:rPr>
              <w:highlight w:val="none"/>
            </w:rPr>
            <w:fldChar w:fldCharType="separate"/>
          </w:r>
          <w:r>
            <w:rPr>
              <w:highlight w:val="none"/>
            </w:rPr>
            <w:t xml:space="preserve">4 </w:t>
          </w:r>
          <w:r>
            <w:rPr>
              <w:rFonts w:hint="eastAsia"/>
              <w:highlight w:val="none"/>
            </w:rPr>
            <w:t>采购清单</w:t>
          </w:r>
          <w:r>
            <w:rPr>
              <w:highlight w:val="none"/>
            </w:rPr>
            <w:tab/>
          </w:r>
          <w:r>
            <w:rPr>
              <w:highlight w:val="none"/>
            </w:rPr>
            <w:fldChar w:fldCharType="begin"/>
          </w:r>
          <w:r>
            <w:rPr>
              <w:highlight w:val="none"/>
            </w:rPr>
            <w:instrText xml:space="preserve"> PAGEREF _Toc8739 \h </w:instrText>
          </w:r>
          <w:r>
            <w:rPr>
              <w:highlight w:val="none"/>
            </w:rPr>
            <w:fldChar w:fldCharType="separate"/>
          </w:r>
          <w:r>
            <w:rPr>
              <w:highlight w:val="none"/>
            </w:rPr>
            <w:t>7</w:t>
          </w:r>
          <w:r>
            <w:rPr>
              <w:highlight w:val="none"/>
            </w:rPr>
            <w:fldChar w:fldCharType="end"/>
          </w:r>
          <w:r>
            <w:rPr>
              <w:highlight w:val="none"/>
            </w:rPr>
            <w:fldChar w:fldCharType="end"/>
          </w:r>
        </w:p>
        <w:p w14:paraId="1C315FBE">
          <w:pPr>
            <w:pStyle w:val="38"/>
            <w:tabs>
              <w:tab w:val="right" w:leader="dot" w:pos="9070"/>
            </w:tabs>
            <w:rPr>
              <w:highlight w:val="none"/>
            </w:rPr>
          </w:pPr>
          <w:r>
            <w:rPr>
              <w:highlight w:val="none"/>
            </w:rPr>
            <w:fldChar w:fldCharType="begin"/>
          </w:r>
          <w:r>
            <w:rPr>
              <w:highlight w:val="none"/>
            </w:rPr>
            <w:instrText xml:space="preserve"> HYPERLINK \l "_Toc12329" </w:instrText>
          </w:r>
          <w:r>
            <w:rPr>
              <w:highlight w:val="none"/>
            </w:rPr>
            <w:fldChar w:fldCharType="separate"/>
          </w:r>
          <w:r>
            <w:rPr>
              <w:highlight w:val="none"/>
            </w:rPr>
            <w:t xml:space="preserve">5 </w:t>
          </w:r>
          <w:r>
            <w:rPr>
              <w:rFonts w:hint="eastAsia"/>
              <w:highlight w:val="none"/>
            </w:rPr>
            <w:t>项目总体建设内容及要求</w:t>
          </w:r>
          <w:r>
            <w:rPr>
              <w:highlight w:val="none"/>
            </w:rPr>
            <w:tab/>
          </w:r>
          <w:r>
            <w:rPr>
              <w:highlight w:val="none"/>
            </w:rPr>
            <w:fldChar w:fldCharType="begin"/>
          </w:r>
          <w:r>
            <w:rPr>
              <w:highlight w:val="none"/>
            </w:rPr>
            <w:instrText xml:space="preserve"> PAGEREF _Toc12329 \h </w:instrText>
          </w:r>
          <w:r>
            <w:rPr>
              <w:highlight w:val="none"/>
            </w:rPr>
            <w:fldChar w:fldCharType="separate"/>
          </w:r>
          <w:r>
            <w:rPr>
              <w:highlight w:val="none"/>
            </w:rPr>
            <w:t>8</w:t>
          </w:r>
          <w:r>
            <w:rPr>
              <w:highlight w:val="none"/>
            </w:rPr>
            <w:fldChar w:fldCharType="end"/>
          </w:r>
          <w:r>
            <w:rPr>
              <w:highlight w:val="none"/>
            </w:rPr>
            <w:fldChar w:fldCharType="end"/>
          </w:r>
        </w:p>
        <w:p w14:paraId="2D32AC5B">
          <w:pPr>
            <w:pStyle w:val="44"/>
            <w:tabs>
              <w:tab w:val="right" w:leader="dot" w:pos="9070"/>
            </w:tabs>
            <w:ind w:left="480"/>
            <w:rPr>
              <w:highlight w:val="none"/>
            </w:rPr>
          </w:pPr>
          <w:r>
            <w:rPr>
              <w:highlight w:val="none"/>
            </w:rPr>
            <w:fldChar w:fldCharType="begin"/>
          </w:r>
          <w:r>
            <w:rPr>
              <w:highlight w:val="none"/>
            </w:rPr>
            <w:instrText xml:space="preserve"> HYPERLINK \l "_Toc21445" </w:instrText>
          </w:r>
          <w:r>
            <w:rPr>
              <w:highlight w:val="none"/>
            </w:rPr>
            <w:fldChar w:fldCharType="separate"/>
          </w:r>
          <w:r>
            <w:rPr>
              <w:rFonts w:cs="宋体"/>
              <w:highlight w:val="none"/>
            </w:rPr>
            <w:t xml:space="preserve">5.1 </w:t>
          </w:r>
          <w:r>
            <w:rPr>
              <w:highlight w:val="none"/>
            </w:rPr>
            <w:t>总体架构</w:t>
          </w:r>
          <w:r>
            <w:rPr>
              <w:highlight w:val="none"/>
            </w:rPr>
            <w:tab/>
          </w:r>
          <w:r>
            <w:rPr>
              <w:highlight w:val="none"/>
            </w:rPr>
            <w:fldChar w:fldCharType="begin"/>
          </w:r>
          <w:r>
            <w:rPr>
              <w:highlight w:val="none"/>
            </w:rPr>
            <w:instrText xml:space="preserve"> PAGEREF _Toc21445 \h </w:instrText>
          </w:r>
          <w:r>
            <w:rPr>
              <w:highlight w:val="none"/>
            </w:rPr>
            <w:fldChar w:fldCharType="separate"/>
          </w:r>
          <w:r>
            <w:rPr>
              <w:highlight w:val="none"/>
            </w:rPr>
            <w:t>8</w:t>
          </w:r>
          <w:r>
            <w:rPr>
              <w:highlight w:val="none"/>
            </w:rPr>
            <w:fldChar w:fldCharType="end"/>
          </w:r>
          <w:r>
            <w:rPr>
              <w:highlight w:val="none"/>
            </w:rPr>
            <w:fldChar w:fldCharType="end"/>
          </w:r>
        </w:p>
        <w:p w14:paraId="0C0AD89B">
          <w:pPr>
            <w:pStyle w:val="44"/>
            <w:tabs>
              <w:tab w:val="right" w:leader="dot" w:pos="9070"/>
            </w:tabs>
            <w:ind w:left="480"/>
            <w:rPr>
              <w:highlight w:val="none"/>
            </w:rPr>
          </w:pPr>
          <w:r>
            <w:rPr>
              <w:highlight w:val="none"/>
            </w:rPr>
            <w:fldChar w:fldCharType="begin"/>
          </w:r>
          <w:r>
            <w:rPr>
              <w:highlight w:val="none"/>
            </w:rPr>
            <w:instrText xml:space="preserve"> HYPERLINK \l "_Toc1622" </w:instrText>
          </w:r>
          <w:r>
            <w:rPr>
              <w:highlight w:val="none"/>
            </w:rPr>
            <w:fldChar w:fldCharType="separate"/>
          </w:r>
          <w:r>
            <w:rPr>
              <w:rFonts w:cs="宋体"/>
              <w:highlight w:val="none"/>
            </w:rPr>
            <w:t xml:space="preserve">5.2 </w:t>
          </w:r>
          <w:r>
            <w:rPr>
              <w:rFonts w:hint="eastAsia"/>
              <w:highlight w:val="none"/>
            </w:rPr>
            <w:t>物理架构</w:t>
          </w:r>
          <w:r>
            <w:rPr>
              <w:highlight w:val="none"/>
            </w:rPr>
            <w:tab/>
          </w:r>
          <w:r>
            <w:rPr>
              <w:highlight w:val="none"/>
            </w:rPr>
            <w:fldChar w:fldCharType="begin"/>
          </w:r>
          <w:r>
            <w:rPr>
              <w:highlight w:val="none"/>
            </w:rPr>
            <w:instrText xml:space="preserve"> PAGEREF _Toc1622 \h </w:instrText>
          </w:r>
          <w:r>
            <w:rPr>
              <w:highlight w:val="none"/>
            </w:rPr>
            <w:fldChar w:fldCharType="separate"/>
          </w:r>
          <w:r>
            <w:rPr>
              <w:highlight w:val="none"/>
            </w:rPr>
            <w:t>8</w:t>
          </w:r>
          <w:r>
            <w:rPr>
              <w:highlight w:val="none"/>
            </w:rPr>
            <w:fldChar w:fldCharType="end"/>
          </w:r>
          <w:r>
            <w:rPr>
              <w:highlight w:val="none"/>
            </w:rPr>
            <w:fldChar w:fldCharType="end"/>
          </w:r>
        </w:p>
        <w:p w14:paraId="172478F8">
          <w:pPr>
            <w:pStyle w:val="44"/>
            <w:tabs>
              <w:tab w:val="right" w:leader="dot" w:pos="9070"/>
            </w:tabs>
            <w:ind w:left="480"/>
            <w:rPr>
              <w:highlight w:val="none"/>
            </w:rPr>
          </w:pPr>
          <w:r>
            <w:rPr>
              <w:highlight w:val="none"/>
            </w:rPr>
            <w:fldChar w:fldCharType="begin"/>
          </w:r>
          <w:r>
            <w:rPr>
              <w:highlight w:val="none"/>
            </w:rPr>
            <w:instrText xml:space="preserve"> HYPERLINK \l "_Toc17191" </w:instrText>
          </w:r>
          <w:r>
            <w:rPr>
              <w:highlight w:val="none"/>
            </w:rPr>
            <w:fldChar w:fldCharType="separate"/>
          </w:r>
          <w:r>
            <w:rPr>
              <w:rFonts w:cs="宋体"/>
              <w:highlight w:val="none"/>
            </w:rPr>
            <w:t xml:space="preserve">5.3 </w:t>
          </w:r>
          <w:r>
            <w:rPr>
              <w:rFonts w:hint="eastAsia"/>
              <w:highlight w:val="none"/>
            </w:rPr>
            <w:t>安全架构</w:t>
          </w:r>
          <w:r>
            <w:rPr>
              <w:highlight w:val="none"/>
            </w:rPr>
            <w:tab/>
          </w:r>
          <w:r>
            <w:rPr>
              <w:highlight w:val="none"/>
            </w:rPr>
            <w:fldChar w:fldCharType="begin"/>
          </w:r>
          <w:r>
            <w:rPr>
              <w:highlight w:val="none"/>
            </w:rPr>
            <w:instrText xml:space="preserve"> PAGEREF _Toc17191 \h </w:instrText>
          </w:r>
          <w:r>
            <w:rPr>
              <w:highlight w:val="none"/>
            </w:rPr>
            <w:fldChar w:fldCharType="separate"/>
          </w:r>
          <w:r>
            <w:rPr>
              <w:highlight w:val="none"/>
            </w:rPr>
            <w:t>9</w:t>
          </w:r>
          <w:r>
            <w:rPr>
              <w:highlight w:val="none"/>
            </w:rPr>
            <w:fldChar w:fldCharType="end"/>
          </w:r>
          <w:r>
            <w:rPr>
              <w:highlight w:val="none"/>
            </w:rPr>
            <w:fldChar w:fldCharType="end"/>
          </w:r>
        </w:p>
        <w:p w14:paraId="6D418095">
          <w:pPr>
            <w:pStyle w:val="29"/>
            <w:tabs>
              <w:tab w:val="right" w:leader="dot" w:pos="9070"/>
            </w:tabs>
            <w:ind w:left="960"/>
            <w:rPr>
              <w:highlight w:val="none"/>
            </w:rPr>
          </w:pPr>
          <w:r>
            <w:rPr>
              <w:highlight w:val="none"/>
            </w:rPr>
            <w:fldChar w:fldCharType="begin"/>
          </w:r>
          <w:r>
            <w:rPr>
              <w:highlight w:val="none"/>
            </w:rPr>
            <w:instrText xml:space="preserve"> HYPERLINK \l "_Toc18707" </w:instrText>
          </w:r>
          <w:r>
            <w:rPr>
              <w:highlight w:val="none"/>
            </w:rPr>
            <w:fldChar w:fldCharType="separate"/>
          </w:r>
          <w:r>
            <w:rPr>
              <w:highlight w:val="none"/>
            </w:rPr>
            <w:t xml:space="preserve">5.3.1 </w:t>
          </w:r>
          <w:r>
            <w:rPr>
              <w:rFonts w:hint="eastAsia"/>
              <w:highlight w:val="none"/>
            </w:rPr>
            <w:t>网络安全方案</w:t>
          </w:r>
          <w:r>
            <w:rPr>
              <w:highlight w:val="none"/>
            </w:rPr>
            <w:tab/>
          </w:r>
          <w:r>
            <w:rPr>
              <w:highlight w:val="none"/>
            </w:rPr>
            <w:fldChar w:fldCharType="begin"/>
          </w:r>
          <w:r>
            <w:rPr>
              <w:highlight w:val="none"/>
            </w:rPr>
            <w:instrText xml:space="preserve"> PAGEREF _Toc18707 \h </w:instrText>
          </w:r>
          <w:r>
            <w:rPr>
              <w:highlight w:val="none"/>
            </w:rPr>
            <w:fldChar w:fldCharType="separate"/>
          </w:r>
          <w:r>
            <w:rPr>
              <w:highlight w:val="none"/>
            </w:rPr>
            <w:t>9</w:t>
          </w:r>
          <w:r>
            <w:rPr>
              <w:highlight w:val="none"/>
            </w:rPr>
            <w:fldChar w:fldCharType="end"/>
          </w:r>
          <w:r>
            <w:rPr>
              <w:highlight w:val="none"/>
            </w:rPr>
            <w:fldChar w:fldCharType="end"/>
          </w:r>
        </w:p>
        <w:p w14:paraId="04EEC0B4">
          <w:pPr>
            <w:pStyle w:val="29"/>
            <w:tabs>
              <w:tab w:val="right" w:leader="dot" w:pos="9070"/>
            </w:tabs>
            <w:ind w:left="960"/>
            <w:rPr>
              <w:highlight w:val="none"/>
            </w:rPr>
          </w:pPr>
          <w:r>
            <w:rPr>
              <w:highlight w:val="none"/>
            </w:rPr>
            <w:fldChar w:fldCharType="begin"/>
          </w:r>
          <w:r>
            <w:rPr>
              <w:highlight w:val="none"/>
            </w:rPr>
            <w:instrText xml:space="preserve"> HYPERLINK \l "_Toc5220" </w:instrText>
          </w:r>
          <w:r>
            <w:rPr>
              <w:highlight w:val="none"/>
            </w:rPr>
            <w:fldChar w:fldCharType="separate"/>
          </w:r>
          <w:r>
            <w:rPr>
              <w:highlight w:val="none"/>
            </w:rPr>
            <w:t>5.3.2 第三方测试</w:t>
          </w:r>
          <w:r>
            <w:rPr>
              <w:highlight w:val="none"/>
            </w:rPr>
            <w:tab/>
          </w:r>
          <w:r>
            <w:rPr>
              <w:highlight w:val="none"/>
            </w:rPr>
            <w:fldChar w:fldCharType="begin"/>
          </w:r>
          <w:r>
            <w:rPr>
              <w:highlight w:val="none"/>
            </w:rPr>
            <w:instrText xml:space="preserve"> PAGEREF _Toc5220 \h </w:instrText>
          </w:r>
          <w:r>
            <w:rPr>
              <w:highlight w:val="none"/>
            </w:rPr>
            <w:fldChar w:fldCharType="separate"/>
          </w:r>
          <w:r>
            <w:rPr>
              <w:highlight w:val="none"/>
            </w:rPr>
            <w:t>11</w:t>
          </w:r>
          <w:r>
            <w:rPr>
              <w:highlight w:val="none"/>
            </w:rPr>
            <w:fldChar w:fldCharType="end"/>
          </w:r>
          <w:r>
            <w:rPr>
              <w:highlight w:val="none"/>
            </w:rPr>
            <w:fldChar w:fldCharType="end"/>
          </w:r>
        </w:p>
        <w:p w14:paraId="56637482">
          <w:pPr>
            <w:pStyle w:val="29"/>
            <w:tabs>
              <w:tab w:val="right" w:leader="dot" w:pos="9070"/>
            </w:tabs>
            <w:ind w:left="960"/>
            <w:rPr>
              <w:highlight w:val="none"/>
            </w:rPr>
          </w:pPr>
          <w:r>
            <w:rPr>
              <w:highlight w:val="none"/>
            </w:rPr>
            <w:fldChar w:fldCharType="begin"/>
          </w:r>
          <w:r>
            <w:rPr>
              <w:highlight w:val="none"/>
            </w:rPr>
            <w:instrText xml:space="preserve"> HYPERLINK \l "_Toc9382" </w:instrText>
          </w:r>
          <w:r>
            <w:rPr>
              <w:highlight w:val="none"/>
            </w:rPr>
            <w:fldChar w:fldCharType="separate"/>
          </w:r>
          <w:r>
            <w:rPr>
              <w:highlight w:val="none"/>
            </w:rPr>
            <w:t>5.3.3 网络安全等级评测</w:t>
          </w:r>
          <w:r>
            <w:rPr>
              <w:highlight w:val="none"/>
            </w:rPr>
            <w:tab/>
          </w:r>
          <w:r>
            <w:rPr>
              <w:highlight w:val="none"/>
            </w:rPr>
            <w:fldChar w:fldCharType="begin"/>
          </w:r>
          <w:r>
            <w:rPr>
              <w:highlight w:val="none"/>
            </w:rPr>
            <w:instrText xml:space="preserve"> PAGEREF _Toc9382 \h </w:instrText>
          </w:r>
          <w:r>
            <w:rPr>
              <w:highlight w:val="none"/>
            </w:rPr>
            <w:fldChar w:fldCharType="separate"/>
          </w:r>
          <w:r>
            <w:rPr>
              <w:highlight w:val="none"/>
            </w:rPr>
            <w:t>11</w:t>
          </w:r>
          <w:r>
            <w:rPr>
              <w:highlight w:val="none"/>
            </w:rPr>
            <w:fldChar w:fldCharType="end"/>
          </w:r>
          <w:r>
            <w:rPr>
              <w:highlight w:val="none"/>
            </w:rPr>
            <w:fldChar w:fldCharType="end"/>
          </w:r>
        </w:p>
        <w:p w14:paraId="40798521">
          <w:pPr>
            <w:pStyle w:val="29"/>
            <w:tabs>
              <w:tab w:val="right" w:leader="dot" w:pos="9070"/>
            </w:tabs>
            <w:ind w:left="960"/>
            <w:rPr>
              <w:highlight w:val="none"/>
            </w:rPr>
          </w:pPr>
          <w:r>
            <w:rPr>
              <w:highlight w:val="none"/>
            </w:rPr>
            <w:fldChar w:fldCharType="begin"/>
          </w:r>
          <w:r>
            <w:rPr>
              <w:highlight w:val="none"/>
            </w:rPr>
            <w:instrText xml:space="preserve"> HYPERLINK \l "_Toc16623" </w:instrText>
          </w:r>
          <w:r>
            <w:rPr>
              <w:highlight w:val="none"/>
            </w:rPr>
            <w:fldChar w:fldCharType="separate"/>
          </w:r>
          <w:r>
            <w:rPr>
              <w:highlight w:val="none"/>
            </w:rPr>
            <w:t>5.3.4 入网安评检测</w:t>
          </w:r>
          <w:r>
            <w:rPr>
              <w:highlight w:val="none"/>
            </w:rPr>
            <w:tab/>
          </w:r>
          <w:r>
            <w:rPr>
              <w:highlight w:val="none"/>
            </w:rPr>
            <w:fldChar w:fldCharType="begin"/>
          </w:r>
          <w:r>
            <w:rPr>
              <w:highlight w:val="none"/>
            </w:rPr>
            <w:instrText xml:space="preserve"> PAGEREF _Toc16623 \h </w:instrText>
          </w:r>
          <w:r>
            <w:rPr>
              <w:highlight w:val="none"/>
            </w:rPr>
            <w:fldChar w:fldCharType="separate"/>
          </w:r>
          <w:r>
            <w:rPr>
              <w:highlight w:val="none"/>
            </w:rPr>
            <w:t>11</w:t>
          </w:r>
          <w:r>
            <w:rPr>
              <w:highlight w:val="none"/>
            </w:rPr>
            <w:fldChar w:fldCharType="end"/>
          </w:r>
          <w:r>
            <w:rPr>
              <w:highlight w:val="none"/>
            </w:rPr>
            <w:fldChar w:fldCharType="end"/>
          </w:r>
        </w:p>
        <w:p w14:paraId="10F51E08">
          <w:pPr>
            <w:pStyle w:val="29"/>
            <w:tabs>
              <w:tab w:val="right" w:leader="dot" w:pos="9070"/>
            </w:tabs>
            <w:ind w:left="960"/>
            <w:rPr>
              <w:highlight w:val="none"/>
            </w:rPr>
          </w:pPr>
          <w:r>
            <w:rPr>
              <w:highlight w:val="none"/>
            </w:rPr>
            <w:fldChar w:fldCharType="begin"/>
          </w:r>
          <w:r>
            <w:rPr>
              <w:highlight w:val="none"/>
            </w:rPr>
            <w:instrText xml:space="preserve"> HYPERLINK \l "_Toc22996" </w:instrText>
          </w:r>
          <w:r>
            <w:rPr>
              <w:highlight w:val="none"/>
            </w:rPr>
            <w:fldChar w:fldCharType="separate"/>
          </w:r>
          <w:r>
            <w:rPr>
              <w:highlight w:val="none"/>
            </w:rPr>
            <w:t>5.3.5 源代码审查</w:t>
          </w:r>
          <w:r>
            <w:rPr>
              <w:highlight w:val="none"/>
            </w:rPr>
            <w:tab/>
          </w:r>
          <w:r>
            <w:rPr>
              <w:highlight w:val="none"/>
            </w:rPr>
            <w:fldChar w:fldCharType="begin"/>
          </w:r>
          <w:r>
            <w:rPr>
              <w:highlight w:val="none"/>
            </w:rPr>
            <w:instrText xml:space="preserve"> PAGEREF _Toc22996 \h </w:instrText>
          </w:r>
          <w:r>
            <w:rPr>
              <w:highlight w:val="none"/>
            </w:rPr>
            <w:fldChar w:fldCharType="separate"/>
          </w:r>
          <w:r>
            <w:rPr>
              <w:highlight w:val="none"/>
            </w:rPr>
            <w:t>11</w:t>
          </w:r>
          <w:r>
            <w:rPr>
              <w:highlight w:val="none"/>
            </w:rPr>
            <w:fldChar w:fldCharType="end"/>
          </w:r>
          <w:r>
            <w:rPr>
              <w:highlight w:val="none"/>
            </w:rPr>
            <w:fldChar w:fldCharType="end"/>
          </w:r>
        </w:p>
        <w:p w14:paraId="268DC09F">
          <w:pPr>
            <w:pStyle w:val="29"/>
            <w:tabs>
              <w:tab w:val="right" w:leader="dot" w:pos="9070"/>
            </w:tabs>
            <w:ind w:left="960"/>
            <w:rPr>
              <w:highlight w:val="none"/>
            </w:rPr>
          </w:pPr>
          <w:r>
            <w:rPr>
              <w:highlight w:val="none"/>
            </w:rPr>
            <w:fldChar w:fldCharType="begin"/>
          </w:r>
          <w:r>
            <w:rPr>
              <w:highlight w:val="none"/>
            </w:rPr>
            <w:instrText xml:space="preserve"> HYPERLINK \l "_Toc1817" </w:instrText>
          </w:r>
          <w:r>
            <w:rPr>
              <w:highlight w:val="none"/>
            </w:rPr>
            <w:fldChar w:fldCharType="separate"/>
          </w:r>
          <w:r>
            <w:rPr>
              <w:highlight w:val="none"/>
            </w:rPr>
            <w:t xml:space="preserve">5.3.6 </w:t>
          </w:r>
          <w:r>
            <w:rPr>
              <w:rFonts w:hint="eastAsia"/>
              <w:highlight w:val="none"/>
            </w:rPr>
            <w:t>商用密码应用安全性评估</w:t>
          </w:r>
          <w:r>
            <w:rPr>
              <w:highlight w:val="none"/>
            </w:rPr>
            <w:tab/>
          </w:r>
          <w:r>
            <w:rPr>
              <w:highlight w:val="none"/>
            </w:rPr>
            <w:fldChar w:fldCharType="begin"/>
          </w:r>
          <w:r>
            <w:rPr>
              <w:highlight w:val="none"/>
            </w:rPr>
            <w:instrText xml:space="preserve"> PAGEREF _Toc1817 \h </w:instrText>
          </w:r>
          <w:r>
            <w:rPr>
              <w:highlight w:val="none"/>
            </w:rPr>
            <w:fldChar w:fldCharType="separate"/>
          </w:r>
          <w:r>
            <w:rPr>
              <w:highlight w:val="none"/>
            </w:rPr>
            <w:t>12</w:t>
          </w:r>
          <w:r>
            <w:rPr>
              <w:highlight w:val="none"/>
            </w:rPr>
            <w:fldChar w:fldCharType="end"/>
          </w:r>
          <w:r>
            <w:rPr>
              <w:highlight w:val="none"/>
            </w:rPr>
            <w:fldChar w:fldCharType="end"/>
          </w:r>
        </w:p>
        <w:p w14:paraId="27235194">
          <w:pPr>
            <w:pStyle w:val="44"/>
            <w:tabs>
              <w:tab w:val="right" w:leader="dot" w:pos="9070"/>
            </w:tabs>
            <w:ind w:left="480"/>
            <w:rPr>
              <w:highlight w:val="none"/>
            </w:rPr>
          </w:pPr>
          <w:r>
            <w:rPr>
              <w:highlight w:val="none"/>
            </w:rPr>
            <w:fldChar w:fldCharType="begin"/>
          </w:r>
          <w:r>
            <w:rPr>
              <w:highlight w:val="none"/>
            </w:rPr>
            <w:instrText xml:space="preserve"> HYPERLINK \l "_Toc5086" </w:instrText>
          </w:r>
          <w:r>
            <w:rPr>
              <w:highlight w:val="none"/>
            </w:rPr>
            <w:fldChar w:fldCharType="separate"/>
          </w:r>
          <w:r>
            <w:rPr>
              <w:rFonts w:cs="宋体"/>
              <w:highlight w:val="none"/>
            </w:rPr>
            <w:t xml:space="preserve">5.4 </w:t>
          </w:r>
          <w:r>
            <w:rPr>
              <w:rFonts w:hint="eastAsia"/>
              <w:highlight w:val="none"/>
            </w:rPr>
            <w:t>技术路线</w:t>
          </w:r>
          <w:r>
            <w:rPr>
              <w:highlight w:val="none"/>
            </w:rPr>
            <w:tab/>
          </w:r>
          <w:r>
            <w:rPr>
              <w:highlight w:val="none"/>
            </w:rPr>
            <w:fldChar w:fldCharType="begin"/>
          </w:r>
          <w:r>
            <w:rPr>
              <w:highlight w:val="none"/>
            </w:rPr>
            <w:instrText xml:space="preserve"> PAGEREF _Toc5086 \h </w:instrText>
          </w:r>
          <w:r>
            <w:rPr>
              <w:highlight w:val="none"/>
            </w:rPr>
            <w:fldChar w:fldCharType="separate"/>
          </w:r>
          <w:r>
            <w:rPr>
              <w:highlight w:val="none"/>
            </w:rPr>
            <w:t>12</w:t>
          </w:r>
          <w:r>
            <w:rPr>
              <w:highlight w:val="none"/>
            </w:rPr>
            <w:fldChar w:fldCharType="end"/>
          </w:r>
          <w:r>
            <w:rPr>
              <w:highlight w:val="none"/>
            </w:rPr>
            <w:fldChar w:fldCharType="end"/>
          </w:r>
        </w:p>
        <w:p w14:paraId="10FD6EFD">
          <w:pPr>
            <w:pStyle w:val="44"/>
            <w:tabs>
              <w:tab w:val="right" w:leader="dot" w:pos="9070"/>
            </w:tabs>
            <w:ind w:left="480"/>
            <w:rPr>
              <w:highlight w:val="none"/>
            </w:rPr>
          </w:pPr>
          <w:r>
            <w:rPr>
              <w:highlight w:val="none"/>
            </w:rPr>
            <w:fldChar w:fldCharType="begin"/>
          </w:r>
          <w:r>
            <w:rPr>
              <w:highlight w:val="none"/>
            </w:rPr>
            <w:instrText xml:space="preserve"> HYPERLINK \l "_Toc31364" </w:instrText>
          </w:r>
          <w:r>
            <w:rPr>
              <w:highlight w:val="none"/>
            </w:rPr>
            <w:fldChar w:fldCharType="separate"/>
          </w:r>
          <w:r>
            <w:rPr>
              <w:rFonts w:cs="宋体"/>
              <w:highlight w:val="none"/>
            </w:rPr>
            <w:t xml:space="preserve">5.5 </w:t>
          </w:r>
          <w:r>
            <w:rPr>
              <w:rFonts w:hint="eastAsia"/>
              <w:highlight w:val="none"/>
            </w:rPr>
            <w:t>建设范围</w:t>
          </w:r>
          <w:r>
            <w:rPr>
              <w:highlight w:val="none"/>
            </w:rPr>
            <w:tab/>
          </w:r>
          <w:r>
            <w:rPr>
              <w:highlight w:val="none"/>
            </w:rPr>
            <w:fldChar w:fldCharType="begin"/>
          </w:r>
          <w:r>
            <w:rPr>
              <w:highlight w:val="none"/>
            </w:rPr>
            <w:instrText xml:space="preserve"> PAGEREF _Toc31364 \h </w:instrText>
          </w:r>
          <w:r>
            <w:rPr>
              <w:highlight w:val="none"/>
            </w:rPr>
            <w:fldChar w:fldCharType="separate"/>
          </w:r>
          <w:r>
            <w:rPr>
              <w:highlight w:val="none"/>
            </w:rPr>
            <w:t>13</w:t>
          </w:r>
          <w:r>
            <w:rPr>
              <w:highlight w:val="none"/>
            </w:rPr>
            <w:fldChar w:fldCharType="end"/>
          </w:r>
          <w:r>
            <w:rPr>
              <w:highlight w:val="none"/>
            </w:rPr>
            <w:fldChar w:fldCharType="end"/>
          </w:r>
        </w:p>
        <w:p w14:paraId="659799AE">
          <w:pPr>
            <w:pStyle w:val="38"/>
            <w:tabs>
              <w:tab w:val="right" w:leader="dot" w:pos="9070"/>
            </w:tabs>
            <w:rPr>
              <w:highlight w:val="none"/>
            </w:rPr>
          </w:pPr>
          <w:r>
            <w:rPr>
              <w:highlight w:val="none"/>
            </w:rPr>
            <w:fldChar w:fldCharType="begin"/>
          </w:r>
          <w:r>
            <w:rPr>
              <w:highlight w:val="none"/>
            </w:rPr>
            <w:instrText xml:space="preserve"> HYPERLINK \l "_Toc32670" </w:instrText>
          </w:r>
          <w:r>
            <w:rPr>
              <w:highlight w:val="none"/>
            </w:rPr>
            <w:fldChar w:fldCharType="separate"/>
          </w:r>
          <w:r>
            <w:rPr>
              <w:highlight w:val="none"/>
            </w:rPr>
            <w:t xml:space="preserve">6 </w:t>
          </w:r>
          <w:r>
            <w:rPr>
              <w:rFonts w:hint="eastAsia"/>
              <w:highlight w:val="none"/>
            </w:rPr>
            <w:t>项目建设目标</w:t>
          </w:r>
          <w:r>
            <w:rPr>
              <w:highlight w:val="none"/>
            </w:rPr>
            <w:tab/>
          </w:r>
          <w:r>
            <w:rPr>
              <w:highlight w:val="none"/>
            </w:rPr>
            <w:fldChar w:fldCharType="begin"/>
          </w:r>
          <w:r>
            <w:rPr>
              <w:highlight w:val="none"/>
            </w:rPr>
            <w:instrText xml:space="preserve"> PAGEREF _Toc32670 \h </w:instrText>
          </w:r>
          <w:r>
            <w:rPr>
              <w:highlight w:val="none"/>
            </w:rPr>
            <w:fldChar w:fldCharType="separate"/>
          </w:r>
          <w:r>
            <w:rPr>
              <w:highlight w:val="none"/>
            </w:rPr>
            <w:t>13</w:t>
          </w:r>
          <w:r>
            <w:rPr>
              <w:highlight w:val="none"/>
            </w:rPr>
            <w:fldChar w:fldCharType="end"/>
          </w:r>
          <w:r>
            <w:rPr>
              <w:highlight w:val="none"/>
            </w:rPr>
            <w:fldChar w:fldCharType="end"/>
          </w:r>
        </w:p>
        <w:p w14:paraId="03EF83C7">
          <w:pPr>
            <w:pStyle w:val="38"/>
            <w:tabs>
              <w:tab w:val="right" w:leader="dot" w:pos="9070"/>
            </w:tabs>
            <w:rPr>
              <w:highlight w:val="none"/>
            </w:rPr>
          </w:pPr>
          <w:r>
            <w:rPr>
              <w:highlight w:val="none"/>
            </w:rPr>
            <w:fldChar w:fldCharType="begin"/>
          </w:r>
          <w:r>
            <w:rPr>
              <w:highlight w:val="none"/>
            </w:rPr>
            <w:instrText xml:space="preserve"> HYPERLINK \l "_Toc25952" </w:instrText>
          </w:r>
          <w:r>
            <w:rPr>
              <w:highlight w:val="none"/>
            </w:rPr>
            <w:fldChar w:fldCharType="separate"/>
          </w:r>
          <w:r>
            <w:rPr>
              <w:highlight w:val="none"/>
            </w:rPr>
            <w:t xml:space="preserve">7 </w:t>
          </w:r>
          <w:r>
            <w:rPr>
              <w:rFonts w:hint="eastAsia"/>
              <w:highlight w:val="none"/>
            </w:rPr>
            <w:t>功能建设方案</w:t>
          </w:r>
          <w:r>
            <w:rPr>
              <w:highlight w:val="none"/>
            </w:rPr>
            <w:tab/>
          </w:r>
          <w:r>
            <w:rPr>
              <w:highlight w:val="none"/>
            </w:rPr>
            <w:fldChar w:fldCharType="begin"/>
          </w:r>
          <w:r>
            <w:rPr>
              <w:highlight w:val="none"/>
            </w:rPr>
            <w:instrText xml:space="preserve"> PAGEREF _Toc25952 \h </w:instrText>
          </w:r>
          <w:r>
            <w:rPr>
              <w:highlight w:val="none"/>
            </w:rPr>
            <w:fldChar w:fldCharType="separate"/>
          </w:r>
          <w:r>
            <w:rPr>
              <w:highlight w:val="none"/>
            </w:rPr>
            <w:t>13</w:t>
          </w:r>
          <w:r>
            <w:rPr>
              <w:highlight w:val="none"/>
            </w:rPr>
            <w:fldChar w:fldCharType="end"/>
          </w:r>
          <w:r>
            <w:rPr>
              <w:highlight w:val="none"/>
            </w:rPr>
            <w:fldChar w:fldCharType="end"/>
          </w:r>
        </w:p>
        <w:p w14:paraId="169F1B6C">
          <w:pPr>
            <w:pStyle w:val="44"/>
            <w:tabs>
              <w:tab w:val="right" w:leader="dot" w:pos="9070"/>
            </w:tabs>
            <w:ind w:left="480"/>
            <w:rPr>
              <w:highlight w:val="none"/>
            </w:rPr>
          </w:pPr>
          <w:r>
            <w:rPr>
              <w:highlight w:val="none"/>
            </w:rPr>
            <w:fldChar w:fldCharType="begin"/>
          </w:r>
          <w:r>
            <w:rPr>
              <w:highlight w:val="none"/>
            </w:rPr>
            <w:instrText xml:space="preserve"> HYPERLINK \l "_Toc13400" </w:instrText>
          </w:r>
          <w:r>
            <w:rPr>
              <w:highlight w:val="none"/>
            </w:rPr>
            <w:fldChar w:fldCharType="separate"/>
          </w:r>
          <w:r>
            <w:rPr>
              <w:rFonts w:cs="宋体"/>
              <w:highlight w:val="none"/>
            </w:rPr>
            <w:t xml:space="preserve">7.1 </w:t>
          </w:r>
          <w:r>
            <w:rPr>
              <w:highlight w:val="none"/>
            </w:rPr>
            <w:t>统一问答入口建设</w:t>
          </w:r>
          <w:r>
            <w:rPr>
              <w:highlight w:val="none"/>
            </w:rPr>
            <w:tab/>
          </w:r>
          <w:r>
            <w:rPr>
              <w:highlight w:val="none"/>
            </w:rPr>
            <w:fldChar w:fldCharType="begin"/>
          </w:r>
          <w:r>
            <w:rPr>
              <w:highlight w:val="none"/>
            </w:rPr>
            <w:instrText xml:space="preserve"> PAGEREF _Toc13400 \h </w:instrText>
          </w:r>
          <w:r>
            <w:rPr>
              <w:highlight w:val="none"/>
            </w:rPr>
            <w:fldChar w:fldCharType="separate"/>
          </w:r>
          <w:r>
            <w:rPr>
              <w:highlight w:val="none"/>
            </w:rPr>
            <w:t>13</w:t>
          </w:r>
          <w:r>
            <w:rPr>
              <w:highlight w:val="none"/>
            </w:rPr>
            <w:fldChar w:fldCharType="end"/>
          </w:r>
          <w:r>
            <w:rPr>
              <w:highlight w:val="none"/>
            </w:rPr>
            <w:fldChar w:fldCharType="end"/>
          </w:r>
        </w:p>
        <w:p w14:paraId="70EBC590">
          <w:pPr>
            <w:pStyle w:val="29"/>
            <w:tabs>
              <w:tab w:val="right" w:leader="dot" w:pos="9070"/>
            </w:tabs>
            <w:ind w:left="960"/>
            <w:rPr>
              <w:highlight w:val="none"/>
            </w:rPr>
          </w:pPr>
          <w:r>
            <w:rPr>
              <w:highlight w:val="none"/>
            </w:rPr>
            <w:fldChar w:fldCharType="begin"/>
          </w:r>
          <w:r>
            <w:rPr>
              <w:highlight w:val="none"/>
            </w:rPr>
            <w:instrText xml:space="preserve"> HYPERLINK \l "_Toc26731" </w:instrText>
          </w:r>
          <w:r>
            <w:rPr>
              <w:highlight w:val="none"/>
            </w:rPr>
            <w:fldChar w:fldCharType="separate"/>
          </w:r>
          <w:r>
            <w:rPr>
              <w:highlight w:val="none"/>
            </w:rPr>
            <w:t>7.1.1 互动会话建立</w:t>
          </w:r>
          <w:r>
            <w:rPr>
              <w:highlight w:val="none"/>
            </w:rPr>
            <w:tab/>
          </w:r>
          <w:r>
            <w:rPr>
              <w:highlight w:val="none"/>
            </w:rPr>
            <w:fldChar w:fldCharType="begin"/>
          </w:r>
          <w:r>
            <w:rPr>
              <w:highlight w:val="none"/>
            </w:rPr>
            <w:instrText xml:space="preserve"> PAGEREF _Toc26731 \h </w:instrText>
          </w:r>
          <w:r>
            <w:rPr>
              <w:highlight w:val="none"/>
            </w:rPr>
            <w:fldChar w:fldCharType="separate"/>
          </w:r>
          <w:r>
            <w:rPr>
              <w:highlight w:val="none"/>
            </w:rPr>
            <w:t>13</w:t>
          </w:r>
          <w:r>
            <w:rPr>
              <w:highlight w:val="none"/>
            </w:rPr>
            <w:fldChar w:fldCharType="end"/>
          </w:r>
          <w:r>
            <w:rPr>
              <w:highlight w:val="none"/>
            </w:rPr>
            <w:fldChar w:fldCharType="end"/>
          </w:r>
        </w:p>
        <w:p w14:paraId="20072285">
          <w:pPr>
            <w:pStyle w:val="29"/>
            <w:tabs>
              <w:tab w:val="right" w:leader="dot" w:pos="9070"/>
            </w:tabs>
            <w:ind w:left="960"/>
            <w:rPr>
              <w:highlight w:val="none"/>
            </w:rPr>
          </w:pPr>
          <w:r>
            <w:rPr>
              <w:highlight w:val="none"/>
            </w:rPr>
            <w:fldChar w:fldCharType="begin"/>
          </w:r>
          <w:r>
            <w:rPr>
              <w:highlight w:val="none"/>
            </w:rPr>
            <w:instrText xml:space="preserve"> HYPERLINK \l "_Toc17459" </w:instrText>
          </w:r>
          <w:r>
            <w:rPr>
              <w:highlight w:val="none"/>
            </w:rPr>
            <w:fldChar w:fldCharType="separate"/>
          </w:r>
          <w:r>
            <w:rPr>
              <w:highlight w:val="none"/>
            </w:rPr>
            <w:t>7.1.2 问题引导</w:t>
          </w:r>
          <w:r>
            <w:rPr>
              <w:highlight w:val="none"/>
            </w:rPr>
            <w:tab/>
          </w:r>
          <w:r>
            <w:rPr>
              <w:highlight w:val="none"/>
            </w:rPr>
            <w:fldChar w:fldCharType="begin"/>
          </w:r>
          <w:r>
            <w:rPr>
              <w:highlight w:val="none"/>
            </w:rPr>
            <w:instrText xml:space="preserve"> PAGEREF _Toc17459 \h </w:instrText>
          </w:r>
          <w:r>
            <w:rPr>
              <w:highlight w:val="none"/>
            </w:rPr>
            <w:fldChar w:fldCharType="separate"/>
          </w:r>
          <w:r>
            <w:rPr>
              <w:highlight w:val="none"/>
            </w:rPr>
            <w:t>13</w:t>
          </w:r>
          <w:r>
            <w:rPr>
              <w:highlight w:val="none"/>
            </w:rPr>
            <w:fldChar w:fldCharType="end"/>
          </w:r>
          <w:r>
            <w:rPr>
              <w:highlight w:val="none"/>
            </w:rPr>
            <w:fldChar w:fldCharType="end"/>
          </w:r>
        </w:p>
        <w:p w14:paraId="4CC40FDF">
          <w:pPr>
            <w:pStyle w:val="29"/>
            <w:tabs>
              <w:tab w:val="right" w:leader="dot" w:pos="9070"/>
            </w:tabs>
            <w:ind w:left="960"/>
            <w:rPr>
              <w:highlight w:val="none"/>
            </w:rPr>
          </w:pPr>
          <w:r>
            <w:rPr>
              <w:highlight w:val="none"/>
            </w:rPr>
            <w:fldChar w:fldCharType="begin"/>
          </w:r>
          <w:r>
            <w:rPr>
              <w:highlight w:val="none"/>
            </w:rPr>
            <w:instrText xml:space="preserve"> HYPERLINK \l "_Toc30723" </w:instrText>
          </w:r>
          <w:r>
            <w:rPr>
              <w:highlight w:val="none"/>
            </w:rPr>
            <w:fldChar w:fldCharType="separate"/>
          </w:r>
          <w:r>
            <w:rPr>
              <w:highlight w:val="none"/>
            </w:rPr>
            <w:t>7.1.3 问题推荐</w:t>
          </w:r>
          <w:r>
            <w:rPr>
              <w:highlight w:val="none"/>
            </w:rPr>
            <w:tab/>
          </w:r>
          <w:r>
            <w:rPr>
              <w:highlight w:val="none"/>
            </w:rPr>
            <w:fldChar w:fldCharType="begin"/>
          </w:r>
          <w:r>
            <w:rPr>
              <w:highlight w:val="none"/>
            </w:rPr>
            <w:instrText xml:space="preserve"> PAGEREF _Toc30723 \h </w:instrText>
          </w:r>
          <w:r>
            <w:rPr>
              <w:highlight w:val="none"/>
            </w:rPr>
            <w:fldChar w:fldCharType="separate"/>
          </w:r>
          <w:r>
            <w:rPr>
              <w:highlight w:val="none"/>
            </w:rPr>
            <w:t>13</w:t>
          </w:r>
          <w:r>
            <w:rPr>
              <w:highlight w:val="none"/>
            </w:rPr>
            <w:fldChar w:fldCharType="end"/>
          </w:r>
          <w:r>
            <w:rPr>
              <w:highlight w:val="none"/>
            </w:rPr>
            <w:fldChar w:fldCharType="end"/>
          </w:r>
        </w:p>
        <w:p w14:paraId="18A1C9C3">
          <w:pPr>
            <w:pStyle w:val="29"/>
            <w:tabs>
              <w:tab w:val="right" w:leader="dot" w:pos="9070"/>
            </w:tabs>
            <w:ind w:left="960"/>
            <w:rPr>
              <w:highlight w:val="none"/>
            </w:rPr>
          </w:pPr>
          <w:r>
            <w:rPr>
              <w:highlight w:val="none"/>
            </w:rPr>
            <w:fldChar w:fldCharType="begin"/>
          </w:r>
          <w:r>
            <w:rPr>
              <w:highlight w:val="none"/>
            </w:rPr>
            <w:instrText xml:space="preserve"> HYPERLINK \l "_Toc14726" </w:instrText>
          </w:r>
          <w:r>
            <w:rPr>
              <w:highlight w:val="none"/>
            </w:rPr>
            <w:fldChar w:fldCharType="separate"/>
          </w:r>
          <w:r>
            <w:rPr>
              <w:highlight w:val="none"/>
            </w:rPr>
            <w:t>7.1.4 多轮会话</w:t>
          </w:r>
          <w:r>
            <w:rPr>
              <w:highlight w:val="none"/>
            </w:rPr>
            <w:tab/>
          </w:r>
          <w:r>
            <w:rPr>
              <w:highlight w:val="none"/>
            </w:rPr>
            <w:fldChar w:fldCharType="begin"/>
          </w:r>
          <w:r>
            <w:rPr>
              <w:highlight w:val="none"/>
            </w:rPr>
            <w:instrText xml:space="preserve"> PAGEREF _Toc14726 \h </w:instrText>
          </w:r>
          <w:r>
            <w:rPr>
              <w:highlight w:val="none"/>
            </w:rPr>
            <w:fldChar w:fldCharType="separate"/>
          </w:r>
          <w:r>
            <w:rPr>
              <w:highlight w:val="none"/>
            </w:rPr>
            <w:t>14</w:t>
          </w:r>
          <w:r>
            <w:rPr>
              <w:highlight w:val="none"/>
            </w:rPr>
            <w:fldChar w:fldCharType="end"/>
          </w:r>
          <w:r>
            <w:rPr>
              <w:highlight w:val="none"/>
            </w:rPr>
            <w:fldChar w:fldCharType="end"/>
          </w:r>
        </w:p>
        <w:p w14:paraId="11C5F8F6">
          <w:pPr>
            <w:pStyle w:val="29"/>
            <w:tabs>
              <w:tab w:val="right" w:leader="dot" w:pos="9070"/>
            </w:tabs>
            <w:ind w:left="960"/>
            <w:rPr>
              <w:highlight w:val="none"/>
            </w:rPr>
          </w:pPr>
          <w:r>
            <w:rPr>
              <w:highlight w:val="none"/>
            </w:rPr>
            <w:fldChar w:fldCharType="begin"/>
          </w:r>
          <w:r>
            <w:rPr>
              <w:highlight w:val="none"/>
            </w:rPr>
            <w:instrText xml:space="preserve"> HYPERLINK \l "_Toc1750" </w:instrText>
          </w:r>
          <w:r>
            <w:rPr>
              <w:highlight w:val="none"/>
            </w:rPr>
            <w:fldChar w:fldCharType="separate"/>
          </w:r>
          <w:r>
            <w:rPr>
              <w:highlight w:val="none"/>
            </w:rPr>
            <w:t>7.1.5 知识收藏</w:t>
          </w:r>
          <w:r>
            <w:rPr>
              <w:highlight w:val="none"/>
            </w:rPr>
            <w:tab/>
          </w:r>
          <w:r>
            <w:rPr>
              <w:highlight w:val="none"/>
            </w:rPr>
            <w:fldChar w:fldCharType="begin"/>
          </w:r>
          <w:r>
            <w:rPr>
              <w:highlight w:val="none"/>
            </w:rPr>
            <w:instrText xml:space="preserve"> PAGEREF _Toc1750 \h </w:instrText>
          </w:r>
          <w:r>
            <w:rPr>
              <w:highlight w:val="none"/>
            </w:rPr>
            <w:fldChar w:fldCharType="separate"/>
          </w:r>
          <w:r>
            <w:rPr>
              <w:highlight w:val="none"/>
            </w:rPr>
            <w:t>14</w:t>
          </w:r>
          <w:r>
            <w:rPr>
              <w:highlight w:val="none"/>
            </w:rPr>
            <w:fldChar w:fldCharType="end"/>
          </w:r>
          <w:r>
            <w:rPr>
              <w:highlight w:val="none"/>
            </w:rPr>
            <w:fldChar w:fldCharType="end"/>
          </w:r>
        </w:p>
        <w:p w14:paraId="72ECB4E7">
          <w:pPr>
            <w:pStyle w:val="29"/>
            <w:tabs>
              <w:tab w:val="right" w:leader="dot" w:pos="9070"/>
            </w:tabs>
            <w:ind w:left="960"/>
            <w:rPr>
              <w:highlight w:val="none"/>
            </w:rPr>
          </w:pPr>
          <w:r>
            <w:rPr>
              <w:highlight w:val="none"/>
            </w:rPr>
            <w:fldChar w:fldCharType="begin"/>
          </w:r>
          <w:r>
            <w:rPr>
              <w:highlight w:val="none"/>
            </w:rPr>
            <w:instrText xml:space="preserve"> HYPERLINK \l "_Toc12107" </w:instrText>
          </w:r>
          <w:r>
            <w:rPr>
              <w:highlight w:val="none"/>
            </w:rPr>
            <w:fldChar w:fldCharType="separate"/>
          </w:r>
          <w:r>
            <w:rPr>
              <w:highlight w:val="none"/>
            </w:rPr>
            <w:t>7.1.6 问答反馈</w:t>
          </w:r>
          <w:r>
            <w:rPr>
              <w:highlight w:val="none"/>
            </w:rPr>
            <w:tab/>
          </w:r>
          <w:r>
            <w:rPr>
              <w:highlight w:val="none"/>
            </w:rPr>
            <w:fldChar w:fldCharType="begin"/>
          </w:r>
          <w:r>
            <w:rPr>
              <w:highlight w:val="none"/>
            </w:rPr>
            <w:instrText xml:space="preserve"> PAGEREF _Toc12107 \h </w:instrText>
          </w:r>
          <w:r>
            <w:rPr>
              <w:highlight w:val="none"/>
            </w:rPr>
            <w:fldChar w:fldCharType="separate"/>
          </w:r>
          <w:r>
            <w:rPr>
              <w:highlight w:val="none"/>
            </w:rPr>
            <w:t>14</w:t>
          </w:r>
          <w:r>
            <w:rPr>
              <w:highlight w:val="none"/>
            </w:rPr>
            <w:fldChar w:fldCharType="end"/>
          </w:r>
          <w:r>
            <w:rPr>
              <w:highlight w:val="none"/>
            </w:rPr>
            <w:fldChar w:fldCharType="end"/>
          </w:r>
        </w:p>
        <w:p w14:paraId="7DE50351">
          <w:pPr>
            <w:pStyle w:val="29"/>
            <w:tabs>
              <w:tab w:val="right" w:leader="dot" w:pos="9070"/>
            </w:tabs>
            <w:ind w:left="960"/>
            <w:rPr>
              <w:highlight w:val="none"/>
            </w:rPr>
          </w:pPr>
          <w:r>
            <w:rPr>
              <w:highlight w:val="none"/>
            </w:rPr>
            <w:fldChar w:fldCharType="begin"/>
          </w:r>
          <w:r>
            <w:rPr>
              <w:highlight w:val="none"/>
            </w:rPr>
            <w:instrText xml:space="preserve"> HYPERLINK \l "_Toc29420" </w:instrText>
          </w:r>
          <w:r>
            <w:rPr>
              <w:highlight w:val="none"/>
            </w:rPr>
            <w:fldChar w:fldCharType="separate"/>
          </w:r>
          <w:r>
            <w:rPr>
              <w:highlight w:val="none"/>
            </w:rPr>
            <w:t>7.1.7 重新生成</w:t>
          </w:r>
          <w:r>
            <w:rPr>
              <w:highlight w:val="none"/>
            </w:rPr>
            <w:tab/>
          </w:r>
          <w:r>
            <w:rPr>
              <w:highlight w:val="none"/>
            </w:rPr>
            <w:fldChar w:fldCharType="begin"/>
          </w:r>
          <w:r>
            <w:rPr>
              <w:highlight w:val="none"/>
            </w:rPr>
            <w:instrText xml:space="preserve"> PAGEREF _Toc29420 \h </w:instrText>
          </w:r>
          <w:r>
            <w:rPr>
              <w:highlight w:val="none"/>
            </w:rPr>
            <w:fldChar w:fldCharType="separate"/>
          </w:r>
          <w:r>
            <w:rPr>
              <w:highlight w:val="none"/>
            </w:rPr>
            <w:t>14</w:t>
          </w:r>
          <w:r>
            <w:rPr>
              <w:highlight w:val="none"/>
            </w:rPr>
            <w:fldChar w:fldCharType="end"/>
          </w:r>
          <w:r>
            <w:rPr>
              <w:highlight w:val="none"/>
            </w:rPr>
            <w:fldChar w:fldCharType="end"/>
          </w:r>
        </w:p>
        <w:p w14:paraId="55BD2EF0">
          <w:pPr>
            <w:pStyle w:val="29"/>
            <w:tabs>
              <w:tab w:val="right" w:leader="dot" w:pos="9070"/>
            </w:tabs>
            <w:ind w:left="960"/>
            <w:rPr>
              <w:highlight w:val="none"/>
            </w:rPr>
          </w:pPr>
          <w:r>
            <w:rPr>
              <w:highlight w:val="none"/>
            </w:rPr>
            <w:fldChar w:fldCharType="begin"/>
          </w:r>
          <w:r>
            <w:rPr>
              <w:highlight w:val="none"/>
            </w:rPr>
            <w:instrText xml:space="preserve"> HYPERLINK \l "_Toc26237" </w:instrText>
          </w:r>
          <w:r>
            <w:rPr>
              <w:highlight w:val="none"/>
            </w:rPr>
            <w:fldChar w:fldCharType="separate"/>
          </w:r>
          <w:r>
            <w:rPr>
              <w:highlight w:val="none"/>
            </w:rPr>
            <w:t>7.1.8 聊天记录</w:t>
          </w:r>
          <w:r>
            <w:rPr>
              <w:highlight w:val="none"/>
            </w:rPr>
            <w:tab/>
          </w:r>
          <w:r>
            <w:rPr>
              <w:highlight w:val="none"/>
            </w:rPr>
            <w:fldChar w:fldCharType="begin"/>
          </w:r>
          <w:r>
            <w:rPr>
              <w:highlight w:val="none"/>
            </w:rPr>
            <w:instrText xml:space="preserve"> PAGEREF _Toc26237 \h </w:instrText>
          </w:r>
          <w:r>
            <w:rPr>
              <w:highlight w:val="none"/>
            </w:rPr>
            <w:fldChar w:fldCharType="separate"/>
          </w:r>
          <w:r>
            <w:rPr>
              <w:highlight w:val="none"/>
            </w:rPr>
            <w:t>14</w:t>
          </w:r>
          <w:r>
            <w:rPr>
              <w:highlight w:val="none"/>
            </w:rPr>
            <w:fldChar w:fldCharType="end"/>
          </w:r>
          <w:r>
            <w:rPr>
              <w:highlight w:val="none"/>
            </w:rPr>
            <w:fldChar w:fldCharType="end"/>
          </w:r>
        </w:p>
        <w:p w14:paraId="55BE9869">
          <w:pPr>
            <w:pStyle w:val="44"/>
            <w:tabs>
              <w:tab w:val="right" w:leader="dot" w:pos="9070"/>
            </w:tabs>
            <w:ind w:left="480"/>
            <w:rPr>
              <w:highlight w:val="none"/>
            </w:rPr>
          </w:pPr>
          <w:r>
            <w:rPr>
              <w:highlight w:val="none"/>
            </w:rPr>
            <w:fldChar w:fldCharType="begin"/>
          </w:r>
          <w:r>
            <w:rPr>
              <w:highlight w:val="none"/>
            </w:rPr>
            <w:instrText xml:space="preserve"> HYPERLINK \l "_Toc12316" </w:instrText>
          </w:r>
          <w:r>
            <w:rPr>
              <w:highlight w:val="none"/>
            </w:rPr>
            <w:fldChar w:fldCharType="separate"/>
          </w:r>
          <w:r>
            <w:rPr>
              <w:rFonts w:cs="宋体"/>
              <w:szCs w:val="22"/>
              <w:highlight w:val="none"/>
            </w:rPr>
            <w:t xml:space="preserve">7.2 </w:t>
          </w:r>
          <w:r>
            <w:rPr>
              <w:highlight w:val="none"/>
            </w:rPr>
            <w:t>智能体应用开发平台建设</w:t>
          </w:r>
          <w:r>
            <w:rPr>
              <w:highlight w:val="none"/>
            </w:rPr>
            <w:tab/>
          </w:r>
          <w:r>
            <w:rPr>
              <w:highlight w:val="none"/>
            </w:rPr>
            <w:fldChar w:fldCharType="begin"/>
          </w:r>
          <w:r>
            <w:rPr>
              <w:highlight w:val="none"/>
            </w:rPr>
            <w:instrText xml:space="preserve"> PAGEREF _Toc12316 \h </w:instrText>
          </w:r>
          <w:r>
            <w:rPr>
              <w:highlight w:val="none"/>
            </w:rPr>
            <w:fldChar w:fldCharType="separate"/>
          </w:r>
          <w:r>
            <w:rPr>
              <w:highlight w:val="none"/>
            </w:rPr>
            <w:t>14</w:t>
          </w:r>
          <w:r>
            <w:rPr>
              <w:highlight w:val="none"/>
            </w:rPr>
            <w:fldChar w:fldCharType="end"/>
          </w:r>
          <w:r>
            <w:rPr>
              <w:highlight w:val="none"/>
            </w:rPr>
            <w:fldChar w:fldCharType="end"/>
          </w:r>
        </w:p>
        <w:p w14:paraId="0BE9CB37">
          <w:pPr>
            <w:pStyle w:val="29"/>
            <w:tabs>
              <w:tab w:val="right" w:leader="dot" w:pos="9070"/>
            </w:tabs>
            <w:ind w:left="960"/>
            <w:rPr>
              <w:highlight w:val="none"/>
            </w:rPr>
          </w:pPr>
          <w:r>
            <w:rPr>
              <w:highlight w:val="none"/>
            </w:rPr>
            <w:fldChar w:fldCharType="begin"/>
          </w:r>
          <w:r>
            <w:rPr>
              <w:highlight w:val="none"/>
            </w:rPr>
            <w:instrText xml:space="preserve"> HYPERLINK \l "_Toc1846" </w:instrText>
          </w:r>
          <w:r>
            <w:rPr>
              <w:highlight w:val="none"/>
            </w:rPr>
            <w:fldChar w:fldCharType="separate"/>
          </w:r>
          <w:r>
            <w:rPr>
              <w:highlight w:val="none"/>
            </w:rPr>
            <w:t>7.2.1 计量语料管理模块</w:t>
          </w:r>
          <w:r>
            <w:rPr>
              <w:highlight w:val="none"/>
            </w:rPr>
            <w:tab/>
          </w:r>
          <w:r>
            <w:rPr>
              <w:highlight w:val="none"/>
            </w:rPr>
            <w:fldChar w:fldCharType="begin"/>
          </w:r>
          <w:r>
            <w:rPr>
              <w:highlight w:val="none"/>
            </w:rPr>
            <w:instrText xml:space="preserve"> PAGEREF _Toc1846 \h </w:instrText>
          </w:r>
          <w:r>
            <w:rPr>
              <w:highlight w:val="none"/>
            </w:rPr>
            <w:fldChar w:fldCharType="separate"/>
          </w:r>
          <w:r>
            <w:rPr>
              <w:highlight w:val="none"/>
            </w:rPr>
            <w:t>15</w:t>
          </w:r>
          <w:r>
            <w:rPr>
              <w:highlight w:val="none"/>
            </w:rPr>
            <w:fldChar w:fldCharType="end"/>
          </w:r>
          <w:r>
            <w:rPr>
              <w:highlight w:val="none"/>
            </w:rPr>
            <w:fldChar w:fldCharType="end"/>
          </w:r>
        </w:p>
        <w:p w14:paraId="2325B301">
          <w:pPr>
            <w:pStyle w:val="29"/>
            <w:tabs>
              <w:tab w:val="right" w:leader="dot" w:pos="9070"/>
            </w:tabs>
            <w:ind w:left="960"/>
            <w:rPr>
              <w:highlight w:val="none"/>
            </w:rPr>
          </w:pPr>
          <w:r>
            <w:rPr>
              <w:highlight w:val="none"/>
            </w:rPr>
            <w:fldChar w:fldCharType="begin"/>
          </w:r>
          <w:r>
            <w:rPr>
              <w:highlight w:val="none"/>
            </w:rPr>
            <w:instrText xml:space="preserve"> HYPERLINK \l "_Toc17207" </w:instrText>
          </w:r>
          <w:r>
            <w:rPr>
              <w:highlight w:val="none"/>
            </w:rPr>
            <w:fldChar w:fldCharType="separate"/>
          </w:r>
          <w:r>
            <w:rPr>
              <w:highlight w:val="none"/>
            </w:rPr>
            <w:t>7.2.2 Agent管理模块</w:t>
          </w:r>
          <w:r>
            <w:rPr>
              <w:highlight w:val="none"/>
            </w:rPr>
            <w:tab/>
          </w:r>
          <w:r>
            <w:rPr>
              <w:highlight w:val="none"/>
            </w:rPr>
            <w:fldChar w:fldCharType="begin"/>
          </w:r>
          <w:r>
            <w:rPr>
              <w:highlight w:val="none"/>
            </w:rPr>
            <w:instrText xml:space="preserve"> PAGEREF _Toc17207 \h </w:instrText>
          </w:r>
          <w:r>
            <w:rPr>
              <w:highlight w:val="none"/>
            </w:rPr>
            <w:fldChar w:fldCharType="separate"/>
          </w:r>
          <w:r>
            <w:rPr>
              <w:highlight w:val="none"/>
            </w:rPr>
            <w:t>16</w:t>
          </w:r>
          <w:r>
            <w:rPr>
              <w:highlight w:val="none"/>
            </w:rPr>
            <w:fldChar w:fldCharType="end"/>
          </w:r>
          <w:r>
            <w:rPr>
              <w:highlight w:val="none"/>
            </w:rPr>
            <w:fldChar w:fldCharType="end"/>
          </w:r>
        </w:p>
        <w:p w14:paraId="785105C7">
          <w:pPr>
            <w:pStyle w:val="29"/>
            <w:tabs>
              <w:tab w:val="right" w:leader="dot" w:pos="9070"/>
            </w:tabs>
            <w:ind w:left="960"/>
            <w:rPr>
              <w:highlight w:val="none"/>
            </w:rPr>
          </w:pPr>
          <w:r>
            <w:rPr>
              <w:highlight w:val="none"/>
            </w:rPr>
            <w:fldChar w:fldCharType="begin"/>
          </w:r>
          <w:r>
            <w:rPr>
              <w:highlight w:val="none"/>
            </w:rPr>
            <w:instrText xml:space="preserve"> HYPERLINK \l "_Toc29621" </w:instrText>
          </w:r>
          <w:r>
            <w:rPr>
              <w:highlight w:val="none"/>
            </w:rPr>
            <w:fldChar w:fldCharType="separate"/>
          </w:r>
          <w:r>
            <w:rPr>
              <w:highlight w:val="none"/>
            </w:rPr>
            <w:t>7.2.3 自动化流程管理模块</w:t>
          </w:r>
          <w:r>
            <w:rPr>
              <w:highlight w:val="none"/>
            </w:rPr>
            <w:tab/>
          </w:r>
          <w:r>
            <w:rPr>
              <w:highlight w:val="none"/>
            </w:rPr>
            <w:fldChar w:fldCharType="begin"/>
          </w:r>
          <w:r>
            <w:rPr>
              <w:highlight w:val="none"/>
            </w:rPr>
            <w:instrText xml:space="preserve"> PAGEREF _Toc29621 \h </w:instrText>
          </w:r>
          <w:r>
            <w:rPr>
              <w:highlight w:val="none"/>
            </w:rPr>
            <w:fldChar w:fldCharType="separate"/>
          </w:r>
          <w:r>
            <w:rPr>
              <w:highlight w:val="none"/>
            </w:rPr>
            <w:t>17</w:t>
          </w:r>
          <w:r>
            <w:rPr>
              <w:highlight w:val="none"/>
            </w:rPr>
            <w:fldChar w:fldCharType="end"/>
          </w:r>
          <w:r>
            <w:rPr>
              <w:highlight w:val="none"/>
            </w:rPr>
            <w:fldChar w:fldCharType="end"/>
          </w:r>
        </w:p>
        <w:p w14:paraId="57578A05">
          <w:pPr>
            <w:pStyle w:val="44"/>
            <w:tabs>
              <w:tab w:val="right" w:leader="dot" w:pos="9070"/>
            </w:tabs>
            <w:ind w:left="480"/>
            <w:rPr>
              <w:highlight w:val="none"/>
            </w:rPr>
          </w:pPr>
          <w:r>
            <w:rPr>
              <w:highlight w:val="none"/>
            </w:rPr>
            <w:fldChar w:fldCharType="begin"/>
          </w:r>
          <w:r>
            <w:rPr>
              <w:highlight w:val="none"/>
            </w:rPr>
            <w:instrText xml:space="preserve"> HYPERLINK \l "_Toc31591" </w:instrText>
          </w:r>
          <w:r>
            <w:rPr>
              <w:highlight w:val="none"/>
            </w:rPr>
            <w:fldChar w:fldCharType="separate"/>
          </w:r>
          <w:r>
            <w:rPr>
              <w:rFonts w:cs="宋体"/>
              <w:szCs w:val="22"/>
              <w:highlight w:val="none"/>
            </w:rPr>
            <w:t xml:space="preserve">7.3 </w:t>
          </w:r>
          <w:r>
            <w:rPr>
              <w:highlight w:val="none"/>
            </w:rPr>
            <w:t>计量</w:t>
          </w:r>
          <w:r>
            <w:rPr>
              <w:rFonts w:hint="eastAsia"/>
              <w:highlight w:val="none"/>
            </w:rPr>
            <w:t>API</w:t>
          </w:r>
          <w:r>
            <w:rPr>
              <w:highlight w:val="none"/>
            </w:rPr>
            <w:t>套件</w:t>
          </w:r>
          <w:r>
            <w:rPr>
              <w:highlight w:val="none"/>
            </w:rPr>
            <w:tab/>
          </w:r>
          <w:r>
            <w:rPr>
              <w:highlight w:val="none"/>
            </w:rPr>
            <w:fldChar w:fldCharType="begin"/>
          </w:r>
          <w:r>
            <w:rPr>
              <w:highlight w:val="none"/>
            </w:rPr>
            <w:instrText xml:space="preserve"> PAGEREF _Toc31591 \h </w:instrText>
          </w:r>
          <w:r>
            <w:rPr>
              <w:highlight w:val="none"/>
            </w:rPr>
            <w:fldChar w:fldCharType="separate"/>
          </w:r>
          <w:r>
            <w:rPr>
              <w:highlight w:val="none"/>
            </w:rPr>
            <w:t>18</w:t>
          </w:r>
          <w:r>
            <w:rPr>
              <w:highlight w:val="none"/>
            </w:rPr>
            <w:fldChar w:fldCharType="end"/>
          </w:r>
          <w:r>
            <w:rPr>
              <w:highlight w:val="none"/>
            </w:rPr>
            <w:fldChar w:fldCharType="end"/>
          </w:r>
        </w:p>
        <w:p w14:paraId="5456BCDA">
          <w:pPr>
            <w:pStyle w:val="29"/>
            <w:tabs>
              <w:tab w:val="right" w:leader="dot" w:pos="9070"/>
            </w:tabs>
            <w:ind w:left="960"/>
            <w:rPr>
              <w:highlight w:val="none"/>
            </w:rPr>
          </w:pPr>
          <w:r>
            <w:rPr>
              <w:highlight w:val="none"/>
            </w:rPr>
            <w:fldChar w:fldCharType="begin"/>
          </w:r>
          <w:r>
            <w:rPr>
              <w:highlight w:val="none"/>
            </w:rPr>
            <w:instrText xml:space="preserve"> HYPERLINK \l "_Toc1218" </w:instrText>
          </w:r>
          <w:r>
            <w:rPr>
              <w:highlight w:val="none"/>
            </w:rPr>
            <w:fldChar w:fldCharType="separate"/>
          </w:r>
          <w:r>
            <w:rPr>
              <w:highlight w:val="none"/>
            </w:rPr>
            <w:t xml:space="preserve">7.3.1 </w:t>
          </w:r>
          <w:r>
            <w:rPr>
              <w:rFonts w:hint="eastAsia"/>
              <w:highlight w:val="none"/>
            </w:rPr>
            <w:t>交易结算前置信息校核API</w:t>
          </w:r>
          <w:r>
            <w:rPr>
              <w:highlight w:val="none"/>
            </w:rPr>
            <w:tab/>
          </w:r>
          <w:r>
            <w:rPr>
              <w:highlight w:val="none"/>
            </w:rPr>
            <w:fldChar w:fldCharType="begin"/>
          </w:r>
          <w:r>
            <w:rPr>
              <w:highlight w:val="none"/>
            </w:rPr>
            <w:instrText xml:space="preserve"> PAGEREF _Toc1218 \h </w:instrText>
          </w:r>
          <w:r>
            <w:rPr>
              <w:highlight w:val="none"/>
            </w:rPr>
            <w:fldChar w:fldCharType="separate"/>
          </w:r>
          <w:r>
            <w:rPr>
              <w:highlight w:val="none"/>
            </w:rPr>
            <w:t>18</w:t>
          </w:r>
          <w:r>
            <w:rPr>
              <w:highlight w:val="none"/>
            </w:rPr>
            <w:fldChar w:fldCharType="end"/>
          </w:r>
          <w:r>
            <w:rPr>
              <w:highlight w:val="none"/>
            </w:rPr>
            <w:fldChar w:fldCharType="end"/>
          </w:r>
        </w:p>
        <w:p w14:paraId="1E97EBA3">
          <w:pPr>
            <w:pStyle w:val="29"/>
            <w:tabs>
              <w:tab w:val="right" w:leader="dot" w:pos="9070"/>
            </w:tabs>
            <w:ind w:left="960"/>
            <w:rPr>
              <w:highlight w:val="none"/>
            </w:rPr>
          </w:pPr>
          <w:r>
            <w:rPr>
              <w:highlight w:val="none"/>
            </w:rPr>
            <w:fldChar w:fldCharType="begin"/>
          </w:r>
          <w:r>
            <w:rPr>
              <w:highlight w:val="none"/>
            </w:rPr>
            <w:instrText xml:space="preserve"> HYPERLINK \l "_Toc908" </w:instrText>
          </w:r>
          <w:r>
            <w:rPr>
              <w:highlight w:val="none"/>
            </w:rPr>
            <w:fldChar w:fldCharType="separate"/>
          </w:r>
          <w:r>
            <w:rPr>
              <w:highlight w:val="none"/>
            </w:rPr>
            <w:t>7.3.2 低压远程复电API</w:t>
          </w:r>
          <w:r>
            <w:rPr>
              <w:highlight w:val="none"/>
            </w:rPr>
            <w:tab/>
          </w:r>
          <w:r>
            <w:rPr>
              <w:highlight w:val="none"/>
            </w:rPr>
            <w:fldChar w:fldCharType="begin"/>
          </w:r>
          <w:r>
            <w:rPr>
              <w:highlight w:val="none"/>
            </w:rPr>
            <w:instrText xml:space="preserve"> PAGEREF _Toc908 \h </w:instrText>
          </w:r>
          <w:r>
            <w:rPr>
              <w:highlight w:val="none"/>
            </w:rPr>
            <w:fldChar w:fldCharType="separate"/>
          </w:r>
          <w:r>
            <w:rPr>
              <w:highlight w:val="none"/>
            </w:rPr>
            <w:t>19</w:t>
          </w:r>
          <w:r>
            <w:rPr>
              <w:highlight w:val="none"/>
            </w:rPr>
            <w:fldChar w:fldCharType="end"/>
          </w:r>
          <w:r>
            <w:rPr>
              <w:highlight w:val="none"/>
            </w:rPr>
            <w:fldChar w:fldCharType="end"/>
          </w:r>
        </w:p>
        <w:p w14:paraId="45378A08">
          <w:pPr>
            <w:pStyle w:val="29"/>
            <w:tabs>
              <w:tab w:val="right" w:leader="dot" w:pos="9070"/>
            </w:tabs>
            <w:ind w:left="960"/>
            <w:rPr>
              <w:highlight w:val="none"/>
            </w:rPr>
          </w:pPr>
          <w:r>
            <w:rPr>
              <w:highlight w:val="none"/>
            </w:rPr>
            <w:fldChar w:fldCharType="begin"/>
          </w:r>
          <w:r>
            <w:rPr>
              <w:highlight w:val="none"/>
            </w:rPr>
            <w:instrText xml:space="preserve"> HYPERLINK \l "_Toc522" </w:instrText>
          </w:r>
          <w:r>
            <w:rPr>
              <w:highlight w:val="none"/>
            </w:rPr>
            <w:fldChar w:fldCharType="separate"/>
          </w:r>
          <w:r>
            <w:rPr>
              <w:highlight w:val="none"/>
            </w:rPr>
            <w:t>7.3.3 指标监测API</w:t>
          </w:r>
          <w:r>
            <w:rPr>
              <w:highlight w:val="none"/>
            </w:rPr>
            <w:tab/>
          </w:r>
          <w:r>
            <w:rPr>
              <w:highlight w:val="none"/>
            </w:rPr>
            <w:fldChar w:fldCharType="begin"/>
          </w:r>
          <w:r>
            <w:rPr>
              <w:highlight w:val="none"/>
            </w:rPr>
            <w:instrText xml:space="preserve"> PAGEREF _Toc522 \h </w:instrText>
          </w:r>
          <w:r>
            <w:rPr>
              <w:highlight w:val="none"/>
            </w:rPr>
            <w:fldChar w:fldCharType="separate"/>
          </w:r>
          <w:r>
            <w:rPr>
              <w:highlight w:val="none"/>
            </w:rPr>
            <w:t>19</w:t>
          </w:r>
          <w:r>
            <w:rPr>
              <w:highlight w:val="none"/>
            </w:rPr>
            <w:fldChar w:fldCharType="end"/>
          </w:r>
          <w:r>
            <w:rPr>
              <w:highlight w:val="none"/>
            </w:rPr>
            <w:fldChar w:fldCharType="end"/>
          </w:r>
        </w:p>
        <w:p w14:paraId="7EB7291F">
          <w:pPr>
            <w:pStyle w:val="29"/>
            <w:tabs>
              <w:tab w:val="right" w:leader="dot" w:pos="9070"/>
            </w:tabs>
            <w:ind w:left="960"/>
            <w:rPr>
              <w:highlight w:val="none"/>
            </w:rPr>
          </w:pPr>
          <w:r>
            <w:rPr>
              <w:highlight w:val="none"/>
            </w:rPr>
            <w:fldChar w:fldCharType="begin"/>
          </w:r>
          <w:r>
            <w:rPr>
              <w:highlight w:val="none"/>
            </w:rPr>
            <w:instrText xml:space="preserve"> HYPERLINK \l "_Toc29612" </w:instrText>
          </w:r>
          <w:r>
            <w:rPr>
              <w:highlight w:val="none"/>
            </w:rPr>
            <w:fldChar w:fldCharType="separate"/>
          </w:r>
          <w:r>
            <w:rPr>
              <w:highlight w:val="none"/>
            </w:rPr>
            <w:t>7.3.4 停电研判API</w:t>
          </w:r>
          <w:r>
            <w:rPr>
              <w:highlight w:val="none"/>
            </w:rPr>
            <w:tab/>
          </w:r>
          <w:r>
            <w:rPr>
              <w:highlight w:val="none"/>
            </w:rPr>
            <w:fldChar w:fldCharType="begin"/>
          </w:r>
          <w:r>
            <w:rPr>
              <w:highlight w:val="none"/>
            </w:rPr>
            <w:instrText xml:space="preserve"> PAGEREF _Toc29612 \h </w:instrText>
          </w:r>
          <w:r>
            <w:rPr>
              <w:highlight w:val="none"/>
            </w:rPr>
            <w:fldChar w:fldCharType="separate"/>
          </w:r>
          <w:r>
            <w:rPr>
              <w:highlight w:val="none"/>
            </w:rPr>
            <w:t>19</w:t>
          </w:r>
          <w:r>
            <w:rPr>
              <w:highlight w:val="none"/>
            </w:rPr>
            <w:fldChar w:fldCharType="end"/>
          </w:r>
          <w:r>
            <w:rPr>
              <w:highlight w:val="none"/>
            </w:rPr>
            <w:fldChar w:fldCharType="end"/>
          </w:r>
        </w:p>
        <w:p w14:paraId="53B190C2">
          <w:pPr>
            <w:pStyle w:val="29"/>
            <w:tabs>
              <w:tab w:val="right" w:leader="dot" w:pos="9070"/>
            </w:tabs>
            <w:ind w:left="960"/>
            <w:rPr>
              <w:highlight w:val="none"/>
            </w:rPr>
          </w:pPr>
          <w:r>
            <w:rPr>
              <w:highlight w:val="none"/>
            </w:rPr>
            <w:fldChar w:fldCharType="begin"/>
          </w:r>
          <w:r>
            <w:rPr>
              <w:highlight w:val="none"/>
            </w:rPr>
            <w:instrText xml:space="preserve"> HYPERLINK \l "_Toc32351" </w:instrText>
          </w:r>
          <w:r>
            <w:rPr>
              <w:highlight w:val="none"/>
            </w:rPr>
            <w:fldChar w:fldCharType="separate"/>
          </w:r>
          <w:r>
            <w:rPr>
              <w:highlight w:val="none"/>
            </w:rPr>
            <w:t>7.3.5 采集链路监控API</w:t>
          </w:r>
          <w:r>
            <w:rPr>
              <w:highlight w:val="none"/>
            </w:rPr>
            <w:tab/>
          </w:r>
          <w:r>
            <w:rPr>
              <w:highlight w:val="none"/>
            </w:rPr>
            <w:fldChar w:fldCharType="begin"/>
          </w:r>
          <w:r>
            <w:rPr>
              <w:highlight w:val="none"/>
            </w:rPr>
            <w:instrText xml:space="preserve"> PAGEREF _Toc32351 \h </w:instrText>
          </w:r>
          <w:r>
            <w:rPr>
              <w:highlight w:val="none"/>
            </w:rPr>
            <w:fldChar w:fldCharType="separate"/>
          </w:r>
          <w:r>
            <w:rPr>
              <w:highlight w:val="none"/>
            </w:rPr>
            <w:t>19</w:t>
          </w:r>
          <w:r>
            <w:rPr>
              <w:highlight w:val="none"/>
            </w:rPr>
            <w:fldChar w:fldCharType="end"/>
          </w:r>
          <w:r>
            <w:rPr>
              <w:highlight w:val="none"/>
            </w:rPr>
            <w:fldChar w:fldCharType="end"/>
          </w:r>
        </w:p>
        <w:p w14:paraId="5E0B3E1D">
          <w:pPr>
            <w:pStyle w:val="29"/>
            <w:tabs>
              <w:tab w:val="right" w:leader="dot" w:pos="9070"/>
            </w:tabs>
            <w:ind w:left="960"/>
            <w:rPr>
              <w:highlight w:val="none"/>
            </w:rPr>
          </w:pPr>
          <w:r>
            <w:rPr>
              <w:highlight w:val="none"/>
            </w:rPr>
            <w:fldChar w:fldCharType="begin"/>
          </w:r>
          <w:r>
            <w:rPr>
              <w:highlight w:val="none"/>
            </w:rPr>
            <w:instrText xml:space="preserve"> HYPERLINK \l "_Toc2732" </w:instrText>
          </w:r>
          <w:r>
            <w:rPr>
              <w:highlight w:val="none"/>
            </w:rPr>
            <w:fldChar w:fldCharType="separate"/>
          </w:r>
          <w:r>
            <w:rPr>
              <w:highlight w:val="none"/>
            </w:rPr>
            <w:t xml:space="preserve">7.3.6 </w:t>
          </w:r>
          <w:r>
            <w:rPr>
              <w:rFonts w:hint="eastAsia"/>
              <w:highlight w:val="none"/>
            </w:rPr>
            <w:t>计量装置差错识别智能体</w:t>
          </w:r>
          <w:r>
            <w:rPr>
              <w:highlight w:val="none"/>
            </w:rPr>
            <w:tab/>
          </w:r>
          <w:r>
            <w:rPr>
              <w:highlight w:val="none"/>
            </w:rPr>
            <w:fldChar w:fldCharType="begin"/>
          </w:r>
          <w:r>
            <w:rPr>
              <w:highlight w:val="none"/>
            </w:rPr>
            <w:instrText xml:space="preserve"> PAGEREF _Toc2732 \h </w:instrText>
          </w:r>
          <w:r>
            <w:rPr>
              <w:highlight w:val="none"/>
            </w:rPr>
            <w:fldChar w:fldCharType="separate"/>
          </w:r>
          <w:r>
            <w:rPr>
              <w:highlight w:val="none"/>
            </w:rPr>
            <w:t>19</w:t>
          </w:r>
          <w:r>
            <w:rPr>
              <w:highlight w:val="none"/>
            </w:rPr>
            <w:fldChar w:fldCharType="end"/>
          </w:r>
          <w:r>
            <w:rPr>
              <w:highlight w:val="none"/>
            </w:rPr>
            <w:fldChar w:fldCharType="end"/>
          </w:r>
        </w:p>
        <w:p w14:paraId="705ABDFE">
          <w:pPr>
            <w:pStyle w:val="38"/>
            <w:tabs>
              <w:tab w:val="right" w:leader="dot" w:pos="9070"/>
            </w:tabs>
            <w:rPr>
              <w:highlight w:val="none"/>
            </w:rPr>
          </w:pPr>
          <w:r>
            <w:rPr>
              <w:highlight w:val="none"/>
            </w:rPr>
            <w:fldChar w:fldCharType="begin"/>
          </w:r>
          <w:r>
            <w:rPr>
              <w:highlight w:val="none"/>
            </w:rPr>
            <w:instrText xml:space="preserve"> HYPERLINK \l "_Toc16135" </w:instrText>
          </w:r>
          <w:r>
            <w:rPr>
              <w:highlight w:val="none"/>
            </w:rPr>
            <w:fldChar w:fldCharType="separate"/>
          </w:r>
          <w:r>
            <w:rPr>
              <w:highlight w:val="none"/>
            </w:rPr>
            <w:t xml:space="preserve">8 </w:t>
          </w:r>
          <w:r>
            <w:rPr>
              <w:rFonts w:hint="eastAsia"/>
              <w:highlight w:val="none"/>
            </w:rPr>
            <w:t>项目实施方案</w:t>
          </w:r>
          <w:r>
            <w:rPr>
              <w:highlight w:val="none"/>
            </w:rPr>
            <w:tab/>
          </w:r>
          <w:r>
            <w:rPr>
              <w:highlight w:val="none"/>
            </w:rPr>
            <w:fldChar w:fldCharType="begin"/>
          </w:r>
          <w:r>
            <w:rPr>
              <w:highlight w:val="none"/>
            </w:rPr>
            <w:instrText xml:space="preserve"> PAGEREF _Toc16135 \h </w:instrText>
          </w:r>
          <w:r>
            <w:rPr>
              <w:highlight w:val="none"/>
            </w:rPr>
            <w:fldChar w:fldCharType="separate"/>
          </w:r>
          <w:r>
            <w:rPr>
              <w:highlight w:val="none"/>
            </w:rPr>
            <w:t>20</w:t>
          </w:r>
          <w:r>
            <w:rPr>
              <w:highlight w:val="none"/>
            </w:rPr>
            <w:fldChar w:fldCharType="end"/>
          </w:r>
          <w:r>
            <w:rPr>
              <w:highlight w:val="none"/>
            </w:rPr>
            <w:fldChar w:fldCharType="end"/>
          </w:r>
        </w:p>
        <w:p w14:paraId="6437A2D8">
          <w:pPr>
            <w:pStyle w:val="44"/>
            <w:tabs>
              <w:tab w:val="right" w:leader="dot" w:pos="9070"/>
            </w:tabs>
            <w:ind w:left="480"/>
            <w:rPr>
              <w:highlight w:val="none"/>
            </w:rPr>
          </w:pPr>
          <w:r>
            <w:rPr>
              <w:highlight w:val="none"/>
            </w:rPr>
            <w:fldChar w:fldCharType="begin"/>
          </w:r>
          <w:r>
            <w:rPr>
              <w:highlight w:val="none"/>
            </w:rPr>
            <w:instrText xml:space="preserve"> HYPERLINK \l "_Toc15073" </w:instrText>
          </w:r>
          <w:r>
            <w:rPr>
              <w:highlight w:val="none"/>
            </w:rPr>
            <w:fldChar w:fldCharType="separate"/>
          </w:r>
          <w:r>
            <w:rPr>
              <w:rFonts w:cs="宋体"/>
              <w:highlight w:val="none"/>
            </w:rPr>
            <w:t xml:space="preserve">8.1 </w:t>
          </w:r>
          <w:r>
            <w:rPr>
              <w:highlight w:val="none"/>
            </w:rPr>
            <w:t>场景智能体实施</w:t>
          </w:r>
          <w:r>
            <w:rPr>
              <w:highlight w:val="none"/>
            </w:rPr>
            <w:tab/>
          </w:r>
          <w:r>
            <w:rPr>
              <w:highlight w:val="none"/>
            </w:rPr>
            <w:fldChar w:fldCharType="begin"/>
          </w:r>
          <w:r>
            <w:rPr>
              <w:highlight w:val="none"/>
            </w:rPr>
            <w:instrText xml:space="preserve"> PAGEREF _Toc15073 \h </w:instrText>
          </w:r>
          <w:r>
            <w:rPr>
              <w:highlight w:val="none"/>
            </w:rPr>
            <w:fldChar w:fldCharType="separate"/>
          </w:r>
          <w:r>
            <w:rPr>
              <w:highlight w:val="none"/>
            </w:rPr>
            <w:t>20</w:t>
          </w:r>
          <w:r>
            <w:rPr>
              <w:highlight w:val="none"/>
            </w:rPr>
            <w:fldChar w:fldCharType="end"/>
          </w:r>
          <w:r>
            <w:rPr>
              <w:highlight w:val="none"/>
            </w:rPr>
            <w:fldChar w:fldCharType="end"/>
          </w:r>
        </w:p>
        <w:p w14:paraId="456F3620">
          <w:pPr>
            <w:pStyle w:val="29"/>
            <w:tabs>
              <w:tab w:val="right" w:leader="dot" w:pos="9070"/>
            </w:tabs>
            <w:ind w:left="960"/>
            <w:rPr>
              <w:highlight w:val="none"/>
            </w:rPr>
          </w:pPr>
          <w:r>
            <w:rPr>
              <w:highlight w:val="none"/>
            </w:rPr>
            <w:fldChar w:fldCharType="begin"/>
          </w:r>
          <w:r>
            <w:rPr>
              <w:highlight w:val="none"/>
            </w:rPr>
            <w:instrText xml:space="preserve"> HYPERLINK \l "_Toc20097" </w:instrText>
          </w:r>
          <w:r>
            <w:rPr>
              <w:highlight w:val="none"/>
            </w:rPr>
            <w:fldChar w:fldCharType="separate"/>
          </w:r>
          <w:r>
            <w:rPr>
              <w:highlight w:val="none"/>
            </w:rPr>
            <w:t xml:space="preserve">8.1.1 </w:t>
          </w:r>
          <w:r>
            <w:rPr>
              <w:rFonts w:hint="eastAsia"/>
              <w:highlight w:val="none"/>
            </w:rPr>
            <w:t>交易结算前置信息校核智能体实施</w:t>
          </w:r>
          <w:r>
            <w:rPr>
              <w:highlight w:val="none"/>
            </w:rPr>
            <w:tab/>
          </w:r>
          <w:r>
            <w:rPr>
              <w:highlight w:val="none"/>
            </w:rPr>
            <w:fldChar w:fldCharType="begin"/>
          </w:r>
          <w:r>
            <w:rPr>
              <w:highlight w:val="none"/>
            </w:rPr>
            <w:instrText xml:space="preserve"> PAGEREF _Toc20097 \h </w:instrText>
          </w:r>
          <w:r>
            <w:rPr>
              <w:highlight w:val="none"/>
            </w:rPr>
            <w:fldChar w:fldCharType="separate"/>
          </w:r>
          <w:r>
            <w:rPr>
              <w:highlight w:val="none"/>
            </w:rPr>
            <w:t>20</w:t>
          </w:r>
          <w:r>
            <w:rPr>
              <w:highlight w:val="none"/>
            </w:rPr>
            <w:fldChar w:fldCharType="end"/>
          </w:r>
          <w:r>
            <w:rPr>
              <w:highlight w:val="none"/>
            </w:rPr>
            <w:fldChar w:fldCharType="end"/>
          </w:r>
        </w:p>
        <w:p w14:paraId="567C348D">
          <w:pPr>
            <w:pStyle w:val="29"/>
            <w:tabs>
              <w:tab w:val="right" w:leader="dot" w:pos="9070"/>
            </w:tabs>
            <w:ind w:left="960"/>
            <w:rPr>
              <w:highlight w:val="none"/>
            </w:rPr>
          </w:pPr>
          <w:r>
            <w:rPr>
              <w:highlight w:val="none"/>
            </w:rPr>
            <w:fldChar w:fldCharType="begin"/>
          </w:r>
          <w:r>
            <w:rPr>
              <w:highlight w:val="none"/>
            </w:rPr>
            <w:instrText xml:space="preserve"> HYPERLINK \l "_Toc18505" </w:instrText>
          </w:r>
          <w:r>
            <w:rPr>
              <w:highlight w:val="none"/>
            </w:rPr>
            <w:fldChar w:fldCharType="separate"/>
          </w:r>
          <w:r>
            <w:rPr>
              <w:highlight w:val="none"/>
            </w:rPr>
            <w:t>8.1.2 低压远程复电智能体实施</w:t>
          </w:r>
          <w:r>
            <w:rPr>
              <w:highlight w:val="none"/>
            </w:rPr>
            <w:tab/>
          </w:r>
          <w:r>
            <w:rPr>
              <w:highlight w:val="none"/>
            </w:rPr>
            <w:fldChar w:fldCharType="begin"/>
          </w:r>
          <w:r>
            <w:rPr>
              <w:highlight w:val="none"/>
            </w:rPr>
            <w:instrText xml:space="preserve"> PAGEREF _Toc18505 \h </w:instrText>
          </w:r>
          <w:r>
            <w:rPr>
              <w:highlight w:val="none"/>
            </w:rPr>
            <w:fldChar w:fldCharType="separate"/>
          </w:r>
          <w:r>
            <w:rPr>
              <w:highlight w:val="none"/>
            </w:rPr>
            <w:t>20</w:t>
          </w:r>
          <w:r>
            <w:rPr>
              <w:highlight w:val="none"/>
            </w:rPr>
            <w:fldChar w:fldCharType="end"/>
          </w:r>
          <w:r>
            <w:rPr>
              <w:highlight w:val="none"/>
            </w:rPr>
            <w:fldChar w:fldCharType="end"/>
          </w:r>
        </w:p>
        <w:p w14:paraId="75F8F7A3">
          <w:pPr>
            <w:pStyle w:val="29"/>
            <w:tabs>
              <w:tab w:val="right" w:leader="dot" w:pos="9070"/>
            </w:tabs>
            <w:ind w:left="960"/>
            <w:rPr>
              <w:highlight w:val="none"/>
            </w:rPr>
          </w:pPr>
          <w:r>
            <w:rPr>
              <w:highlight w:val="none"/>
            </w:rPr>
            <w:fldChar w:fldCharType="begin"/>
          </w:r>
          <w:r>
            <w:rPr>
              <w:highlight w:val="none"/>
            </w:rPr>
            <w:instrText xml:space="preserve"> HYPERLINK \l "_Toc7780" </w:instrText>
          </w:r>
          <w:r>
            <w:rPr>
              <w:highlight w:val="none"/>
            </w:rPr>
            <w:fldChar w:fldCharType="separate"/>
          </w:r>
          <w:r>
            <w:rPr>
              <w:highlight w:val="none"/>
            </w:rPr>
            <w:t>8.1.3 指标监测智能体实施</w:t>
          </w:r>
          <w:r>
            <w:rPr>
              <w:highlight w:val="none"/>
            </w:rPr>
            <w:tab/>
          </w:r>
          <w:r>
            <w:rPr>
              <w:highlight w:val="none"/>
            </w:rPr>
            <w:fldChar w:fldCharType="begin"/>
          </w:r>
          <w:r>
            <w:rPr>
              <w:highlight w:val="none"/>
            </w:rPr>
            <w:instrText xml:space="preserve"> PAGEREF _Toc7780 \h </w:instrText>
          </w:r>
          <w:r>
            <w:rPr>
              <w:highlight w:val="none"/>
            </w:rPr>
            <w:fldChar w:fldCharType="separate"/>
          </w:r>
          <w:r>
            <w:rPr>
              <w:highlight w:val="none"/>
            </w:rPr>
            <w:t>22</w:t>
          </w:r>
          <w:r>
            <w:rPr>
              <w:highlight w:val="none"/>
            </w:rPr>
            <w:fldChar w:fldCharType="end"/>
          </w:r>
          <w:r>
            <w:rPr>
              <w:highlight w:val="none"/>
            </w:rPr>
            <w:fldChar w:fldCharType="end"/>
          </w:r>
        </w:p>
        <w:p w14:paraId="6B411010">
          <w:pPr>
            <w:pStyle w:val="29"/>
            <w:tabs>
              <w:tab w:val="right" w:leader="dot" w:pos="9070"/>
            </w:tabs>
            <w:ind w:left="960"/>
            <w:rPr>
              <w:highlight w:val="none"/>
            </w:rPr>
          </w:pPr>
          <w:r>
            <w:rPr>
              <w:highlight w:val="none"/>
            </w:rPr>
            <w:fldChar w:fldCharType="begin"/>
          </w:r>
          <w:r>
            <w:rPr>
              <w:highlight w:val="none"/>
            </w:rPr>
            <w:instrText xml:space="preserve"> HYPERLINK \l "_Toc28010" </w:instrText>
          </w:r>
          <w:r>
            <w:rPr>
              <w:highlight w:val="none"/>
            </w:rPr>
            <w:fldChar w:fldCharType="separate"/>
          </w:r>
          <w:r>
            <w:rPr>
              <w:highlight w:val="none"/>
            </w:rPr>
            <w:t>8.1.4 停电研判智能体实施</w:t>
          </w:r>
          <w:r>
            <w:rPr>
              <w:highlight w:val="none"/>
            </w:rPr>
            <w:tab/>
          </w:r>
          <w:r>
            <w:rPr>
              <w:highlight w:val="none"/>
            </w:rPr>
            <w:fldChar w:fldCharType="begin"/>
          </w:r>
          <w:r>
            <w:rPr>
              <w:highlight w:val="none"/>
            </w:rPr>
            <w:instrText xml:space="preserve"> PAGEREF _Toc28010 \h </w:instrText>
          </w:r>
          <w:r>
            <w:rPr>
              <w:highlight w:val="none"/>
            </w:rPr>
            <w:fldChar w:fldCharType="separate"/>
          </w:r>
          <w:r>
            <w:rPr>
              <w:highlight w:val="none"/>
            </w:rPr>
            <w:t>23</w:t>
          </w:r>
          <w:r>
            <w:rPr>
              <w:highlight w:val="none"/>
            </w:rPr>
            <w:fldChar w:fldCharType="end"/>
          </w:r>
          <w:r>
            <w:rPr>
              <w:highlight w:val="none"/>
            </w:rPr>
            <w:fldChar w:fldCharType="end"/>
          </w:r>
        </w:p>
        <w:p w14:paraId="3A122CB9">
          <w:pPr>
            <w:pStyle w:val="29"/>
            <w:tabs>
              <w:tab w:val="right" w:leader="dot" w:pos="9070"/>
            </w:tabs>
            <w:ind w:left="960"/>
            <w:rPr>
              <w:highlight w:val="none"/>
            </w:rPr>
          </w:pPr>
          <w:r>
            <w:rPr>
              <w:highlight w:val="none"/>
            </w:rPr>
            <w:fldChar w:fldCharType="begin"/>
          </w:r>
          <w:r>
            <w:rPr>
              <w:highlight w:val="none"/>
            </w:rPr>
            <w:instrText xml:space="preserve"> HYPERLINK \l "_Toc31046" </w:instrText>
          </w:r>
          <w:r>
            <w:rPr>
              <w:highlight w:val="none"/>
            </w:rPr>
            <w:fldChar w:fldCharType="separate"/>
          </w:r>
          <w:r>
            <w:rPr>
              <w:highlight w:val="none"/>
            </w:rPr>
            <w:t>8.1.5 采集链路监控智能体实施</w:t>
          </w:r>
          <w:r>
            <w:rPr>
              <w:highlight w:val="none"/>
            </w:rPr>
            <w:tab/>
          </w:r>
          <w:r>
            <w:rPr>
              <w:highlight w:val="none"/>
            </w:rPr>
            <w:fldChar w:fldCharType="begin"/>
          </w:r>
          <w:r>
            <w:rPr>
              <w:highlight w:val="none"/>
            </w:rPr>
            <w:instrText xml:space="preserve"> PAGEREF _Toc31046 \h </w:instrText>
          </w:r>
          <w:r>
            <w:rPr>
              <w:highlight w:val="none"/>
            </w:rPr>
            <w:fldChar w:fldCharType="separate"/>
          </w:r>
          <w:r>
            <w:rPr>
              <w:highlight w:val="none"/>
            </w:rPr>
            <w:t>24</w:t>
          </w:r>
          <w:r>
            <w:rPr>
              <w:highlight w:val="none"/>
            </w:rPr>
            <w:fldChar w:fldCharType="end"/>
          </w:r>
          <w:r>
            <w:rPr>
              <w:highlight w:val="none"/>
            </w:rPr>
            <w:fldChar w:fldCharType="end"/>
          </w:r>
        </w:p>
        <w:p w14:paraId="664A993C">
          <w:pPr>
            <w:pStyle w:val="29"/>
            <w:tabs>
              <w:tab w:val="right" w:leader="dot" w:pos="9070"/>
            </w:tabs>
            <w:ind w:left="960"/>
            <w:rPr>
              <w:highlight w:val="none"/>
            </w:rPr>
          </w:pPr>
          <w:r>
            <w:rPr>
              <w:highlight w:val="none"/>
            </w:rPr>
            <w:fldChar w:fldCharType="begin"/>
          </w:r>
          <w:r>
            <w:rPr>
              <w:highlight w:val="none"/>
            </w:rPr>
            <w:instrText xml:space="preserve"> HYPERLINK \l "_Toc25627" </w:instrText>
          </w:r>
          <w:r>
            <w:rPr>
              <w:highlight w:val="none"/>
            </w:rPr>
            <w:fldChar w:fldCharType="separate"/>
          </w:r>
          <w:r>
            <w:rPr>
              <w:highlight w:val="none"/>
            </w:rPr>
            <w:t xml:space="preserve">8.1.6 </w:t>
          </w:r>
          <w:r>
            <w:rPr>
              <w:rFonts w:hint="eastAsia"/>
              <w:highlight w:val="none"/>
            </w:rPr>
            <w:t>计量装置差错识别智能体实施</w:t>
          </w:r>
          <w:r>
            <w:rPr>
              <w:highlight w:val="none"/>
            </w:rPr>
            <w:tab/>
          </w:r>
          <w:r>
            <w:rPr>
              <w:highlight w:val="none"/>
            </w:rPr>
            <w:fldChar w:fldCharType="begin"/>
          </w:r>
          <w:r>
            <w:rPr>
              <w:highlight w:val="none"/>
            </w:rPr>
            <w:instrText xml:space="preserve"> PAGEREF _Toc25627 \h </w:instrText>
          </w:r>
          <w:r>
            <w:rPr>
              <w:highlight w:val="none"/>
            </w:rPr>
            <w:fldChar w:fldCharType="separate"/>
          </w:r>
          <w:r>
            <w:rPr>
              <w:highlight w:val="none"/>
            </w:rPr>
            <w:t>25</w:t>
          </w:r>
          <w:r>
            <w:rPr>
              <w:highlight w:val="none"/>
            </w:rPr>
            <w:fldChar w:fldCharType="end"/>
          </w:r>
          <w:r>
            <w:rPr>
              <w:highlight w:val="none"/>
            </w:rPr>
            <w:fldChar w:fldCharType="end"/>
          </w:r>
        </w:p>
        <w:p w14:paraId="56E57F71">
          <w:pPr>
            <w:pStyle w:val="44"/>
            <w:tabs>
              <w:tab w:val="right" w:leader="dot" w:pos="9070"/>
            </w:tabs>
            <w:ind w:left="480"/>
            <w:rPr>
              <w:highlight w:val="none"/>
            </w:rPr>
          </w:pPr>
          <w:r>
            <w:rPr>
              <w:highlight w:val="none"/>
            </w:rPr>
            <w:fldChar w:fldCharType="begin"/>
          </w:r>
          <w:r>
            <w:rPr>
              <w:highlight w:val="none"/>
            </w:rPr>
            <w:instrText xml:space="preserve"> HYPERLINK \l "_Toc19661" </w:instrText>
          </w:r>
          <w:r>
            <w:rPr>
              <w:highlight w:val="none"/>
            </w:rPr>
            <w:fldChar w:fldCharType="separate"/>
          </w:r>
          <w:r>
            <w:rPr>
              <w:rFonts w:cs="宋体"/>
              <w:highlight w:val="none"/>
            </w:rPr>
            <w:t xml:space="preserve">8.2 </w:t>
          </w:r>
          <w:r>
            <w:rPr>
              <w:rFonts w:hint="eastAsia"/>
              <w:highlight w:val="none"/>
            </w:rPr>
            <w:t>项目实施要求</w:t>
          </w:r>
          <w:r>
            <w:rPr>
              <w:highlight w:val="none"/>
            </w:rPr>
            <w:tab/>
          </w:r>
          <w:r>
            <w:rPr>
              <w:highlight w:val="none"/>
            </w:rPr>
            <w:fldChar w:fldCharType="begin"/>
          </w:r>
          <w:r>
            <w:rPr>
              <w:highlight w:val="none"/>
            </w:rPr>
            <w:instrText xml:space="preserve"> PAGEREF _Toc19661 \h </w:instrText>
          </w:r>
          <w:r>
            <w:rPr>
              <w:highlight w:val="none"/>
            </w:rPr>
            <w:fldChar w:fldCharType="separate"/>
          </w:r>
          <w:r>
            <w:rPr>
              <w:highlight w:val="none"/>
            </w:rPr>
            <w:t>26</w:t>
          </w:r>
          <w:r>
            <w:rPr>
              <w:highlight w:val="none"/>
            </w:rPr>
            <w:fldChar w:fldCharType="end"/>
          </w:r>
          <w:r>
            <w:rPr>
              <w:highlight w:val="none"/>
            </w:rPr>
            <w:fldChar w:fldCharType="end"/>
          </w:r>
        </w:p>
        <w:p w14:paraId="3D56FA6D">
          <w:pPr>
            <w:pStyle w:val="44"/>
            <w:tabs>
              <w:tab w:val="right" w:leader="dot" w:pos="9070"/>
            </w:tabs>
            <w:ind w:left="480"/>
            <w:rPr>
              <w:highlight w:val="none"/>
            </w:rPr>
          </w:pPr>
          <w:r>
            <w:rPr>
              <w:highlight w:val="none"/>
            </w:rPr>
            <w:fldChar w:fldCharType="begin"/>
          </w:r>
          <w:r>
            <w:rPr>
              <w:highlight w:val="none"/>
            </w:rPr>
            <w:instrText xml:space="preserve"> HYPERLINK \l "_Toc21849" </w:instrText>
          </w:r>
          <w:r>
            <w:rPr>
              <w:highlight w:val="none"/>
            </w:rPr>
            <w:fldChar w:fldCharType="separate"/>
          </w:r>
          <w:r>
            <w:rPr>
              <w:rFonts w:cs="宋体"/>
              <w:highlight w:val="none"/>
            </w:rPr>
            <w:t xml:space="preserve">8.3 </w:t>
          </w:r>
          <w:r>
            <w:rPr>
              <w:rFonts w:hint="eastAsia"/>
              <w:highlight w:val="none"/>
            </w:rPr>
            <w:t>实施原则</w:t>
          </w:r>
          <w:r>
            <w:rPr>
              <w:highlight w:val="none"/>
            </w:rPr>
            <w:tab/>
          </w:r>
          <w:r>
            <w:rPr>
              <w:highlight w:val="none"/>
            </w:rPr>
            <w:fldChar w:fldCharType="begin"/>
          </w:r>
          <w:r>
            <w:rPr>
              <w:highlight w:val="none"/>
            </w:rPr>
            <w:instrText xml:space="preserve"> PAGEREF _Toc21849 \h </w:instrText>
          </w:r>
          <w:r>
            <w:rPr>
              <w:highlight w:val="none"/>
            </w:rPr>
            <w:fldChar w:fldCharType="separate"/>
          </w:r>
          <w:r>
            <w:rPr>
              <w:highlight w:val="none"/>
            </w:rPr>
            <w:t>27</w:t>
          </w:r>
          <w:r>
            <w:rPr>
              <w:highlight w:val="none"/>
            </w:rPr>
            <w:fldChar w:fldCharType="end"/>
          </w:r>
          <w:r>
            <w:rPr>
              <w:highlight w:val="none"/>
            </w:rPr>
            <w:fldChar w:fldCharType="end"/>
          </w:r>
        </w:p>
        <w:p w14:paraId="4CD20269">
          <w:pPr>
            <w:pStyle w:val="29"/>
            <w:tabs>
              <w:tab w:val="right" w:leader="dot" w:pos="9070"/>
            </w:tabs>
            <w:ind w:left="960"/>
            <w:rPr>
              <w:highlight w:val="none"/>
            </w:rPr>
          </w:pPr>
          <w:r>
            <w:rPr>
              <w:highlight w:val="none"/>
            </w:rPr>
            <w:fldChar w:fldCharType="begin"/>
          </w:r>
          <w:r>
            <w:rPr>
              <w:highlight w:val="none"/>
            </w:rPr>
            <w:instrText xml:space="preserve"> HYPERLINK \l "_Toc21296" </w:instrText>
          </w:r>
          <w:r>
            <w:rPr>
              <w:highlight w:val="none"/>
            </w:rPr>
            <w:fldChar w:fldCharType="separate"/>
          </w:r>
          <w:r>
            <w:rPr>
              <w:highlight w:val="none"/>
            </w:rPr>
            <w:t xml:space="preserve">8.3.1 </w:t>
          </w:r>
          <w:r>
            <w:rPr>
              <w:rFonts w:hint="eastAsia"/>
              <w:highlight w:val="none"/>
            </w:rPr>
            <w:t>平稳性原则</w:t>
          </w:r>
          <w:r>
            <w:rPr>
              <w:highlight w:val="none"/>
            </w:rPr>
            <w:tab/>
          </w:r>
          <w:r>
            <w:rPr>
              <w:highlight w:val="none"/>
            </w:rPr>
            <w:fldChar w:fldCharType="begin"/>
          </w:r>
          <w:r>
            <w:rPr>
              <w:highlight w:val="none"/>
            </w:rPr>
            <w:instrText xml:space="preserve"> PAGEREF _Toc21296 \h </w:instrText>
          </w:r>
          <w:r>
            <w:rPr>
              <w:highlight w:val="none"/>
            </w:rPr>
            <w:fldChar w:fldCharType="separate"/>
          </w:r>
          <w:r>
            <w:rPr>
              <w:highlight w:val="none"/>
            </w:rPr>
            <w:t>27</w:t>
          </w:r>
          <w:r>
            <w:rPr>
              <w:highlight w:val="none"/>
            </w:rPr>
            <w:fldChar w:fldCharType="end"/>
          </w:r>
          <w:r>
            <w:rPr>
              <w:highlight w:val="none"/>
            </w:rPr>
            <w:fldChar w:fldCharType="end"/>
          </w:r>
        </w:p>
        <w:p w14:paraId="2FB355AE">
          <w:pPr>
            <w:pStyle w:val="29"/>
            <w:tabs>
              <w:tab w:val="right" w:leader="dot" w:pos="9070"/>
            </w:tabs>
            <w:ind w:left="960"/>
            <w:rPr>
              <w:highlight w:val="none"/>
            </w:rPr>
          </w:pPr>
          <w:r>
            <w:rPr>
              <w:highlight w:val="none"/>
            </w:rPr>
            <w:fldChar w:fldCharType="begin"/>
          </w:r>
          <w:r>
            <w:rPr>
              <w:highlight w:val="none"/>
            </w:rPr>
            <w:instrText xml:space="preserve"> HYPERLINK \l "_Toc16358" </w:instrText>
          </w:r>
          <w:r>
            <w:rPr>
              <w:highlight w:val="none"/>
            </w:rPr>
            <w:fldChar w:fldCharType="separate"/>
          </w:r>
          <w:r>
            <w:rPr>
              <w:highlight w:val="none"/>
            </w:rPr>
            <w:t xml:space="preserve">8.3.2 </w:t>
          </w:r>
          <w:r>
            <w:rPr>
              <w:rFonts w:hint="eastAsia"/>
              <w:highlight w:val="none"/>
            </w:rPr>
            <w:t>安全性原则</w:t>
          </w:r>
          <w:r>
            <w:rPr>
              <w:highlight w:val="none"/>
            </w:rPr>
            <w:tab/>
          </w:r>
          <w:r>
            <w:rPr>
              <w:highlight w:val="none"/>
            </w:rPr>
            <w:fldChar w:fldCharType="begin"/>
          </w:r>
          <w:r>
            <w:rPr>
              <w:highlight w:val="none"/>
            </w:rPr>
            <w:instrText xml:space="preserve"> PAGEREF _Toc16358 \h </w:instrText>
          </w:r>
          <w:r>
            <w:rPr>
              <w:highlight w:val="none"/>
            </w:rPr>
            <w:fldChar w:fldCharType="separate"/>
          </w:r>
          <w:r>
            <w:rPr>
              <w:highlight w:val="none"/>
            </w:rPr>
            <w:t>27</w:t>
          </w:r>
          <w:r>
            <w:rPr>
              <w:highlight w:val="none"/>
            </w:rPr>
            <w:fldChar w:fldCharType="end"/>
          </w:r>
          <w:r>
            <w:rPr>
              <w:highlight w:val="none"/>
            </w:rPr>
            <w:fldChar w:fldCharType="end"/>
          </w:r>
        </w:p>
        <w:p w14:paraId="0DEABE65">
          <w:pPr>
            <w:pStyle w:val="29"/>
            <w:tabs>
              <w:tab w:val="right" w:leader="dot" w:pos="9070"/>
            </w:tabs>
            <w:ind w:left="960"/>
            <w:rPr>
              <w:highlight w:val="none"/>
            </w:rPr>
          </w:pPr>
          <w:r>
            <w:rPr>
              <w:highlight w:val="none"/>
            </w:rPr>
            <w:fldChar w:fldCharType="begin"/>
          </w:r>
          <w:r>
            <w:rPr>
              <w:highlight w:val="none"/>
            </w:rPr>
            <w:instrText xml:space="preserve"> HYPERLINK \l "_Toc24773" </w:instrText>
          </w:r>
          <w:r>
            <w:rPr>
              <w:highlight w:val="none"/>
            </w:rPr>
            <w:fldChar w:fldCharType="separate"/>
          </w:r>
          <w:r>
            <w:rPr>
              <w:highlight w:val="none"/>
            </w:rPr>
            <w:t xml:space="preserve">8.3.3 </w:t>
          </w:r>
          <w:r>
            <w:rPr>
              <w:rFonts w:hint="eastAsia"/>
              <w:highlight w:val="none"/>
            </w:rPr>
            <w:t>实用性原则</w:t>
          </w:r>
          <w:r>
            <w:rPr>
              <w:highlight w:val="none"/>
            </w:rPr>
            <w:tab/>
          </w:r>
          <w:r>
            <w:rPr>
              <w:highlight w:val="none"/>
            </w:rPr>
            <w:fldChar w:fldCharType="begin"/>
          </w:r>
          <w:r>
            <w:rPr>
              <w:highlight w:val="none"/>
            </w:rPr>
            <w:instrText xml:space="preserve"> PAGEREF _Toc24773 \h </w:instrText>
          </w:r>
          <w:r>
            <w:rPr>
              <w:highlight w:val="none"/>
            </w:rPr>
            <w:fldChar w:fldCharType="separate"/>
          </w:r>
          <w:r>
            <w:rPr>
              <w:highlight w:val="none"/>
            </w:rPr>
            <w:t>27</w:t>
          </w:r>
          <w:r>
            <w:rPr>
              <w:highlight w:val="none"/>
            </w:rPr>
            <w:fldChar w:fldCharType="end"/>
          </w:r>
          <w:r>
            <w:rPr>
              <w:highlight w:val="none"/>
            </w:rPr>
            <w:fldChar w:fldCharType="end"/>
          </w:r>
        </w:p>
        <w:p w14:paraId="0196D56E">
          <w:pPr>
            <w:pStyle w:val="29"/>
            <w:tabs>
              <w:tab w:val="right" w:leader="dot" w:pos="9070"/>
            </w:tabs>
            <w:ind w:left="960"/>
            <w:rPr>
              <w:highlight w:val="none"/>
            </w:rPr>
          </w:pPr>
          <w:r>
            <w:rPr>
              <w:highlight w:val="none"/>
            </w:rPr>
            <w:fldChar w:fldCharType="begin"/>
          </w:r>
          <w:r>
            <w:rPr>
              <w:highlight w:val="none"/>
            </w:rPr>
            <w:instrText xml:space="preserve"> HYPERLINK \l "_Toc15382" </w:instrText>
          </w:r>
          <w:r>
            <w:rPr>
              <w:highlight w:val="none"/>
            </w:rPr>
            <w:fldChar w:fldCharType="separate"/>
          </w:r>
          <w:r>
            <w:rPr>
              <w:highlight w:val="none"/>
            </w:rPr>
            <w:t xml:space="preserve">8.3.4 </w:t>
          </w:r>
          <w:r>
            <w:rPr>
              <w:rFonts w:hint="eastAsia"/>
              <w:highlight w:val="none"/>
            </w:rPr>
            <w:t>操作性原则</w:t>
          </w:r>
          <w:r>
            <w:rPr>
              <w:highlight w:val="none"/>
            </w:rPr>
            <w:tab/>
          </w:r>
          <w:r>
            <w:rPr>
              <w:highlight w:val="none"/>
            </w:rPr>
            <w:fldChar w:fldCharType="begin"/>
          </w:r>
          <w:r>
            <w:rPr>
              <w:highlight w:val="none"/>
            </w:rPr>
            <w:instrText xml:space="preserve"> PAGEREF _Toc15382 \h </w:instrText>
          </w:r>
          <w:r>
            <w:rPr>
              <w:highlight w:val="none"/>
            </w:rPr>
            <w:fldChar w:fldCharType="separate"/>
          </w:r>
          <w:r>
            <w:rPr>
              <w:highlight w:val="none"/>
            </w:rPr>
            <w:t>27</w:t>
          </w:r>
          <w:r>
            <w:rPr>
              <w:highlight w:val="none"/>
            </w:rPr>
            <w:fldChar w:fldCharType="end"/>
          </w:r>
          <w:r>
            <w:rPr>
              <w:highlight w:val="none"/>
            </w:rPr>
            <w:fldChar w:fldCharType="end"/>
          </w:r>
        </w:p>
        <w:p w14:paraId="12867AEF">
          <w:pPr>
            <w:pStyle w:val="44"/>
            <w:tabs>
              <w:tab w:val="right" w:leader="dot" w:pos="9070"/>
            </w:tabs>
            <w:ind w:left="480"/>
            <w:rPr>
              <w:highlight w:val="none"/>
            </w:rPr>
          </w:pPr>
          <w:r>
            <w:rPr>
              <w:highlight w:val="none"/>
            </w:rPr>
            <w:fldChar w:fldCharType="begin"/>
          </w:r>
          <w:r>
            <w:rPr>
              <w:highlight w:val="none"/>
            </w:rPr>
            <w:instrText xml:space="preserve"> HYPERLINK \l "_Toc22404" </w:instrText>
          </w:r>
          <w:r>
            <w:rPr>
              <w:highlight w:val="none"/>
            </w:rPr>
            <w:fldChar w:fldCharType="separate"/>
          </w:r>
          <w:r>
            <w:rPr>
              <w:rFonts w:cs="宋体"/>
              <w:highlight w:val="none"/>
            </w:rPr>
            <w:t xml:space="preserve">8.4 </w:t>
          </w:r>
          <w:r>
            <w:rPr>
              <w:highlight w:val="none"/>
            </w:rPr>
            <w:t>实施策略</w:t>
          </w:r>
          <w:r>
            <w:rPr>
              <w:rFonts w:hint="eastAsia"/>
              <w:highlight w:val="none"/>
            </w:rPr>
            <w:t>组织保障措施</w:t>
          </w:r>
          <w:r>
            <w:rPr>
              <w:highlight w:val="none"/>
            </w:rPr>
            <w:tab/>
          </w:r>
          <w:r>
            <w:rPr>
              <w:highlight w:val="none"/>
            </w:rPr>
            <w:fldChar w:fldCharType="begin"/>
          </w:r>
          <w:r>
            <w:rPr>
              <w:highlight w:val="none"/>
            </w:rPr>
            <w:instrText xml:space="preserve"> PAGEREF _Toc22404 \h </w:instrText>
          </w:r>
          <w:r>
            <w:rPr>
              <w:highlight w:val="none"/>
            </w:rPr>
            <w:fldChar w:fldCharType="separate"/>
          </w:r>
          <w:r>
            <w:rPr>
              <w:highlight w:val="none"/>
            </w:rPr>
            <w:t>27</w:t>
          </w:r>
          <w:r>
            <w:rPr>
              <w:highlight w:val="none"/>
            </w:rPr>
            <w:fldChar w:fldCharType="end"/>
          </w:r>
          <w:r>
            <w:rPr>
              <w:highlight w:val="none"/>
            </w:rPr>
            <w:fldChar w:fldCharType="end"/>
          </w:r>
        </w:p>
        <w:p w14:paraId="4C26EF7A">
          <w:pPr>
            <w:pStyle w:val="38"/>
            <w:tabs>
              <w:tab w:val="right" w:leader="dot" w:pos="9070"/>
            </w:tabs>
            <w:rPr>
              <w:highlight w:val="none"/>
            </w:rPr>
          </w:pPr>
          <w:r>
            <w:rPr>
              <w:highlight w:val="none"/>
            </w:rPr>
            <w:fldChar w:fldCharType="begin"/>
          </w:r>
          <w:r>
            <w:rPr>
              <w:highlight w:val="none"/>
            </w:rPr>
            <w:instrText xml:space="preserve"> HYPERLINK \l "_Toc1931" </w:instrText>
          </w:r>
          <w:r>
            <w:rPr>
              <w:highlight w:val="none"/>
            </w:rPr>
            <w:fldChar w:fldCharType="separate"/>
          </w:r>
          <w:r>
            <w:rPr>
              <w:highlight w:val="none"/>
            </w:rPr>
            <w:t xml:space="preserve">9 </w:t>
          </w:r>
          <w:r>
            <w:rPr>
              <w:rFonts w:hint="eastAsia"/>
              <w:highlight w:val="none"/>
            </w:rPr>
            <w:t>项目服务方案</w:t>
          </w:r>
          <w:r>
            <w:rPr>
              <w:highlight w:val="none"/>
            </w:rPr>
            <w:tab/>
          </w:r>
          <w:r>
            <w:rPr>
              <w:highlight w:val="none"/>
            </w:rPr>
            <w:fldChar w:fldCharType="begin"/>
          </w:r>
          <w:r>
            <w:rPr>
              <w:highlight w:val="none"/>
            </w:rPr>
            <w:instrText xml:space="preserve"> PAGEREF _Toc1931 \h </w:instrText>
          </w:r>
          <w:r>
            <w:rPr>
              <w:highlight w:val="none"/>
            </w:rPr>
            <w:fldChar w:fldCharType="separate"/>
          </w:r>
          <w:r>
            <w:rPr>
              <w:highlight w:val="none"/>
            </w:rPr>
            <w:t>28</w:t>
          </w:r>
          <w:r>
            <w:rPr>
              <w:highlight w:val="none"/>
            </w:rPr>
            <w:fldChar w:fldCharType="end"/>
          </w:r>
          <w:r>
            <w:rPr>
              <w:highlight w:val="none"/>
            </w:rPr>
            <w:fldChar w:fldCharType="end"/>
          </w:r>
        </w:p>
        <w:p w14:paraId="0CBDF9B2">
          <w:pPr>
            <w:pStyle w:val="44"/>
            <w:tabs>
              <w:tab w:val="right" w:leader="dot" w:pos="9070"/>
            </w:tabs>
            <w:ind w:left="480"/>
            <w:rPr>
              <w:highlight w:val="none"/>
            </w:rPr>
          </w:pPr>
          <w:r>
            <w:rPr>
              <w:highlight w:val="none"/>
            </w:rPr>
            <w:fldChar w:fldCharType="begin"/>
          </w:r>
          <w:r>
            <w:rPr>
              <w:highlight w:val="none"/>
            </w:rPr>
            <w:instrText xml:space="preserve"> HYPERLINK \l "_Toc4403" </w:instrText>
          </w:r>
          <w:r>
            <w:rPr>
              <w:highlight w:val="none"/>
            </w:rPr>
            <w:fldChar w:fldCharType="separate"/>
          </w:r>
          <w:r>
            <w:rPr>
              <w:rFonts w:cs="宋体"/>
              <w:highlight w:val="none"/>
            </w:rPr>
            <w:t xml:space="preserve">9.1 </w:t>
          </w:r>
          <w:r>
            <w:rPr>
              <w:rFonts w:hint="eastAsia"/>
              <w:highlight w:val="none"/>
            </w:rPr>
            <w:t>项目交付要求</w:t>
          </w:r>
          <w:r>
            <w:rPr>
              <w:highlight w:val="none"/>
            </w:rPr>
            <w:tab/>
          </w:r>
          <w:r>
            <w:rPr>
              <w:highlight w:val="none"/>
            </w:rPr>
            <w:fldChar w:fldCharType="begin"/>
          </w:r>
          <w:r>
            <w:rPr>
              <w:highlight w:val="none"/>
            </w:rPr>
            <w:instrText xml:space="preserve"> PAGEREF _Toc4403 \h </w:instrText>
          </w:r>
          <w:r>
            <w:rPr>
              <w:highlight w:val="none"/>
            </w:rPr>
            <w:fldChar w:fldCharType="separate"/>
          </w:r>
          <w:r>
            <w:rPr>
              <w:highlight w:val="none"/>
            </w:rPr>
            <w:t>28</w:t>
          </w:r>
          <w:r>
            <w:rPr>
              <w:highlight w:val="none"/>
            </w:rPr>
            <w:fldChar w:fldCharType="end"/>
          </w:r>
          <w:r>
            <w:rPr>
              <w:highlight w:val="none"/>
            </w:rPr>
            <w:fldChar w:fldCharType="end"/>
          </w:r>
        </w:p>
        <w:p w14:paraId="6F20DFB4">
          <w:pPr>
            <w:pStyle w:val="44"/>
            <w:tabs>
              <w:tab w:val="right" w:leader="dot" w:pos="9070"/>
            </w:tabs>
            <w:ind w:left="480"/>
            <w:rPr>
              <w:highlight w:val="none"/>
            </w:rPr>
          </w:pPr>
          <w:r>
            <w:rPr>
              <w:highlight w:val="none"/>
            </w:rPr>
            <w:fldChar w:fldCharType="begin"/>
          </w:r>
          <w:r>
            <w:rPr>
              <w:highlight w:val="none"/>
            </w:rPr>
            <w:instrText xml:space="preserve"> HYPERLINK \l "_Toc1263" </w:instrText>
          </w:r>
          <w:r>
            <w:rPr>
              <w:highlight w:val="none"/>
            </w:rPr>
            <w:fldChar w:fldCharType="separate"/>
          </w:r>
          <w:r>
            <w:rPr>
              <w:rFonts w:cs="宋体"/>
              <w:highlight w:val="none"/>
            </w:rPr>
            <w:t xml:space="preserve">9.2 </w:t>
          </w:r>
          <w:r>
            <w:rPr>
              <w:rFonts w:hint="eastAsia"/>
              <w:highlight w:val="none"/>
            </w:rPr>
            <w:t>项目管理要求</w:t>
          </w:r>
          <w:r>
            <w:rPr>
              <w:highlight w:val="none"/>
            </w:rPr>
            <w:tab/>
          </w:r>
          <w:r>
            <w:rPr>
              <w:highlight w:val="none"/>
            </w:rPr>
            <w:fldChar w:fldCharType="begin"/>
          </w:r>
          <w:r>
            <w:rPr>
              <w:highlight w:val="none"/>
            </w:rPr>
            <w:instrText xml:space="preserve"> PAGEREF _Toc1263 \h </w:instrText>
          </w:r>
          <w:r>
            <w:rPr>
              <w:highlight w:val="none"/>
            </w:rPr>
            <w:fldChar w:fldCharType="separate"/>
          </w:r>
          <w:r>
            <w:rPr>
              <w:highlight w:val="none"/>
            </w:rPr>
            <w:t>29</w:t>
          </w:r>
          <w:r>
            <w:rPr>
              <w:highlight w:val="none"/>
            </w:rPr>
            <w:fldChar w:fldCharType="end"/>
          </w:r>
          <w:r>
            <w:rPr>
              <w:highlight w:val="none"/>
            </w:rPr>
            <w:fldChar w:fldCharType="end"/>
          </w:r>
        </w:p>
        <w:p w14:paraId="5B32E584">
          <w:pPr>
            <w:pStyle w:val="44"/>
            <w:tabs>
              <w:tab w:val="right" w:leader="dot" w:pos="9070"/>
            </w:tabs>
            <w:ind w:left="480"/>
            <w:rPr>
              <w:highlight w:val="none"/>
            </w:rPr>
          </w:pPr>
          <w:r>
            <w:rPr>
              <w:highlight w:val="none"/>
            </w:rPr>
            <w:fldChar w:fldCharType="begin"/>
          </w:r>
          <w:r>
            <w:rPr>
              <w:highlight w:val="none"/>
            </w:rPr>
            <w:instrText xml:space="preserve"> HYPERLINK \l "_Toc7633" </w:instrText>
          </w:r>
          <w:r>
            <w:rPr>
              <w:highlight w:val="none"/>
            </w:rPr>
            <w:fldChar w:fldCharType="separate"/>
          </w:r>
          <w:r>
            <w:rPr>
              <w:rFonts w:cs="宋体"/>
              <w:highlight w:val="none"/>
            </w:rPr>
            <w:t xml:space="preserve">9.3 </w:t>
          </w:r>
          <w:r>
            <w:rPr>
              <w:rFonts w:hint="eastAsia"/>
              <w:highlight w:val="none"/>
            </w:rPr>
            <w:t>设计内容及要求</w:t>
          </w:r>
          <w:r>
            <w:rPr>
              <w:highlight w:val="none"/>
            </w:rPr>
            <w:tab/>
          </w:r>
          <w:r>
            <w:rPr>
              <w:highlight w:val="none"/>
            </w:rPr>
            <w:fldChar w:fldCharType="begin"/>
          </w:r>
          <w:r>
            <w:rPr>
              <w:highlight w:val="none"/>
            </w:rPr>
            <w:instrText xml:space="preserve"> PAGEREF _Toc7633 \h </w:instrText>
          </w:r>
          <w:r>
            <w:rPr>
              <w:highlight w:val="none"/>
            </w:rPr>
            <w:fldChar w:fldCharType="separate"/>
          </w:r>
          <w:r>
            <w:rPr>
              <w:highlight w:val="none"/>
            </w:rPr>
            <w:t>29</w:t>
          </w:r>
          <w:r>
            <w:rPr>
              <w:highlight w:val="none"/>
            </w:rPr>
            <w:fldChar w:fldCharType="end"/>
          </w:r>
          <w:r>
            <w:rPr>
              <w:highlight w:val="none"/>
            </w:rPr>
            <w:fldChar w:fldCharType="end"/>
          </w:r>
        </w:p>
        <w:p w14:paraId="4A9BCCCC">
          <w:pPr>
            <w:pStyle w:val="44"/>
            <w:tabs>
              <w:tab w:val="right" w:leader="dot" w:pos="9070"/>
            </w:tabs>
            <w:ind w:left="480"/>
            <w:rPr>
              <w:highlight w:val="none"/>
            </w:rPr>
          </w:pPr>
          <w:r>
            <w:rPr>
              <w:highlight w:val="none"/>
            </w:rPr>
            <w:fldChar w:fldCharType="begin"/>
          </w:r>
          <w:r>
            <w:rPr>
              <w:highlight w:val="none"/>
            </w:rPr>
            <w:instrText xml:space="preserve"> HYPERLINK \l "_Toc17500" </w:instrText>
          </w:r>
          <w:r>
            <w:rPr>
              <w:highlight w:val="none"/>
            </w:rPr>
            <w:fldChar w:fldCharType="separate"/>
          </w:r>
          <w:r>
            <w:rPr>
              <w:rFonts w:cs="宋体"/>
              <w:highlight w:val="none"/>
            </w:rPr>
            <w:t xml:space="preserve">9.4 </w:t>
          </w:r>
          <w:r>
            <w:rPr>
              <w:rFonts w:hint="eastAsia"/>
              <w:highlight w:val="none"/>
            </w:rPr>
            <w:t>施工要求</w:t>
          </w:r>
          <w:r>
            <w:rPr>
              <w:highlight w:val="none"/>
            </w:rPr>
            <w:tab/>
          </w:r>
          <w:r>
            <w:rPr>
              <w:highlight w:val="none"/>
            </w:rPr>
            <w:fldChar w:fldCharType="begin"/>
          </w:r>
          <w:r>
            <w:rPr>
              <w:highlight w:val="none"/>
            </w:rPr>
            <w:instrText xml:space="preserve"> PAGEREF _Toc17500 \h </w:instrText>
          </w:r>
          <w:r>
            <w:rPr>
              <w:highlight w:val="none"/>
            </w:rPr>
            <w:fldChar w:fldCharType="separate"/>
          </w:r>
          <w:r>
            <w:rPr>
              <w:highlight w:val="none"/>
            </w:rPr>
            <w:t>29</w:t>
          </w:r>
          <w:r>
            <w:rPr>
              <w:highlight w:val="none"/>
            </w:rPr>
            <w:fldChar w:fldCharType="end"/>
          </w:r>
          <w:r>
            <w:rPr>
              <w:highlight w:val="none"/>
            </w:rPr>
            <w:fldChar w:fldCharType="end"/>
          </w:r>
        </w:p>
        <w:p w14:paraId="560C91C3">
          <w:pPr>
            <w:pStyle w:val="44"/>
            <w:tabs>
              <w:tab w:val="right" w:leader="dot" w:pos="9070"/>
            </w:tabs>
            <w:ind w:left="480"/>
            <w:rPr>
              <w:highlight w:val="none"/>
            </w:rPr>
          </w:pPr>
          <w:r>
            <w:rPr>
              <w:highlight w:val="none"/>
            </w:rPr>
            <w:fldChar w:fldCharType="begin"/>
          </w:r>
          <w:r>
            <w:rPr>
              <w:highlight w:val="none"/>
            </w:rPr>
            <w:instrText xml:space="preserve"> HYPERLINK \l "_Toc21717" </w:instrText>
          </w:r>
          <w:r>
            <w:rPr>
              <w:highlight w:val="none"/>
            </w:rPr>
            <w:fldChar w:fldCharType="separate"/>
          </w:r>
          <w:r>
            <w:rPr>
              <w:rFonts w:cs="宋体"/>
              <w:highlight w:val="none"/>
            </w:rPr>
            <w:t xml:space="preserve">9.5 </w:t>
          </w:r>
          <w:r>
            <w:rPr>
              <w:rFonts w:hint="eastAsia"/>
              <w:highlight w:val="none"/>
            </w:rPr>
            <w:t>质保要求</w:t>
          </w:r>
          <w:r>
            <w:rPr>
              <w:highlight w:val="none"/>
            </w:rPr>
            <w:tab/>
          </w:r>
          <w:r>
            <w:rPr>
              <w:highlight w:val="none"/>
            </w:rPr>
            <w:fldChar w:fldCharType="begin"/>
          </w:r>
          <w:r>
            <w:rPr>
              <w:highlight w:val="none"/>
            </w:rPr>
            <w:instrText xml:space="preserve"> PAGEREF _Toc21717 \h </w:instrText>
          </w:r>
          <w:r>
            <w:rPr>
              <w:highlight w:val="none"/>
            </w:rPr>
            <w:fldChar w:fldCharType="separate"/>
          </w:r>
          <w:r>
            <w:rPr>
              <w:highlight w:val="none"/>
            </w:rPr>
            <w:t>30</w:t>
          </w:r>
          <w:r>
            <w:rPr>
              <w:highlight w:val="none"/>
            </w:rPr>
            <w:fldChar w:fldCharType="end"/>
          </w:r>
          <w:r>
            <w:rPr>
              <w:highlight w:val="none"/>
            </w:rPr>
            <w:fldChar w:fldCharType="end"/>
          </w:r>
        </w:p>
        <w:p w14:paraId="3B40D602">
          <w:pPr>
            <w:pStyle w:val="44"/>
            <w:tabs>
              <w:tab w:val="right" w:leader="dot" w:pos="9070"/>
            </w:tabs>
            <w:ind w:left="480"/>
            <w:rPr>
              <w:highlight w:val="none"/>
            </w:rPr>
          </w:pPr>
          <w:r>
            <w:rPr>
              <w:highlight w:val="none"/>
            </w:rPr>
            <w:fldChar w:fldCharType="begin"/>
          </w:r>
          <w:r>
            <w:rPr>
              <w:highlight w:val="none"/>
            </w:rPr>
            <w:instrText xml:space="preserve"> HYPERLINK \l "_Toc20494" </w:instrText>
          </w:r>
          <w:r>
            <w:rPr>
              <w:highlight w:val="none"/>
            </w:rPr>
            <w:fldChar w:fldCharType="separate"/>
          </w:r>
          <w:r>
            <w:rPr>
              <w:rFonts w:cs="宋体"/>
              <w:highlight w:val="none"/>
            </w:rPr>
            <w:t xml:space="preserve">9.6 </w:t>
          </w:r>
          <w:r>
            <w:rPr>
              <w:rFonts w:hint="eastAsia"/>
              <w:highlight w:val="none"/>
            </w:rPr>
            <w:t>项目验收标准</w:t>
          </w:r>
          <w:r>
            <w:rPr>
              <w:highlight w:val="none"/>
            </w:rPr>
            <w:tab/>
          </w:r>
          <w:r>
            <w:rPr>
              <w:highlight w:val="none"/>
            </w:rPr>
            <w:fldChar w:fldCharType="begin"/>
          </w:r>
          <w:r>
            <w:rPr>
              <w:highlight w:val="none"/>
            </w:rPr>
            <w:instrText xml:space="preserve"> PAGEREF _Toc20494 \h </w:instrText>
          </w:r>
          <w:r>
            <w:rPr>
              <w:highlight w:val="none"/>
            </w:rPr>
            <w:fldChar w:fldCharType="separate"/>
          </w:r>
          <w:r>
            <w:rPr>
              <w:highlight w:val="none"/>
            </w:rPr>
            <w:t>30</w:t>
          </w:r>
          <w:r>
            <w:rPr>
              <w:highlight w:val="none"/>
            </w:rPr>
            <w:fldChar w:fldCharType="end"/>
          </w:r>
          <w:r>
            <w:rPr>
              <w:highlight w:val="none"/>
            </w:rPr>
            <w:fldChar w:fldCharType="end"/>
          </w:r>
        </w:p>
        <w:p w14:paraId="415EE158">
          <w:pPr>
            <w:pStyle w:val="44"/>
            <w:tabs>
              <w:tab w:val="right" w:leader="dot" w:pos="9070"/>
            </w:tabs>
            <w:ind w:left="480"/>
            <w:rPr>
              <w:highlight w:val="none"/>
            </w:rPr>
          </w:pPr>
          <w:r>
            <w:rPr>
              <w:highlight w:val="none"/>
            </w:rPr>
            <w:fldChar w:fldCharType="begin"/>
          </w:r>
          <w:r>
            <w:rPr>
              <w:highlight w:val="none"/>
            </w:rPr>
            <w:instrText xml:space="preserve"> HYPERLINK \l "_Toc28072" </w:instrText>
          </w:r>
          <w:r>
            <w:rPr>
              <w:highlight w:val="none"/>
            </w:rPr>
            <w:fldChar w:fldCharType="separate"/>
          </w:r>
          <w:r>
            <w:rPr>
              <w:rFonts w:cs="宋体"/>
              <w:highlight w:val="none"/>
            </w:rPr>
            <w:t xml:space="preserve">9.7 </w:t>
          </w:r>
          <w:r>
            <w:rPr>
              <w:rFonts w:hint="eastAsia"/>
              <w:highlight w:val="none"/>
            </w:rPr>
            <w:t>技术服务要求</w:t>
          </w:r>
          <w:r>
            <w:rPr>
              <w:highlight w:val="none"/>
            </w:rPr>
            <w:tab/>
          </w:r>
          <w:r>
            <w:rPr>
              <w:highlight w:val="none"/>
            </w:rPr>
            <w:fldChar w:fldCharType="begin"/>
          </w:r>
          <w:r>
            <w:rPr>
              <w:highlight w:val="none"/>
            </w:rPr>
            <w:instrText xml:space="preserve"> PAGEREF _Toc28072 \h </w:instrText>
          </w:r>
          <w:r>
            <w:rPr>
              <w:highlight w:val="none"/>
            </w:rPr>
            <w:fldChar w:fldCharType="separate"/>
          </w:r>
          <w:r>
            <w:rPr>
              <w:highlight w:val="none"/>
            </w:rPr>
            <w:t>30</w:t>
          </w:r>
          <w:r>
            <w:rPr>
              <w:highlight w:val="none"/>
            </w:rPr>
            <w:fldChar w:fldCharType="end"/>
          </w:r>
          <w:r>
            <w:rPr>
              <w:highlight w:val="none"/>
            </w:rPr>
            <w:fldChar w:fldCharType="end"/>
          </w:r>
        </w:p>
        <w:p w14:paraId="6FF7C5E8">
          <w:pPr>
            <w:pStyle w:val="44"/>
            <w:tabs>
              <w:tab w:val="right" w:leader="dot" w:pos="9070"/>
            </w:tabs>
            <w:ind w:left="480"/>
            <w:rPr>
              <w:highlight w:val="none"/>
            </w:rPr>
          </w:pPr>
          <w:r>
            <w:rPr>
              <w:highlight w:val="none"/>
            </w:rPr>
            <w:fldChar w:fldCharType="begin"/>
          </w:r>
          <w:r>
            <w:rPr>
              <w:highlight w:val="none"/>
            </w:rPr>
            <w:instrText xml:space="preserve"> HYPERLINK \l "_Toc26489" </w:instrText>
          </w:r>
          <w:r>
            <w:rPr>
              <w:highlight w:val="none"/>
            </w:rPr>
            <w:fldChar w:fldCharType="separate"/>
          </w:r>
          <w:r>
            <w:rPr>
              <w:rFonts w:cs="宋体"/>
              <w:highlight w:val="none"/>
            </w:rPr>
            <w:t xml:space="preserve">9.8 </w:t>
          </w:r>
          <w:r>
            <w:rPr>
              <w:rFonts w:hint="eastAsia"/>
              <w:highlight w:val="none"/>
            </w:rPr>
            <w:t>信息安全与第三方测试要求</w:t>
          </w:r>
          <w:r>
            <w:rPr>
              <w:highlight w:val="none"/>
            </w:rPr>
            <w:tab/>
          </w:r>
          <w:r>
            <w:rPr>
              <w:highlight w:val="none"/>
            </w:rPr>
            <w:fldChar w:fldCharType="begin"/>
          </w:r>
          <w:r>
            <w:rPr>
              <w:highlight w:val="none"/>
            </w:rPr>
            <w:instrText xml:space="preserve"> PAGEREF _Toc26489 \h </w:instrText>
          </w:r>
          <w:r>
            <w:rPr>
              <w:highlight w:val="none"/>
            </w:rPr>
            <w:fldChar w:fldCharType="separate"/>
          </w:r>
          <w:r>
            <w:rPr>
              <w:highlight w:val="none"/>
            </w:rPr>
            <w:t>30</w:t>
          </w:r>
          <w:r>
            <w:rPr>
              <w:highlight w:val="none"/>
            </w:rPr>
            <w:fldChar w:fldCharType="end"/>
          </w:r>
          <w:r>
            <w:rPr>
              <w:highlight w:val="none"/>
            </w:rPr>
            <w:fldChar w:fldCharType="end"/>
          </w:r>
        </w:p>
        <w:p w14:paraId="0F70466D">
          <w:pPr>
            <w:pStyle w:val="44"/>
            <w:tabs>
              <w:tab w:val="right" w:leader="dot" w:pos="9070"/>
            </w:tabs>
            <w:ind w:left="480"/>
            <w:rPr>
              <w:highlight w:val="none"/>
            </w:rPr>
          </w:pPr>
          <w:r>
            <w:rPr>
              <w:highlight w:val="none"/>
            </w:rPr>
            <w:fldChar w:fldCharType="begin"/>
          </w:r>
          <w:r>
            <w:rPr>
              <w:highlight w:val="none"/>
            </w:rPr>
            <w:instrText xml:space="preserve"> HYPERLINK \l "_Toc16599" </w:instrText>
          </w:r>
          <w:r>
            <w:rPr>
              <w:highlight w:val="none"/>
            </w:rPr>
            <w:fldChar w:fldCharType="separate"/>
          </w:r>
          <w:r>
            <w:rPr>
              <w:rFonts w:cs="宋体"/>
              <w:highlight w:val="none"/>
            </w:rPr>
            <w:t xml:space="preserve">9.9 </w:t>
          </w:r>
          <w:r>
            <w:rPr>
              <w:rFonts w:hint="eastAsia"/>
              <w:highlight w:val="none"/>
            </w:rPr>
            <w:t>质量保证措施</w:t>
          </w:r>
          <w:r>
            <w:rPr>
              <w:highlight w:val="none"/>
            </w:rPr>
            <w:tab/>
          </w:r>
          <w:r>
            <w:rPr>
              <w:highlight w:val="none"/>
            </w:rPr>
            <w:fldChar w:fldCharType="begin"/>
          </w:r>
          <w:r>
            <w:rPr>
              <w:highlight w:val="none"/>
            </w:rPr>
            <w:instrText xml:space="preserve"> PAGEREF _Toc16599 \h </w:instrText>
          </w:r>
          <w:r>
            <w:rPr>
              <w:highlight w:val="none"/>
            </w:rPr>
            <w:fldChar w:fldCharType="separate"/>
          </w:r>
          <w:r>
            <w:rPr>
              <w:highlight w:val="none"/>
            </w:rPr>
            <w:t>31</w:t>
          </w:r>
          <w:r>
            <w:rPr>
              <w:highlight w:val="none"/>
            </w:rPr>
            <w:fldChar w:fldCharType="end"/>
          </w:r>
          <w:r>
            <w:rPr>
              <w:highlight w:val="none"/>
            </w:rPr>
            <w:fldChar w:fldCharType="end"/>
          </w:r>
        </w:p>
        <w:p w14:paraId="614A81DD">
          <w:pPr>
            <w:pStyle w:val="29"/>
            <w:tabs>
              <w:tab w:val="right" w:leader="dot" w:pos="9070"/>
            </w:tabs>
            <w:ind w:left="960"/>
            <w:rPr>
              <w:highlight w:val="none"/>
            </w:rPr>
          </w:pPr>
          <w:r>
            <w:rPr>
              <w:highlight w:val="none"/>
            </w:rPr>
            <w:fldChar w:fldCharType="begin"/>
          </w:r>
          <w:r>
            <w:rPr>
              <w:highlight w:val="none"/>
            </w:rPr>
            <w:instrText xml:space="preserve"> HYPERLINK \l "_Toc25659" </w:instrText>
          </w:r>
          <w:r>
            <w:rPr>
              <w:highlight w:val="none"/>
            </w:rPr>
            <w:fldChar w:fldCharType="separate"/>
          </w:r>
          <w:r>
            <w:rPr>
              <w:highlight w:val="none"/>
            </w:rPr>
            <w:t xml:space="preserve">9.9.1 </w:t>
          </w:r>
          <w:r>
            <w:rPr>
              <w:rFonts w:hint="eastAsia"/>
              <w:highlight w:val="none"/>
            </w:rPr>
            <w:t>组织保证</w:t>
          </w:r>
          <w:r>
            <w:rPr>
              <w:highlight w:val="none"/>
            </w:rPr>
            <w:tab/>
          </w:r>
          <w:r>
            <w:rPr>
              <w:highlight w:val="none"/>
            </w:rPr>
            <w:fldChar w:fldCharType="begin"/>
          </w:r>
          <w:r>
            <w:rPr>
              <w:highlight w:val="none"/>
            </w:rPr>
            <w:instrText xml:space="preserve"> PAGEREF _Toc25659 \h </w:instrText>
          </w:r>
          <w:r>
            <w:rPr>
              <w:highlight w:val="none"/>
            </w:rPr>
            <w:fldChar w:fldCharType="separate"/>
          </w:r>
          <w:r>
            <w:rPr>
              <w:highlight w:val="none"/>
            </w:rPr>
            <w:t>31</w:t>
          </w:r>
          <w:r>
            <w:rPr>
              <w:highlight w:val="none"/>
            </w:rPr>
            <w:fldChar w:fldCharType="end"/>
          </w:r>
          <w:r>
            <w:rPr>
              <w:highlight w:val="none"/>
            </w:rPr>
            <w:fldChar w:fldCharType="end"/>
          </w:r>
        </w:p>
        <w:p w14:paraId="0264D2F5">
          <w:pPr>
            <w:pStyle w:val="29"/>
            <w:tabs>
              <w:tab w:val="right" w:leader="dot" w:pos="9070"/>
            </w:tabs>
            <w:ind w:left="960"/>
            <w:rPr>
              <w:highlight w:val="none"/>
            </w:rPr>
          </w:pPr>
          <w:r>
            <w:rPr>
              <w:highlight w:val="none"/>
            </w:rPr>
            <w:fldChar w:fldCharType="begin"/>
          </w:r>
          <w:r>
            <w:rPr>
              <w:highlight w:val="none"/>
            </w:rPr>
            <w:instrText xml:space="preserve"> HYPERLINK \l "_Toc8129" </w:instrText>
          </w:r>
          <w:r>
            <w:rPr>
              <w:highlight w:val="none"/>
            </w:rPr>
            <w:fldChar w:fldCharType="separate"/>
          </w:r>
          <w:r>
            <w:rPr>
              <w:highlight w:val="none"/>
            </w:rPr>
            <w:t xml:space="preserve">9.9.2 </w:t>
          </w:r>
          <w:r>
            <w:rPr>
              <w:rFonts w:hint="eastAsia"/>
              <w:highlight w:val="none"/>
            </w:rPr>
            <w:t>质量保证</w:t>
          </w:r>
          <w:r>
            <w:rPr>
              <w:highlight w:val="none"/>
            </w:rPr>
            <w:tab/>
          </w:r>
          <w:r>
            <w:rPr>
              <w:highlight w:val="none"/>
            </w:rPr>
            <w:fldChar w:fldCharType="begin"/>
          </w:r>
          <w:r>
            <w:rPr>
              <w:highlight w:val="none"/>
            </w:rPr>
            <w:instrText xml:space="preserve"> PAGEREF _Toc8129 \h </w:instrText>
          </w:r>
          <w:r>
            <w:rPr>
              <w:highlight w:val="none"/>
            </w:rPr>
            <w:fldChar w:fldCharType="separate"/>
          </w:r>
          <w:r>
            <w:rPr>
              <w:highlight w:val="none"/>
            </w:rPr>
            <w:t>31</w:t>
          </w:r>
          <w:r>
            <w:rPr>
              <w:highlight w:val="none"/>
            </w:rPr>
            <w:fldChar w:fldCharType="end"/>
          </w:r>
          <w:r>
            <w:rPr>
              <w:highlight w:val="none"/>
            </w:rPr>
            <w:fldChar w:fldCharType="end"/>
          </w:r>
        </w:p>
        <w:p w14:paraId="70FDA20B">
          <w:pPr>
            <w:pStyle w:val="44"/>
            <w:tabs>
              <w:tab w:val="right" w:leader="dot" w:pos="9070"/>
            </w:tabs>
            <w:ind w:left="480"/>
            <w:rPr>
              <w:highlight w:val="none"/>
            </w:rPr>
          </w:pPr>
          <w:r>
            <w:rPr>
              <w:highlight w:val="none"/>
            </w:rPr>
            <w:fldChar w:fldCharType="begin"/>
          </w:r>
          <w:r>
            <w:rPr>
              <w:highlight w:val="none"/>
            </w:rPr>
            <w:instrText xml:space="preserve"> HYPERLINK \l "_Toc8074" </w:instrText>
          </w:r>
          <w:r>
            <w:rPr>
              <w:highlight w:val="none"/>
            </w:rPr>
            <w:fldChar w:fldCharType="separate"/>
          </w:r>
          <w:r>
            <w:rPr>
              <w:rFonts w:cs="宋体"/>
              <w:highlight w:val="none"/>
            </w:rPr>
            <w:t xml:space="preserve">9.10 </w:t>
          </w:r>
          <w:r>
            <w:rPr>
              <w:rFonts w:hint="eastAsia"/>
              <w:highlight w:val="none"/>
            </w:rPr>
            <w:t>源代码管理</w:t>
          </w:r>
          <w:r>
            <w:rPr>
              <w:highlight w:val="none"/>
            </w:rPr>
            <w:tab/>
          </w:r>
          <w:r>
            <w:rPr>
              <w:highlight w:val="none"/>
            </w:rPr>
            <w:fldChar w:fldCharType="begin"/>
          </w:r>
          <w:r>
            <w:rPr>
              <w:highlight w:val="none"/>
            </w:rPr>
            <w:instrText xml:space="preserve"> PAGEREF _Toc8074 \h </w:instrText>
          </w:r>
          <w:r>
            <w:rPr>
              <w:highlight w:val="none"/>
            </w:rPr>
            <w:fldChar w:fldCharType="separate"/>
          </w:r>
          <w:r>
            <w:rPr>
              <w:highlight w:val="none"/>
            </w:rPr>
            <w:t>31</w:t>
          </w:r>
          <w:r>
            <w:rPr>
              <w:highlight w:val="none"/>
            </w:rPr>
            <w:fldChar w:fldCharType="end"/>
          </w:r>
          <w:r>
            <w:rPr>
              <w:highlight w:val="none"/>
            </w:rPr>
            <w:fldChar w:fldCharType="end"/>
          </w:r>
        </w:p>
        <w:p w14:paraId="4D3E842C">
          <w:pPr>
            <w:pStyle w:val="44"/>
            <w:tabs>
              <w:tab w:val="right" w:leader="dot" w:pos="9070"/>
            </w:tabs>
            <w:ind w:left="480"/>
            <w:rPr>
              <w:highlight w:val="none"/>
            </w:rPr>
          </w:pPr>
          <w:r>
            <w:rPr>
              <w:highlight w:val="none"/>
            </w:rPr>
            <w:fldChar w:fldCharType="begin"/>
          </w:r>
          <w:r>
            <w:rPr>
              <w:highlight w:val="none"/>
            </w:rPr>
            <w:instrText xml:space="preserve"> HYPERLINK \l "_Toc24274" </w:instrText>
          </w:r>
          <w:r>
            <w:rPr>
              <w:highlight w:val="none"/>
            </w:rPr>
            <w:fldChar w:fldCharType="separate"/>
          </w:r>
          <w:r>
            <w:rPr>
              <w:rFonts w:cs="宋体"/>
              <w:highlight w:val="none"/>
            </w:rPr>
            <w:t xml:space="preserve">9.11 </w:t>
          </w:r>
          <w:r>
            <w:rPr>
              <w:highlight w:val="none"/>
            </w:rPr>
            <w:t>其他要求</w:t>
          </w:r>
          <w:r>
            <w:rPr>
              <w:highlight w:val="none"/>
            </w:rPr>
            <w:tab/>
          </w:r>
          <w:r>
            <w:rPr>
              <w:highlight w:val="none"/>
            </w:rPr>
            <w:fldChar w:fldCharType="begin"/>
          </w:r>
          <w:r>
            <w:rPr>
              <w:highlight w:val="none"/>
            </w:rPr>
            <w:instrText xml:space="preserve"> PAGEREF _Toc24274 \h </w:instrText>
          </w:r>
          <w:r>
            <w:rPr>
              <w:highlight w:val="none"/>
            </w:rPr>
            <w:fldChar w:fldCharType="separate"/>
          </w:r>
          <w:r>
            <w:rPr>
              <w:highlight w:val="none"/>
            </w:rPr>
            <w:t>31</w:t>
          </w:r>
          <w:r>
            <w:rPr>
              <w:highlight w:val="none"/>
            </w:rPr>
            <w:fldChar w:fldCharType="end"/>
          </w:r>
          <w:r>
            <w:rPr>
              <w:highlight w:val="none"/>
            </w:rPr>
            <w:fldChar w:fldCharType="end"/>
          </w:r>
        </w:p>
        <w:p w14:paraId="7261666C">
          <w:pPr>
            <w:rPr>
              <w:highlight w:val="none"/>
            </w:rPr>
          </w:pPr>
          <w:r>
            <w:rPr>
              <w:highlight w:val="none"/>
              <w:lang w:val="zh-CN"/>
            </w:rPr>
            <w:fldChar w:fldCharType="end"/>
          </w:r>
        </w:p>
      </w:sdtContent>
    </w:sdt>
    <w:p w14:paraId="1DA3204B">
      <w:pPr>
        <w:rPr>
          <w:highlight w:val="none"/>
        </w:rPr>
        <w:sectPr>
          <w:footerReference r:id="rId8" w:type="default"/>
          <w:pgSz w:w="11906" w:h="16838"/>
          <w:pgMar w:top="1843" w:right="1418" w:bottom="1418" w:left="1418" w:header="1021" w:footer="1021" w:gutter="0"/>
          <w:pgNumType w:fmt="upperRoman" w:start="1"/>
          <w:cols w:space="425" w:num="1"/>
          <w:docGrid w:linePitch="312" w:charSpace="0"/>
        </w:sectPr>
      </w:pPr>
    </w:p>
    <w:p w14:paraId="161A95D2">
      <w:pPr>
        <w:pStyle w:val="2"/>
        <w:rPr>
          <w:highlight w:val="none"/>
        </w:rPr>
      </w:pPr>
      <w:bookmarkStart w:id="4" w:name="_Toc30804"/>
      <w:bookmarkStart w:id="5" w:name="_Toc34595292"/>
      <w:bookmarkStart w:id="6" w:name="_Toc23619"/>
      <w:bookmarkStart w:id="7" w:name="_Toc111111497"/>
      <w:r>
        <w:rPr>
          <w:rFonts w:hint="eastAsia"/>
          <w:highlight w:val="none"/>
        </w:rPr>
        <w:t>总则</w:t>
      </w:r>
      <w:bookmarkEnd w:id="4"/>
      <w:bookmarkEnd w:id="5"/>
      <w:bookmarkEnd w:id="6"/>
      <w:bookmarkStart w:id="8" w:name="_Toc447006348"/>
      <w:bookmarkStart w:id="9" w:name="_Toc454372710"/>
      <w:bookmarkStart w:id="10" w:name="_Toc446925633"/>
      <w:bookmarkStart w:id="11" w:name="_Toc450563509"/>
    </w:p>
    <w:p w14:paraId="13C663A1">
      <w:pPr>
        <w:rPr>
          <w:highlight w:val="none"/>
        </w:rPr>
      </w:pPr>
      <w:bookmarkStart w:id="12" w:name="_Toc22870"/>
      <w:bookmarkStart w:id="13" w:name="_Toc281942821"/>
      <w:r>
        <w:rPr>
          <w:rFonts w:hint="eastAsia"/>
          <w:highlight w:val="none"/>
        </w:rPr>
        <w:t>1.1</w:t>
      </w:r>
      <w:r>
        <w:rPr>
          <w:highlight w:val="none"/>
        </w:rPr>
        <w:t>本工程是</w:t>
      </w:r>
      <w:r>
        <w:rPr>
          <w:rFonts w:hint="eastAsia"/>
          <w:highlight w:val="none"/>
        </w:rPr>
        <w:t>“</w:t>
      </w:r>
      <w:r>
        <w:rPr>
          <w:rFonts w:hint="eastAsia"/>
          <w:highlight w:val="none"/>
          <w:lang w:val="en-US" w:eastAsia="zh-CN"/>
        </w:rPr>
        <w:t>2</w:t>
      </w:r>
      <w:r>
        <w:rPr>
          <w:rFonts w:hint="eastAsia"/>
          <w:highlight w:val="none"/>
        </w:rPr>
        <w:t>025年广州供电局计量中心（基于大模型的智能体能力提升）计量自动化系统主站改造计量自动化系统智能化改造”</w:t>
      </w:r>
      <w:r>
        <w:rPr>
          <w:highlight w:val="none"/>
        </w:rPr>
        <w:t>，即本次采购的范围。本工程采购技术规范书的最终解释权归采购方。</w:t>
      </w:r>
    </w:p>
    <w:p w14:paraId="2F43E3B2">
      <w:pPr>
        <w:rPr>
          <w:highlight w:val="none"/>
        </w:rPr>
      </w:pPr>
      <w:r>
        <w:rPr>
          <w:rFonts w:hint="eastAsia"/>
          <w:highlight w:val="none"/>
        </w:rPr>
        <w:t>1.2本招标文件描述了计量自动化系统智能化改造的项目目标、内容和要求，可供投标方编写投标文件之用。</w:t>
      </w:r>
    </w:p>
    <w:p w14:paraId="5A82E500">
      <w:pPr>
        <w:rPr>
          <w:highlight w:val="none"/>
        </w:rPr>
      </w:pPr>
      <w:r>
        <w:rPr>
          <w:rFonts w:hint="eastAsia"/>
          <w:highlight w:val="none"/>
        </w:rPr>
        <w:t>1.3投标人应按照本招标文件的要求提供详细、完整的解决方案。该方案应完全满足或高于本招标文件要求，对于本招标文件中的某些部分，投标人如不能满足要求，或有其它替代方案，或有其它修改建议，应在方案中指出其必须进行修改的理由以及与原要求的差异，否则，招标人即认为投标人可以满足本招标文件的要求。</w:t>
      </w:r>
    </w:p>
    <w:bookmarkEnd w:id="8"/>
    <w:bookmarkEnd w:id="9"/>
    <w:bookmarkEnd w:id="10"/>
    <w:bookmarkEnd w:id="11"/>
    <w:bookmarkEnd w:id="12"/>
    <w:bookmarkEnd w:id="13"/>
    <w:p w14:paraId="6A9819D3">
      <w:pPr>
        <w:rPr>
          <w:highlight w:val="none"/>
          <w:lang w:bidi="en-US"/>
        </w:rPr>
      </w:pPr>
      <w:bookmarkStart w:id="14" w:name="_Toc450563511"/>
      <w:bookmarkStart w:id="15" w:name="_Toc446925635"/>
      <w:bookmarkStart w:id="16" w:name="_Toc447006350"/>
      <w:bookmarkStart w:id="17" w:name="_Toc454372712"/>
      <w:r>
        <w:rPr>
          <w:rFonts w:hint="eastAsia"/>
          <w:highlight w:val="none"/>
          <w:lang w:bidi="en-US"/>
        </w:rPr>
        <w:t>1.4本技术规范书提出的要求是最低限度的技术要求，并未对一切技术细节做出规定，也未充分引述有关标准和规范的条文。投标人提供的系统必须遵循国际和国内相关领域最新版本的标准和规范，并满足南方电网和广东电网公司制定的相关技术规范。如本技术规范书对保证项目成功所需服务及成果的要求有所遗漏，投标人应予以补充并进行报价，否则中标后发现的遗漏部分将视为已被投标人认可并免费提供。</w:t>
      </w:r>
    </w:p>
    <w:p w14:paraId="682391E9">
      <w:pPr>
        <w:rPr>
          <w:highlight w:val="none"/>
        </w:rPr>
      </w:pPr>
      <w:r>
        <w:rPr>
          <w:rFonts w:hint="eastAsia"/>
          <w:highlight w:val="none"/>
          <w:lang w:bidi="en-US"/>
        </w:rPr>
        <w:t>1.5所有招标人认为是本招标文件范围所要求而被遗漏的项目，都被认为是包含在本次招标范围内，投标人的报价被视为包含此遗漏项目的报价。投标人可以就投标人认为的遗漏项目提请招标人注意，并详细说明理由，招标人将就此进行澄清。</w:t>
      </w:r>
    </w:p>
    <w:bookmarkEnd w:id="14"/>
    <w:bookmarkEnd w:id="15"/>
    <w:bookmarkEnd w:id="16"/>
    <w:bookmarkEnd w:id="17"/>
    <w:p w14:paraId="37A184D1">
      <w:pPr>
        <w:rPr>
          <w:highlight w:val="none"/>
        </w:rPr>
      </w:pPr>
      <w:r>
        <w:rPr>
          <w:rFonts w:hint="eastAsia"/>
          <w:highlight w:val="none"/>
        </w:rPr>
        <w:t>1.6本技术规范书所使用的标准如遇与投标方所执行的标准不一致时，按较高标准执行。</w:t>
      </w:r>
    </w:p>
    <w:p w14:paraId="4A71125A">
      <w:pPr>
        <w:rPr>
          <w:highlight w:val="none"/>
        </w:rPr>
      </w:pPr>
      <w:r>
        <w:rPr>
          <w:rFonts w:hint="eastAsia"/>
          <w:highlight w:val="none"/>
        </w:rPr>
        <w:t>1.7投标方必须对工程技术文件以及由招标方提供的所有内部资料、技术文档和信</w:t>
      </w:r>
      <w:r>
        <w:rPr>
          <w:highlight w:val="none"/>
        </w:rPr>
        <w:t>息予以保密。投标方必须遵守与招标方签订的保密协议，未经招标方书面许可，投标方</w:t>
      </w:r>
    </w:p>
    <w:p w14:paraId="6ED9EB06">
      <w:pPr>
        <w:rPr>
          <w:highlight w:val="none"/>
        </w:rPr>
      </w:pPr>
      <w:r>
        <w:rPr>
          <w:highlight w:val="none"/>
          <w:lang w:bidi="ar"/>
        </w:rPr>
        <w:t>不得以任何形式向第三方透露本技术规范书以及本项目的任何内容。</w:t>
      </w:r>
    </w:p>
    <w:p w14:paraId="391A2756">
      <w:pPr>
        <w:rPr>
          <w:highlight w:val="none"/>
        </w:rPr>
      </w:pPr>
      <w:r>
        <w:rPr>
          <w:highlight w:val="none"/>
          <w:lang w:bidi="ar"/>
        </w:rPr>
        <w:t>1.</w:t>
      </w:r>
      <w:r>
        <w:rPr>
          <w:rFonts w:hint="eastAsia"/>
          <w:highlight w:val="none"/>
          <w:lang w:bidi="ar"/>
        </w:rPr>
        <w:t>8</w:t>
      </w:r>
      <w:r>
        <w:rPr>
          <w:highlight w:val="none"/>
          <w:lang w:bidi="ar"/>
        </w:rPr>
        <w:t>投标方应保证所提供的所有资料真实、完整、准确无误，否则招标方将有权取消投标方的中标资格，由此产生的一切后果由投标方承担。</w:t>
      </w:r>
    </w:p>
    <w:p w14:paraId="3B63E649">
      <w:pPr>
        <w:rPr>
          <w:highlight w:val="none"/>
        </w:rPr>
      </w:pPr>
      <w:bookmarkStart w:id="18" w:name="_Toc450563515"/>
      <w:bookmarkStart w:id="19" w:name="_Toc454372716"/>
      <w:bookmarkStart w:id="20" w:name="_Toc447006354"/>
      <w:bookmarkStart w:id="21" w:name="_Toc446925639"/>
      <w:r>
        <w:rPr>
          <w:highlight w:val="none"/>
        </w:rPr>
        <w:t>1.</w:t>
      </w:r>
      <w:r>
        <w:rPr>
          <w:rFonts w:hint="eastAsia"/>
          <w:highlight w:val="none"/>
        </w:rPr>
        <w:t>9</w:t>
      </w:r>
      <w:r>
        <w:rPr>
          <w:highlight w:val="none"/>
        </w:rPr>
        <w:t>投标方应充分理解本技术规范书并按本技术规范书的具体条款、格式要求填写应标的技术文件，如发现应标的技术文件条款、格式不符合本技术条件书的要求，则认为应标不严肃，在评标时可有不同程度的扣分。</w:t>
      </w:r>
      <w:bookmarkEnd w:id="18"/>
      <w:bookmarkEnd w:id="19"/>
      <w:bookmarkEnd w:id="20"/>
      <w:bookmarkEnd w:id="21"/>
    </w:p>
    <w:p w14:paraId="02864269">
      <w:pPr>
        <w:rPr>
          <w:highlight w:val="none"/>
        </w:rPr>
      </w:pPr>
      <w:r>
        <w:rPr>
          <w:highlight w:val="none"/>
          <w:lang w:bidi="ar"/>
        </w:rPr>
        <w:t>1.1</w:t>
      </w:r>
      <w:r>
        <w:rPr>
          <w:rFonts w:hint="eastAsia"/>
          <w:highlight w:val="none"/>
          <w:lang w:bidi="ar"/>
        </w:rPr>
        <w:t>0</w:t>
      </w:r>
      <w:r>
        <w:rPr>
          <w:highlight w:val="none"/>
          <w:lang w:bidi="ar"/>
        </w:rPr>
        <w:t>招标方在任何时候保留和拥有对本文件的解释权。招标人保留解释修改本技术规范书的权力，双方对本技术规范书条款理解有歧义的，以招标人的解释为准；在投标截止前，招标人可以根据需要对本技术规范书进行变更。</w:t>
      </w:r>
    </w:p>
    <w:p w14:paraId="73AE58FC">
      <w:pPr>
        <w:pStyle w:val="2"/>
        <w:rPr>
          <w:highlight w:val="none"/>
        </w:rPr>
      </w:pPr>
      <w:bookmarkStart w:id="22" w:name="_Toc15735"/>
      <w:bookmarkStart w:id="23" w:name="_Toc12345"/>
      <w:r>
        <w:rPr>
          <w:rFonts w:hint="eastAsia"/>
          <w:highlight w:val="none"/>
        </w:rPr>
        <w:t>技术投标编制文件要求</w:t>
      </w:r>
      <w:bookmarkEnd w:id="22"/>
      <w:bookmarkEnd w:id="23"/>
    </w:p>
    <w:p w14:paraId="0298A726">
      <w:pPr>
        <w:rPr>
          <w:highlight w:val="none"/>
        </w:rPr>
      </w:pPr>
      <w:r>
        <w:rPr>
          <w:rFonts w:hint="eastAsia"/>
          <w:highlight w:val="none"/>
        </w:rPr>
        <w:t>投标方提供的技术投标书须由《点对点应答》和《技术方案》两部分组成，并遵循以下要求编制。</w:t>
      </w:r>
    </w:p>
    <w:p w14:paraId="35512111">
      <w:pPr>
        <w:rPr>
          <w:highlight w:val="none"/>
        </w:rPr>
      </w:pPr>
      <w:r>
        <w:rPr>
          <w:highlight w:val="none"/>
        </w:rPr>
        <w:t>1)</w:t>
      </w:r>
      <w:r>
        <w:rPr>
          <w:rFonts w:hint="eastAsia"/>
          <w:highlight w:val="none"/>
        </w:rPr>
        <w:t>投标方的《点对点应答》中，应说明投标方对本技术招标文件的各项要求，描述及各章节的理解程度。</w:t>
      </w:r>
    </w:p>
    <w:p w14:paraId="046E4EDE">
      <w:pPr>
        <w:rPr>
          <w:highlight w:val="none"/>
        </w:rPr>
      </w:pPr>
      <w:r>
        <w:rPr>
          <w:rFonts w:hint="eastAsia"/>
          <w:highlight w:val="none"/>
        </w:rPr>
        <w:t>2)投标方的《点对点应答》中，要求对本技术招标文件所提出的各项要求，各项章节进行逐条逐项答复、说明和解释，首先对实现或满足程度明确做出</w:t>
      </w:r>
      <w:r>
        <w:rPr>
          <w:highlight w:val="none"/>
        </w:rPr>
        <w:t>“</w:t>
      </w:r>
      <w:r>
        <w:rPr>
          <w:rFonts w:hint="eastAsia"/>
          <w:highlight w:val="none"/>
        </w:rPr>
        <w:t>满足</w:t>
      </w:r>
      <w:r>
        <w:rPr>
          <w:highlight w:val="none"/>
        </w:rPr>
        <w:t>”</w:t>
      </w:r>
      <w:r>
        <w:rPr>
          <w:rFonts w:hint="eastAsia"/>
          <w:highlight w:val="none"/>
        </w:rPr>
        <w:t>、</w:t>
      </w:r>
      <w:r>
        <w:rPr>
          <w:highlight w:val="none"/>
        </w:rPr>
        <w:t>“</w:t>
      </w:r>
      <w:r>
        <w:rPr>
          <w:rFonts w:hint="eastAsia"/>
          <w:highlight w:val="none"/>
        </w:rPr>
        <w:t>部分满足</w:t>
      </w:r>
      <w:r>
        <w:rPr>
          <w:highlight w:val="none"/>
        </w:rPr>
        <w:t>”</w:t>
      </w:r>
      <w:r>
        <w:rPr>
          <w:rFonts w:hint="eastAsia"/>
          <w:highlight w:val="none"/>
        </w:rPr>
        <w:t>、</w:t>
      </w:r>
      <w:r>
        <w:rPr>
          <w:highlight w:val="none"/>
        </w:rPr>
        <w:t>“</w:t>
      </w:r>
      <w:r>
        <w:rPr>
          <w:rFonts w:hint="eastAsia"/>
          <w:highlight w:val="none"/>
        </w:rPr>
        <w:t>不满足</w:t>
      </w:r>
      <w:r>
        <w:rPr>
          <w:highlight w:val="none"/>
        </w:rPr>
        <w:t>”</w:t>
      </w:r>
      <w:r>
        <w:rPr>
          <w:rFonts w:hint="eastAsia"/>
          <w:highlight w:val="none"/>
        </w:rPr>
        <w:t>等应答。如投标方对某些部分不能满足、部分满足本招标文件要求时</w:t>
      </w:r>
      <w:r>
        <w:rPr>
          <w:highlight w:val="none"/>
        </w:rPr>
        <w:t>,</w:t>
      </w:r>
      <w:r>
        <w:rPr>
          <w:rFonts w:hint="eastAsia"/>
          <w:highlight w:val="none"/>
        </w:rPr>
        <w:t>需详细说明原因</w:t>
      </w:r>
      <w:r>
        <w:rPr>
          <w:highlight w:val="none"/>
        </w:rPr>
        <w:t>,</w:t>
      </w:r>
      <w:r>
        <w:rPr>
          <w:rFonts w:hint="eastAsia"/>
          <w:highlight w:val="none"/>
        </w:rPr>
        <w:t>明确满足招标文件要求的时限，并承诺今后免费提供该设备或服务。</w:t>
      </w:r>
    </w:p>
    <w:p w14:paraId="16D43BEB">
      <w:pPr>
        <w:rPr>
          <w:highlight w:val="none"/>
        </w:rPr>
      </w:pPr>
      <w:r>
        <w:rPr>
          <w:rFonts w:hint="eastAsia"/>
          <w:highlight w:val="none"/>
        </w:rPr>
        <w:t>3)凡在《点对点应答》中答复为</w:t>
      </w:r>
      <w:r>
        <w:rPr>
          <w:highlight w:val="none"/>
        </w:rPr>
        <w:t>“</w:t>
      </w:r>
      <w:r>
        <w:rPr>
          <w:rFonts w:hint="eastAsia"/>
          <w:highlight w:val="none"/>
        </w:rPr>
        <w:t>满足</w:t>
      </w:r>
      <w:r>
        <w:rPr>
          <w:highlight w:val="none"/>
        </w:rPr>
        <w:t>”</w:t>
      </w:r>
      <w:r>
        <w:rPr>
          <w:rFonts w:hint="eastAsia"/>
          <w:highlight w:val="none"/>
        </w:rPr>
        <w:t>的，双方均视其为无条件满足。若有附加条件的，双方均视其为</w:t>
      </w:r>
      <w:r>
        <w:rPr>
          <w:highlight w:val="none"/>
        </w:rPr>
        <w:t>“</w:t>
      </w:r>
      <w:r>
        <w:rPr>
          <w:rFonts w:hint="eastAsia"/>
          <w:highlight w:val="none"/>
        </w:rPr>
        <w:t>部分满足</w:t>
      </w:r>
      <w:r>
        <w:rPr>
          <w:highlight w:val="none"/>
        </w:rPr>
        <w:t>”</w:t>
      </w:r>
      <w:r>
        <w:rPr>
          <w:rFonts w:hint="eastAsia"/>
          <w:highlight w:val="none"/>
        </w:rPr>
        <w:t>。如答复为规定格式之外其它内容的，均视为</w:t>
      </w:r>
      <w:r>
        <w:rPr>
          <w:highlight w:val="none"/>
        </w:rPr>
        <w:t>“</w:t>
      </w:r>
      <w:r>
        <w:rPr>
          <w:rFonts w:hint="eastAsia"/>
          <w:highlight w:val="none"/>
        </w:rPr>
        <w:t>不满足</w:t>
      </w:r>
      <w:r>
        <w:rPr>
          <w:highlight w:val="none"/>
        </w:rPr>
        <w:t>”</w:t>
      </w:r>
      <w:r>
        <w:rPr>
          <w:rFonts w:hint="eastAsia"/>
          <w:highlight w:val="none"/>
        </w:rPr>
        <w:t>。</w:t>
      </w:r>
    </w:p>
    <w:p w14:paraId="670B72B9">
      <w:pPr>
        <w:rPr>
          <w:highlight w:val="none"/>
        </w:rPr>
      </w:pPr>
      <w:r>
        <w:rPr>
          <w:rFonts w:hint="eastAsia"/>
          <w:highlight w:val="none"/>
        </w:rPr>
        <w:t>4)投标方在对本招标文件作完整答复的前提下，应将答复为</w:t>
      </w:r>
      <w:r>
        <w:rPr>
          <w:highlight w:val="none"/>
        </w:rPr>
        <w:t>“</w:t>
      </w:r>
      <w:r>
        <w:rPr>
          <w:rFonts w:hint="eastAsia"/>
          <w:highlight w:val="none"/>
        </w:rPr>
        <w:t>部分满足</w:t>
      </w:r>
      <w:r>
        <w:rPr>
          <w:highlight w:val="none"/>
        </w:rPr>
        <w:t>”</w:t>
      </w:r>
      <w:r>
        <w:rPr>
          <w:rFonts w:hint="eastAsia"/>
          <w:highlight w:val="none"/>
        </w:rPr>
        <w:t>、</w:t>
      </w:r>
      <w:r>
        <w:rPr>
          <w:highlight w:val="none"/>
        </w:rPr>
        <w:t>“</w:t>
      </w:r>
      <w:r>
        <w:rPr>
          <w:rFonts w:hint="eastAsia"/>
          <w:highlight w:val="none"/>
        </w:rPr>
        <w:t>不满足</w:t>
      </w:r>
      <w:r>
        <w:rPr>
          <w:highlight w:val="none"/>
        </w:rPr>
        <w:t>”</w:t>
      </w:r>
      <w:r>
        <w:rPr>
          <w:rFonts w:hint="eastAsia"/>
          <w:highlight w:val="none"/>
        </w:rPr>
        <w:t>的有关条款及其解释单独列出，汇编为正式文档提交给招标方。</w:t>
      </w:r>
    </w:p>
    <w:p w14:paraId="3D3D0091">
      <w:pPr>
        <w:rPr>
          <w:highlight w:val="none"/>
        </w:rPr>
      </w:pPr>
      <w:r>
        <w:rPr>
          <w:rFonts w:hint="eastAsia"/>
          <w:highlight w:val="none"/>
        </w:rPr>
        <w:t>5)凡《点对点应答》的答复与其《技术方案》的其他部分或报价书有出入的，以《点对点应答》的答复为准，由此产生的一切后果，由投标方负责。</w:t>
      </w:r>
    </w:p>
    <w:p w14:paraId="684BA0F3">
      <w:pPr>
        <w:rPr>
          <w:highlight w:val="none"/>
        </w:rPr>
      </w:pPr>
      <w:r>
        <w:rPr>
          <w:rFonts w:hint="eastAsia"/>
          <w:highlight w:val="none"/>
        </w:rPr>
        <w:t>投标人需按照本技术招标文件内容编制相应的技术方案，对项目要求和需求逐项给予响应并提出解决方案，如对本招标文件有修改建议亦应一并提出并详细说明。</w:t>
      </w:r>
    </w:p>
    <w:p w14:paraId="386A8828">
      <w:pPr>
        <w:rPr>
          <w:highlight w:val="none"/>
        </w:rPr>
      </w:pPr>
      <w:r>
        <w:rPr>
          <w:rFonts w:hint="eastAsia"/>
          <w:highlight w:val="none"/>
        </w:rPr>
        <w:t>1)本卷所描述的建设需求仅供投标方编制投标文件之用。投标方可以提出不同的方案，但方案必须满足或优于本标书所阐述的全部技术功能要求。</w:t>
      </w:r>
    </w:p>
    <w:p w14:paraId="69F6465D">
      <w:pPr>
        <w:rPr>
          <w:highlight w:val="none"/>
        </w:rPr>
      </w:pPr>
      <w:r>
        <w:rPr>
          <w:rFonts w:hint="eastAsia"/>
          <w:highlight w:val="none"/>
        </w:rPr>
        <w:t>2)投标方在投标文件中，对本标书应逐项予以说明和答复，给出点对点应答，同时根据具体情况提出相关的具体实施方案。</w:t>
      </w:r>
    </w:p>
    <w:p w14:paraId="27F643D7">
      <w:pPr>
        <w:rPr>
          <w:highlight w:val="none"/>
        </w:rPr>
      </w:pPr>
      <w:r>
        <w:rPr>
          <w:rFonts w:hint="eastAsia"/>
          <w:highlight w:val="none"/>
        </w:rPr>
        <w:t>3)本标书仅描述基本的技术需求，并未对一切技术细节做出规定，也未充分引述有关标准和技术条文，投标方应根据需求目标提供进一步具体的可满足要求的改造方案。</w:t>
      </w:r>
    </w:p>
    <w:p w14:paraId="2D9551B8">
      <w:pPr>
        <w:rPr>
          <w:highlight w:val="none"/>
        </w:rPr>
      </w:pPr>
      <w:r>
        <w:rPr>
          <w:rFonts w:hint="eastAsia"/>
          <w:highlight w:val="none"/>
        </w:rPr>
        <w:t>4)投标技术文件要求文字精练、表述及图示清晰明确，具有针对性。</w:t>
      </w:r>
    </w:p>
    <w:p w14:paraId="546CC5AD">
      <w:pPr>
        <w:rPr>
          <w:highlight w:val="none"/>
        </w:rPr>
      </w:pPr>
      <w:r>
        <w:rPr>
          <w:rFonts w:hint="eastAsia"/>
          <w:highlight w:val="none"/>
        </w:rPr>
        <w:t>5)配合并协助招标方进行现场验收，负责编制验收相关资料。</w:t>
      </w:r>
    </w:p>
    <w:p w14:paraId="6BE862C6">
      <w:pPr>
        <w:pStyle w:val="2"/>
        <w:rPr>
          <w:highlight w:val="none"/>
        </w:rPr>
      </w:pPr>
      <w:bookmarkStart w:id="24" w:name="_Toc29804"/>
      <w:r>
        <w:rPr>
          <w:rFonts w:hint="eastAsia"/>
          <w:highlight w:val="none"/>
        </w:rPr>
        <w:t>遵循标准</w:t>
      </w:r>
      <w:bookmarkEnd w:id="24"/>
    </w:p>
    <w:p w14:paraId="4D223978">
      <w:pPr>
        <w:rPr>
          <w:highlight w:val="none"/>
        </w:rPr>
      </w:pPr>
      <w:r>
        <w:rPr>
          <w:rFonts w:hint="eastAsia"/>
          <w:highlight w:val="none"/>
        </w:rPr>
        <w:t>投标人需遵循但不限于以下的相关标准、规范：</w:t>
      </w:r>
    </w:p>
    <w:p w14:paraId="35038E08">
      <w:pPr>
        <w:rPr>
          <w:highlight w:val="none"/>
        </w:rPr>
      </w:pPr>
      <w:r>
        <w:rPr>
          <w:rFonts w:hint="eastAsia"/>
          <w:highlight w:val="none"/>
        </w:rPr>
        <w:t>(1) 《信息安全技术网络安全等级保护基本要求》（GBT 22239-2019）</w:t>
      </w:r>
    </w:p>
    <w:p w14:paraId="646C8FC9">
      <w:pPr>
        <w:rPr>
          <w:highlight w:val="none"/>
        </w:rPr>
      </w:pPr>
      <w:r>
        <w:rPr>
          <w:rFonts w:hint="eastAsia"/>
          <w:highlight w:val="none"/>
        </w:rPr>
        <w:t>(2) 《信息安全技术网络安全等级保护安全设计技术要求》（GB/T 25070-2019）</w:t>
      </w:r>
    </w:p>
    <w:p w14:paraId="33D50BC7">
      <w:pPr>
        <w:rPr>
          <w:highlight w:val="none"/>
        </w:rPr>
      </w:pPr>
      <w:r>
        <w:rPr>
          <w:rFonts w:hint="eastAsia"/>
          <w:highlight w:val="none"/>
        </w:rPr>
        <w:t>(3) 《信息安全技术网络安全等级保护测评要求》（GB/T 28448-2019）</w:t>
      </w:r>
    </w:p>
    <w:p w14:paraId="0F31B181">
      <w:pPr>
        <w:rPr>
          <w:highlight w:val="none"/>
        </w:rPr>
      </w:pPr>
      <w:r>
        <w:rPr>
          <w:rFonts w:hint="eastAsia"/>
          <w:highlight w:val="none"/>
        </w:rPr>
        <w:t>(4) 《信息安全技术信息系统密码应用基本要求》（GB/T 39786-2021）</w:t>
      </w:r>
    </w:p>
    <w:p w14:paraId="00735E09">
      <w:pPr>
        <w:rPr>
          <w:highlight w:val="none"/>
        </w:rPr>
      </w:pPr>
      <w:r>
        <w:rPr>
          <w:rFonts w:hint="eastAsia"/>
          <w:highlight w:val="none"/>
        </w:rPr>
        <w:t>(5) 《电力监控系统安全防护规定》（国家发展和改革委员会2024年27号令）</w:t>
      </w:r>
    </w:p>
    <w:p w14:paraId="64EB2D46">
      <w:pPr>
        <w:rPr>
          <w:highlight w:val="none"/>
        </w:rPr>
      </w:pPr>
      <w:r>
        <w:rPr>
          <w:rFonts w:hint="eastAsia"/>
          <w:highlight w:val="none"/>
        </w:rPr>
        <w:t>(6) 《中国南方电网电力监控系统网络安全技术规范》（Q/CSG 120499-2021）</w:t>
      </w:r>
    </w:p>
    <w:p w14:paraId="2D34C481">
      <w:pPr>
        <w:rPr>
          <w:highlight w:val="none"/>
        </w:rPr>
      </w:pPr>
      <w:r>
        <w:rPr>
          <w:rFonts w:hint="eastAsia"/>
          <w:highlight w:val="none"/>
        </w:rPr>
        <w:t>(7) 《“十四五”数字经济发展规划》（国发〔2021〕29号）</w:t>
      </w:r>
    </w:p>
    <w:p w14:paraId="5C634148">
      <w:pPr>
        <w:rPr>
          <w:highlight w:val="none"/>
        </w:rPr>
      </w:pPr>
      <w:r>
        <w:rPr>
          <w:rFonts w:hint="eastAsia"/>
          <w:highlight w:val="none"/>
        </w:rPr>
        <w:t>(8) 《计量发展规划（2021-2035年）》（国发〔2021〕37号）</w:t>
      </w:r>
    </w:p>
    <w:p w14:paraId="66CC5EBD">
      <w:pPr>
        <w:rPr>
          <w:highlight w:val="none"/>
        </w:rPr>
      </w:pPr>
      <w:r>
        <w:rPr>
          <w:rFonts w:hint="eastAsia"/>
          <w:highlight w:val="none"/>
        </w:rPr>
        <w:t>(9) 《南方电网公司“十四五”发展规划和2035年远景目标展望》</w:t>
      </w:r>
    </w:p>
    <w:p w14:paraId="495B74F7">
      <w:pPr>
        <w:rPr>
          <w:highlight w:val="none"/>
        </w:rPr>
      </w:pPr>
      <w:r>
        <w:rPr>
          <w:rFonts w:hint="eastAsia"/>
          <w:highlight w:val="none"/>
        </w:rPr>
        <w:t>(10) 《南方电网公司“十四五”市场计量规划》</w:t>
      </w:r>
    </w:p>
    <w:p w14:paraId="54A30EAE">
      <w:pPr>
        <w:rPr>
          <w:highlight w:val="none"/>
        </w:rPr>
      </w:pPr>
      <w:r>
        <w:rPr>
          <w:rFonts w:hint="eastAsia"/>
          <w:highlight w:val="none"/>
        </w:rPr>
        <w:t>(11) 《南方电网公司“十四五”数字化规划》</w:t>
      </w:r>
    </w:p>
    <w:p w14:paraId="0E771915">
      <w:pPr>
        <w:rPr>
          <w:highlight w:val="none"/>
        </w:rPr>
      </w:pPr>
      <w:r>
        <w:rPr>
          <w:rFonts w:hint="eastAsia"/>
          <w:highlight w:val="none"/>
        </w:rPr>
        <w:t>(12) 《南方电网公司“十四五”电能量数据深化应用规划》</w:t>
      </w:r>
    </w:p>
    <w:p w14:paraId="0A09F560">
      <w:pPr>
        <w:rPr>
          <w:highlight w:val="none"/>
        </w:rPr>
      </w:pPr>
      <w:r>
        <w:rPr>
          <w:rFonts w:hint="eastAsia"/>
          <w:highlight w:val="none"/>
        </w:rPr>
        <w:t>(13) 《南方电网公司发展战略纲要（2019年版）》</w:t>
      </w:r>
    </w:p>
    <w:p w14:paraId="3B1726F0">
      <w:pPr>
        <w:rPr>
          <w:highlight w:val="none"/>
        </w:rPr>
      </w:pPr>
      <w:r>
        <w:rPr>
          <w:rFonts w:hint="eastAsia"/>
          <w:highlight w:val="none"/>
        </w:rPr>
        <w:t>(14) 《公司数字化转型和数字南网建设行动方案》</w:t>
      </w:r>
    </w:p>
    <w:p w14:paraId="023D8E79">
      <w:pPr>
        <w:rPr>
          <w:highlight w:val="none"/>
        </w:rPr>
      </w:pPr>
      <w:r>
        <w:rPr>
          <w:rFonts w:hint="eastAsia"/>
          <w:highlight w:val="none"/>
        </w:rPr>
        <w:t>(15) 《南方电网新型电力系统白皮书》</w:t>
      </w:r>
    </w:p>
    <w:p w14:paraId="0E8F5DCD">
      <w:pPr>
        <w:rPr>
          <w:highlight w:val="none"/>
        </w:rPr>
      </w:pPr>
      <w:r>
        <w:rPr>
          <w:rFonts w:hint="eastAsia"/>
          <w:highlight w:val="none"/>
        </w:rPr>
        <w:t>(16) 《南方电网公司现代供电服务体系建设工作方案》</w:t>
      </w:r>
    </w:p>
    <w:p w14:paraId="2D0E2A8A">
      <w:pPr>
        <w:rPr>
          <w:highlight w:val="none"/>
        </w:rPr>
      </w:pPr>
      <w:r>
        <w:rPr>
          <w:rFonts w:hint="eastAsia"/>
          <w:highlight w:val="none"/>
        </w:rPr>
        <w:t>(17) 《南方电网公司IT主流设备安全基线技术规范》</w:t>
      </w:r>
    </w:p>
    <w:p w14:paraId="1382A8EE">
      <w:pPr>
        <w:rPr>
          <w:highlight w:val="none"/>
        </w:rPr>
      </w:pPr>
      <w:r>
        <w:rPr>
          <w:rFonts w:hint="eastAsia"/>
          <w:highlight w:val="none"/>
        </w:rPr>
        <w:t>(18) 《南方电网公司涉密事项界定范围表》（南方电网办〔2016〕13号）</w:t>
      </w:r>
    </w:p>
    <w:p w14:paraId="1697802A">
      <w:pPr>
        <w:rPr>
          <w:highlight w:val="none"/>
        </w:rPr>
      </w:pPr>
      <w:r>
        <w:rPr>
          <w:rFonts w:hint="eastAsia"/>
          <w:highlight w:val="none"/>
        </w:rPr>
        <w:t>(19) 《南方电网公司数据共享开放指导意见（试行版）》（信息〔2017〕51号）</w:t>
      </w:r>
    </w:p>
    <w:p w14:paraId="4D1C8C98">
      <w:pPr>
        <w:rPr>
          <w:highlight w:val="none"/>
        </w:rPr>
      </w:pPr>
      <w:r>
        <w:rPr>
          <w:rFonts w:hint="eastAsia"/>
          <w:highlight w:val="none"/>
        </w:rPr>
        <w:t>(20) 《南方电网公司计量项目预算标准、准入条件与项目命名规范（2023版）》</w:t>
      </w:r>
    </w:p>
    <w:p w14:paraId="5B4A8C0B">
      <w:pPr>
        <w:rPr>
          <w:highlight w:val="none"/>
        </w:rPr>
      </w:pPr>
      <w:r>
        <w:rPr>
          <w:rFonts w:hint="eastAsia"/>
          <w:highlight w:val="none"/>
        </w:rPr>
        <w:t>(21) 《中国南方电网有限责任公司计量项目管理办法》</w:t>
      </w:r>
    </w:p>
    <w:p w14:paraId="55EB6041">
      <w:pPr>
        <w:rPr>
          <w:highlight w:val="none"/>
        </w:rPr>
      </w:pPr>
      <w:r>
        <w:rPr>
          <w:rFonts w:hint="eastAsia"/>
          <w:highlight w:val="none"/>
        </w:rPr>
        <w:t>(22) 《南方电网省级计量自动化系统主站设计指导》</w:t>
      </w:r>
    </w:p>
    <w:p w14:paraId="41D88AC9">
      <w:pPr>
        <w:rPr>
          <w:highlight w:val="none"/>
        </w:rPr>
      </w:pPr>
      <w:r>
        <w:rPr>
          <w:rFonts w:hint="eastAsia"/>
          <w:highlight w:val="none"/>
        </w:rPr>
        <w:t>(23) 《关于加强国家现代先进测量体系建设的指导意见》</w:t>
      </w:r>
    </w:p>
    <w:p w14:paraId="2B510D73">
      <w:pPr>
        <w:rPr>
          <w:highlight w:val="none"/>
        </w:rPr>
      </w:pPr>
      <w:r>
        <w:rPr>
          <w:rFonts w:hint="eastAsia"/>
          <w:highlight w:val="none"/>
        </w:rPr>
        <w:t>(24) 《支持广州供电局创建全国领先标杆供电局重点举措》</w:t>
      </w:r>
    </w:p>
    <w:p w14:paraId="5F7DB2BE">
      <w:pPr>
        <w:rPr>
          <w:highlight w:val="none"/>
        </w:rPr>
      </w:pPr>
      <w:r>
        <w:rPr>
          <w:rFonts w:hint="eastAsia"/>
          <w:highlight w:val="none"/>
        </w:rPr>
        <w:t>(25) 《广州供电局新一代智能量测体系建设三年行动方案》</w:t>
      </w:r>
    </w:p>
    <w:p w14:paraId="743F052D">
      <w:pPr>
        <w:rPr>
          <w:highlight w:val="none"/>
        </w:rPr>
      </w:pPr>
      <w:r>
        <w:rPr>
          <w:rFonts w:hint="eastAsia"/>
          <w:highlight w:val="none"/>
        </w:rPr>
        <w:t>(26) 《广州供电局“承接全面走在全国前列，创建全国领先标杆供电局”总体工作方案》</w:t>
      </w:r>
    </w:p>
    <w:p w14:paraId="30B68D9A">
      <w:pPr>
        <w:rPr>
          <w:highlight w:val="none"/>
        </w:rPr>
      </w:pPr>
      <w:r>
        <w:rPr>
          <w:rFonts w:hint="eastAsia"/>
          <w:highlight w:val="none"/>
        </w:rPr>
        <w:t>(27) 《南方电网“十四五”电力监控系统网络安全规划技术原则》</w:t>
      </w:r>
    </w:p>
    <w:p w14:paraId="66632954">
      <w:pPr>
        <w:rPr>
          <w:highlight w:val="none"/>
        </w:rPr>
      </w:pPr>
      <w:r>
        <w:rPr>
          <w:rFonts w:hint="eastAsia"/>
          <w:highlight w:val="none"/>
        </w:rPr>
        <w:t>(28) 《广州供电局营销技改项目预算编制与计算规定实施指引（2024年版）》</w:t>
      </w:r>
    </w:p>
    <w:p w14:paraId="05357A4C">
      <w:pPr>
        <w:rPr>
          <w:highlight w:val="none"/>
        </w:rPr>
      </w:pPr>
      <w:r>
        <w:rPr>
          <w:rFonts w:hint="eastAsia"/>
          <w:highlight w:val="none"/>
        </w:rPr>
        <w:t>(29) 《广东电网公司广州供电局人工智能服务供给与场景共建工作指引》</w:t>
      </w:r>
    </w:p>
    <w:p w14:paraId="6FA175F8">
      <w:pPr>
        <w:rPr>
          <w:highlight w:val="none"/>
        </w:rPr>
      </w:pPr>
      <w:r>
        <w:rPr>
          <w:rFonts w:hint="eastAsia"/>
          <w:highlight w:val="none"/>
        </w:rPr>
        <w:t>(30) 《广州供电局人工智能技术研究与能力建设工作方案》</w:t>
      </w:r>
    </w:p>
    <w:p w14:paraId="2037AC6C">
      <w:pPr>
        <w:rPr>
          <w:highlight w:val="none"/>
        </w:rPr>
      </w:pPr>
      <w:r>
        <w:rPr>
          <w:rFonts w:hint="eastAsia"/>
          <w:highlight w:val="none"/>
        </w:rPr>
        <w:t>(31) 《广州供电局市场营销域人工智能专项实施计划》</w:t>
      </w:r>
    </w:p>
    <w:p w14:paraId="12DE727F">
      <w:pPr>
        <w:rPr>
          <w:highlight w:val="none"/>
        </w:rPr>
      </w:pPr>
    </w:p>
    <w:p w14:paraId="7ADB1BA5">
      <w:pPr>
        <w:pStyle w:val="2"/>
        <w:rPr>
          <w:highlight w:val="none"/>
        </w:rPr>
      </w:pPr>
      <w:bookmarkStart w:id="25" w:name="_Toc8739"/>
      <w:bookmarkStart w:id="26" w:name="_Toc9962"/>
      <w:bookmarkStart w:id="27" w:name="_Toc10512"/>
      <w:bookmarkStart w:id="28" w:name="_Toc6684"/>
      <w:r>
        <w:rPr>
          <w:rFonts w:hint="eastAsia"/>
          <w:highlight w:val="none"/>
        </w:rPr>
        <w:t>采购清单</w:t>
      </w:r>
      <w:bookmarkEnd w:id="25"/>
      <w:bookmarkEnd w:id="26"/>
      <w:bookmarkEnd w:id="27"/>
      <w:bookmarkEnd w:id="28"/>
    </w:p>
    <w:tbl>
      <w:tblPr>
        <w:tblStyle w:val="50"/>
        <w:tblW w:w="0" w:type="auto"/>
        <w:tblInd w:w="98" w:type="dxa"/>
        <w:tblLayout w:type="autofit"/>
        <w:tblCellMar>
          <w:top w:w="0" w:type="dxa"/>
          <w:left w:w="108" w:type="dxa"/>
          <w:bottom w:w="0" w:type="dxa"/>
          <w:right w:w="108" w:type="dxa"/>
        </w:tblCellMar>
      </w:tblPr>
      <w:tblGrid>
        <w:gridCol w:w="847"/>
        <w:gridCol w:w="5410"/>
        <w:gridCol w:w="847"/>
        <w:gridCol w:w="847"/>
        <w:gridCol w:w="847"/>
      </w:tblGrid>
      <w:tr w14:paraId="75334767">
        <w:tblPrEx>
          <w:tblCellMar>
            <w:top w:w="0" w:type="dxa"/>
            <w:left w:w="108" w:type="dxa"/>
            <w:bottom w:w="0" w:type="dxa"/>
            <w:right w:w="108" w:type="dxa"/>
          </w:tblCellMar>
        </w:tblPrEx>
        <w:trPr>
          <w:trHeight w:val="300" w:hRule="atLeast"/>
        </w:trPr>
        <w:tc>
          <w:tcPr>
            <w:tcW w:w="84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2C07AE8">
            <w:pPr>
              <w:widowControl/>
              <w:ind w:firstLine="0" w:firstLineChars="0"/>
              <w:jc w:val="center"/>
              <w:textAlignment w:val="center"/>
              <w:rPr>
                <w:b/>
                <w:bCs/>
                <w:color w:val="000000"/>
                <w:kern w:val="0"/>
                <w:highlight w:val="none"/>
                <w:lang w:bidi="ar"/>
              </w:rPr>
            </w:pPr>
            <w:r>
              <w:rPr>
                <w:rFonts w:hint="eastAsia"/>
                <w:b/>
                <w:bCs/>
                <w:color w:val="000000"/>
                <w:kern w:val="0"/>
                <w:highlight w:val="none"/>
                <w:lang w:bidi="ar"/>
              </w:rPr>
              <w:t>序号</w:t>
            </w:r>
          </w:p>
        </w:tc>
        <w:tc>
          <w:tcPr>
            <w:tcW w:w="5410" w:type="dxa"/>
            <w:tcBorders>
              <w:top w:val="single" w:color="auto" w:sz="4" w:space="0"/>
              <w:left w:val="nil"/>
              <w:bottom w:val="single" w:color="auto" w:sz="4" w:space="0"/>
              <w:right w:val="single" w:color="auto" w:sz="4" w:space="0"/>
            </w:tcBorders>
            <w:shd w:val="clear" w:color="auto" w:fill="auto"/>
            <w:vAlign w:val="center"/>
          </w:tcPr>
          <w:p w14:paraId="6D37FAC2">
            <w:pPr>
              <w:widowControl/>
              <w:ind w:firstLine="0" w:firstLineChars="0"/>
              <w:jc w:val="center"/>
              <w:textAlignment w:val="center"/>
              <w:rPr>
                <w:b/>
                <w:bCs/>
                <w:color w:val="000000"/>
                <w:kern w:val="0"/>
                <w:highlight w:val="none"/>
                <w:lang w:bidi="ar"/>
              </w:rPr>
            </w:pPr>
            <w:r>
              <w:rPr>
                <w:rFonts w:hint="eastAsia"/>
                <w:b/>
                <w:bCs/>
                <w:color w:val="000000"/>
                <w:kern w:val="0"/>
                <w:highlight w:val="none"/>
                <w:lang w:bidi="ar"/>
              </w:rPr>
              <w:t>项目</w:t>
            </w:r>
          </w:p>
        </w:tc>
        <w:tc>
          <w:tcPr>
            <w:tcW w:w="847" w:type="dxa"/>
            <w:tcBorders>
              <w:top w:val="single" w:color="auto" w:sz="4" w:space="0"/>
              <w:left w:val="nil"/>
              <w:bottom w:val="single" w:color="auto" w:sz="4" w:space="0"/>
              <w:right w:val="single" w:color="auto" w:sz="4" w:space="0"/>
            </w:tcBorders>
            <w:shd w:val="clear" w:color="auto" w:fill="auto"/>
            <w:vAlign w:val="center"/>
          </w:tcPr>
          <w:p w14:paraId="179BD492">
            <w:pPr>
              <w:widowControl/>
              <w:ind w:firstLine="0" w:firstLineChars="0"/>
              <w:jc w:val="center"/>
              <w:textAlignment w:val="center"/>
              <w:rPr>
                <w:b/>
                <w:bCs/>
                <w:color w:val="000000"/>
                <w:kern w:val="0"/>
                <w:highlight w:val="none"/>
                <w:lang w:bidi="ar"/>
              </w:rPr>
            </w:pPr>
            <w:r>
              <w:rPr>
                <w:rFonts w:hint="eastAsia"/>
                <w:b/>
                <w:bCs/>
                <w:color w:val="000000"/>
                <w:kern w:val="0"/>
                <w:highlight w:val="none"/>
                <w:lang w:bidi="ar"/>
              </w:rPr>
              <w:t>单位</w:t>
            </w:r>
          </w:p>
        </w:tc>
        <w:tc>
          <w:tcPr>
            <w:tcW w:w="847" w:type="dxa"/>
            <w:tcBorders>
              <w:top w:val="single" w:color="auto" w:sz="4" w:space="0"/>
              <w:left w:val="nil"/>
              <w:bottom w:val="single" w:color="auto" w:sz="4" w:space="0"/>
              <w:right w:val="single" w:color="auto" w:sz="4" w:space="0"/>
            </w:tcBorders>
            <w:shd w:val="clear" w:color="auto" w:fill="auto"/>
            <w:vAlign w:val="center"/>
          </w:tcPr>
          <w:p w14:paraId="5036B4B0">
            <w:pPr>
              <w:widowControl/>
              <w:ind w:firstLine="0" w:firstLineChars="0"/>
              <w:jc w:val="center"/>
              <w:textAlignment w:val="center"/>
              <w:rPr>
                <w:b/>
                <w:bCs/>
                <w:color w:val="000000"/>
                <w:kern w:val="0"/>
                <w:highlight w:val="none"/>
                <w:lang w:bidi="ar"/>
              </w:rPr>
            </w:pPr>
            <w:r>
              <w:rPr>
                <w:rFonts w:hint="eastAsia"/>
                <w:b/>
                <w:bCs/>
                <w:color w:val="000000"/>
                <w:kern w:val="0"/>
                <w:highlight w:val="none"/>
                <w:lang w:bidi="ar"/>
              </w:rPr>
              <w:t>数量</w:t>
            </w:r>
          </w:p>
        </w:tc>
        <w:tc>
          <w:tcPr>
            <w:tcW w:w="847" w:type="dxa"/>
            <w:tcBorders>
              <w:top w:val="single" w:color="auto" w:sz="4" w:space="0"/>
              <w:left w:val="nil"/>
              <w:bottom w:val="single" w:color="auto" w:sz="4" w:space="0"/>
              <w:right w:val="single" w:color="auto" w:sz="4" w:space="0"/>
            </w:tcBorders>
            <w:shd w:val="clear" w:color="auto" w:fill="auto"/>
            <w:vAlign w:val="center"/>
          </w:tcPr>
          <w:p w14:paraId="5DBEA0FF">
            <w:pPr>
              <w:widowControl/>
              <w:ind w:firstLine="0" w:firstLineChars="0"/>
              <w:jc w:val="center"/>
              <w:textAlignment w:val="center"/>
              <w:rPr>
                <w:b/>
                <w:bCs/>
                <w:color w:val="000000"/>
                <w:kern w:val="0"/>
                <w:highlight w:val="none"/>
                <w:lang w:bidi="ar"/>
              </w:rPr>
            </w:pPr>
            <w:r>
              <w:rPr>
                <w:rFonts w:hint="eastAsia"/>
                <w:b/>
                <w:bCs/>
                <w:color w:val="000000"/>
                <w:kern w:val="0"/>
                <w:highlight w:val="none"/>
                <w:lang w:bidi="ar"/>
              </w:rPr>
              <w:t>备注</w:t>
            </w:r>
          </w:p>
        </w:tc>
      </w:tr>
      <w:tr w14:paraId="3ED80BB9">
        <w:tblPrEx>
          <w:tblCellMar>
            <w:top w:w="0" w:type="dxa"/>
            <w:left w:w="108" w:type="dxa"/>
            <w:bottom w:w="0" w:type="dxa"/>
            <w:right w:w="108" w:type="dxa"/>
          </w:tblCellMar>
        </w:tblPrEx>
        <w:trPr>
          <w:trHeight w:val="300" w:hRule="atLeast"/>
        </w:trPr>
        <w:tc>
          <w:tcPr>
            <w:tcW w:w="84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B47226B">
            <w:pPr>
              <w:widowControl/>
              <w:ind w:firstLine="0" w:firstLineChars="0"/>
              <w:jc w:val="center"/>
              <w:textAlignment w:val="center"/>
              <w:rPr>
                <w:color w:val="000000"/>
                <w:kern w:val="0"/>
                <w:highlight w:val="none"/>
                <w:lang w:bidi="ar"/>
              </w:rPr>
            </w:pPr>
            <w:r>
              <w:rPr>
                <w:rFonts w:hint="eastAsia"/>
                <w:color w:val="000000"/>
                <w:kern w:val="0"/>
                <w:highlight w:val="none"/>
                <w:lang w:bidi="ar"/>
              </w:rPr>
              <w:t>1</w:t>
            </w:r>
          </w:p>
        </w:tc>
        <w:tc>
          <w:tcPr>
            <w:tcW w:w="5410" w:type="dxa"/>
            <w:tcBorders>
              <w:top w:val="single" w:color="auto" w:sz="4" w:space="0"/>
              <w:left w:val="single" w:color="auto" w:sz="4" w:space="0"/>
              <w:bottom w:val="single" w:color="auto" w:sz="4" w:space="0"/>
              <w:right w:val="single" w:color="auto" w:sz="4" w:space="0"/>
            </w:tcBorders>
            <w:shd w:val="clear" w:color="auto" w:fill="auto"/>
            <w:vAlign w:val="center"/>
          </w:tcPr>
          <w:p w14:paraId="03004136">
            <w:pPr>
              <w:widowControl/>
              <w:ind w:firstLine="0" w:firstLineChars="0"/>
              <w:jc w:val="center"/>
              <w:textAlignment w:val="center"/>
              <w:rPr>
                <w:b/>
                <w:bCs/>
                <w:color w:val="000000"/>
                <w:kern w:val="0"/>
                <w:highlight w:val="none"/>
                <w:lang w:bidi="ar"/>
              </w:rPr>
            </w:pPr>
            <w:r>
              <w:rPr>
                <w:rFonts w:hint="eastAsia"/>
                <w:b/>
                <w:bCs/>
                <w:color w:val="000000"/>
                <w:kern w:val="0"/>
                <w:highlight w:val="none"/>
                <w:lang w:bidi="ar"/>
              </w:rPr>
              <w:t>统一问答入口</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3BD25C08">
            <w:pPr>
              <w:widowControl/>
              <w:ind w:firstLine="0" w:firstLineChars="0"/>
              <w:jc w:val="center"/>
              <w:textAlignment w:val="center"/>
              <w:rPr>
                <w:color w:val="000000"/>
                <w:kern w:val="0"/>
                <w:highlight w:val="none"/>
                <w:lang w:bidi="ar"/>
              </w:rPr>
            </w:pPr>
            <w:r>
              <w:rPr>
                <w:rFonts w:hint="eastAsia"/>
                <w:color w:val="000000"/>
                <w:kern w:val="0"/>
                <w:highlight w:val="none"/>
                <w:lang w:bidi="ar"/>
              </w:rPr>
              <w:t>项</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10216738">
            <w:pPr>
              <w:widowControl/>
              <w:ind w:firstLine="0" w:firstLineChars="0"/>
              <w:jc w:val="center"/>
              <w:textAlignment w:val="center"/>
              <w:rPr>
                <w:color w:val="000000"/>
                <w:kern w:val="0"/>
                <w:highlight w:val="none"/>
                <w:lang w:bidi="ar"/>
              </w:rPr>
            </w:pPr>
            <w:r>
              <w:rPr>
                <w:rFonts w:hint="eastAsia"/>
                <w:color w:val="000000"/>
                <w:kern w:val="0"/>
                <w:highlight w:val="none"/>
                <w:lang w:bidi="ar"/>
              </w:rPr>
              <w:t>1</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6C817E52">
            <w:pPr>
              <w:widowControl/>
              <w:ind w:firstLine="0" w:firstLineChars="0"/>
              <w:jc w:val="center"/>
              <w:textAlignment w:val="center"/>
              <w:rPr>
                <w:color w:val="000000"/>
                <w:kern w:val="0"/>
                <w:highlight w:val="none"/>
                <w:lang w:bidi="ar"/>
              </w:rPr>
            </w:pPr>
          </w:p>
        </w:tc>
      </w:tr>
      <w:tr w14:paraId="5B473350">
        <w:tblPrEx>
          <w:tblCellMar>
            <w:top w:w="0" w:type="dxa"/>
            <w:left w:w="108" w:type="dxa"/>
            <w:bottom w:w="0" w:type="dxa"/>
            <w:right w:w="108" w:type="dxa"/>
          </w:tblCellMar>
        </w:tblPrEx>
        <w:trPr>
          <w:trHeight w:val="300" w:hRule="atLeast"/>
        </w:trPr>
        <w:tc>
          <w:tcPr>
            <w:tcW w:w="84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1467C79">
            <w:pPr>
              <w:widowControl/>
              <w:ind w:firstLine="0" w:firstLineChars="0"/>
              <w:jc w:val="center"/>
              <w:textAlignment w:val="center"/>
              <w:rPr>
                <w:color w:val="000000"/>
                <w:kern w:val="0"/>
                <w:highlight w:val="none"/>
                <w:lang w:bidi="ar"/>
              </w:rPr>
            </w:pPr>
            <w:r>
              <w:rPr>
                <w:rFonts w:hint="eastAsia"/>
                <w:color w:val="000000"/>
                <w:kern w:val="0"/>
                <w:highlight w:val="none"/>
                <w:lang w:bidi="ar"/>
              </w:rPr>
              <w:t>2</w:t>
            </w:r>
          </w:p>
        </w:tc>
        <w:tc>
          <w:tcPr>
            <w:tcW w:w="5410" w:type="dxa"/>
            <w:tcBorders>
              <w:top w:val="single" w:color="auto" w:sz="4" w:space="0"/>
              <w:left w:val="single" w:color="auto" w:sz="4" w:space="0"/>
              <w:bottom w:val="single" w:color="auto" w:sz="4" w:space="0"/>
              <w:right w:val="single" w:color="auto" w:sz="4" w:space="0"/>
            </w:tcBorders>
            <w:shd w:val="clear" w:color="auto" w:fill="auto"/>
            <w:vAlign w:val="center"/>
          </w:tcPr>
          <w:p w14:paraId="0821CD48">
            <w:pPr>
              <w:widowControl/>
              <w:ind w:firstLine="0" w:firstLineChars="0"/>
              <w:jc w:val="center"/>
              <w:textAlignment w:val="center"/>
              <w:rPr>
                <w:b/>
                <w:bCs/>
                <w:color w:val="000000"/>
                <w:kern w:val="0"/>
                <w:highlight w:val="none"/>
                <w:lang w:bidi="ar"/>
              </w:rPr>
            </w:pPr>
            <w:r>
              <w:rPr>
                <w:rFonts w:hint="eastAsia"/>
                <w:b/>
                <w:bCs/>
                <w:color w:val="000000"/>
                <w:kern w:val="0"/>
                <w:highlight w:val="none"/>
                <w:lang w:bidi="ar"/>
              </w:rPr>
              <w:t>计量API套件</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13CCF3CA">
            <w:pPr>
              <w:widowControl/>
              <w:ind w:firstLine="0" w:firstLineChars="0"/>
              <w:jc w:val="center"/>
              <w:textAlignment w:val="center"/>
              <w:rPr>
                <w:color w:val="000000"/>
                <w:kern w:val="0"/>
                <w:highlight w:val="none"/>
                <w:lang w:bidi="ar"/>
              </w:rPr>
            </w:pP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38B146F1">
            <w:pPr>
              <w:widowControl/>
              <w:ind w:firstLine="0" w:firstLineChars="0"/>
              <w:jc w:val="center"/>
              <w:textAlignment w:val="center"/>
              <w:rPr>
                <w:color w:val="000000"/>
                <w:kern w:val="0"/>
                <w:highlight w:val="none"/>
                <w:lang w:bidi="ar"/>
              </w:rPr>
            </w:pP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03FB5060">
            <w:pPr>
              <w:widowControl/>
              <w:ind w:firstLine="0" w:firstLineChars="0"/>
              <w:jc w:val="center"/>
              <w:textAlignment w:val="center"/>
              <w:rPr>
                <w:color w:val="000000"/>
                <w:kern w:val="0"/>
                <w:highlight w:val="none"/>
                <w:lang w:bidi="ar"/>
              </w:rPr>
            </w:pPr>
          </w:p>
        </w:tc>
      </w:tr>
      <w:tr w14:paraId="24FD2BA6">
        <w:tblPrEx>
          <w:tblCellMar>
            <w:top w:w="0" w:type="dxa"/>
            <w:left w:w="108" w:type="dxa"/>
            <w:bottom w:w="0" w:type="dxa"/>
            <w:right w:w="108" w:type="dxa"/>
          </w:tblCellMar>
        </w:tblPrEx>
        <w:trPr>
          <w:trHeight w:val="90" w:hRule="atLeast"/>
        </w:trPr>
        <w:tc>
          <w:tcPr>
            <w:tcW w:w="84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58865FE">
            <w:pPr>
              <w:widowControl/>
              <w:ind w:firstLine="0" w:firstLineChars="0"/>
              <w:jc w:val="center"/>
              <w:textAlignment w:val="center"/>
              <w:rPr>
                <w:color w:val="000000"/>
                <w:kern w:val="0"/>
                <w:highlight w:val="none"/>
                <w:lang w:bidi="ar"/>
              </w:rPr>
            </w:pPr>
            <w:r>
              <w:rPr>
                <w:rFonts w:hint="eastAsia"/>
                <w:color w:val="000000"/>
                <w:kern w:val="0"/>
                <w:highlight w:val="none"/>
                <w:lang w:bidi="ar"/>
              </w:rPr>
              <w:t>2.1</w:t>
            </w:r>
          </w:p>
        </w:tc>
        <w:tc>
          <w:tcPr>
            <w:tcW w:w="5410" w:type="dxa"/>
            <w:tcBorders>
              <w:top w:val="single" w:color="auto" w:sz="4" w:space="0"/>
              <w:left w:val="single" w:color="auto" w:sz="4" w:space="0"/>
              <w:bottom w:val="single" w:color="auto" w:sz="4" w:space="0"/>
              <w:right w:val="single" w:color="auto" w:sz="4" w:space="0"/>
            </w:tcBorders>
            <w:shd w:val="clear" w:color="auto" w:fill="auto"/>
            <w:vAlign w:val="center"/>
          </w:tcPr>
          <w:p w14:paraId="6CBDAA9F">
            <w:pPr>
              <w:widowControl/>
              <w:ind w:firstLine="0" w:firstLineChars="0"/>
              <w:jc w:val="center"/>
              <w:textAlignment w:val="center"/>
              <w:rPr>
                <w:color w:val="000000"/>
                <w:kern w:val="0"/>
                <w:highlight w:val="none"/>
                <w:lang w:bidi="ar"/>
              </w:rPr>
            </w:pPr>
            <w:r>
              <w:rPr>
                <w:rFonts w:hint="eastAsia"/>
                <w:color w:val="000000"/>
                <w:kern w:val="0"/>
                <w:highlight w:val="none"/>
                <w:lang w:bidi="ar"/>
              </w:rPr>
              <w:t>交易结算前置信息校核测API</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43477E70">
            <w:pPr>
              <w:widowControl/>
              <w:ind w:firstLine="0" w:firstLineChars="0"/>
              <w:jc w:val="center"/>
              <w:textAlignment w:val="center"/>
              <w:rPr>
                <w:color w:val="000000"/>
                <w:kern w:val="0"/>
                <w:highlight w:val="none"/>
                <w:lang w:bidi="ar"/>
              </w:rPr>
            </w:pPr>
            <w:r>
              <w:rPr>
                <w:rFonts w:hint="eastAsia"/>
                <w:color w:val="000000"/>
                <w:kern w:val="0"/>
                <w:highlight w:val="none"/>
                <w:lang w:bidi="ar"/>
              </w:rPr>
              <w:t>项</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28CA5F16">
            <w:pPr>
              <w:widowControl/>
              <w:ind w:firstLine="0" w:firstLineChars="0"/>
              <w:jc w:val="center"/>
              <w:textAlignment w:val="center"/>
              <w:rPr>
                <w:color w:val="000000"/>
                <w:kern w:val="0"/>
                <w:highlight w:val="none"/>
                <w:lang w:bidi="ar"/>
              </w:rPr>
            </w:pPr>
            <w:r>
              <w:rPr>
                <w:rFonts w:hint="eastAsia"/>
                <w:color w:val="000000"/>
                <w:kern w:val="0"/>
                <w:highlight w:val="none"/>
                <w:lang w:bidi="ar"/>
              </w:rPr>
              <w:t>1</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76AEA502">
            <w:pPr>
              <w:widowControl/>
              <w:ind w:firstLine="0" w:firstLineChars="0"/>
              <w:jc w:val="center"/>
              <w:textAlignment w:val="center"/>
              <w:rPr>
                <w:color w:val="000000"/>
                <w:kern w:val="0"/>
                <w:highlight w:val="none"/>
                <w:lang w:bidi="ar"/>
              </w:rPr>
            </w:pPr>
          </w:p>
        </w:tc>
      </w:tr>
      <w:tr w14:paraId="582491C8">
        <w:tblPrEx>
          <w:tblCellMar>
            <w:top w:w="0" w:type="dxa"/>
            <w:left w:w="108" w:type="dxa"/>
            <w:bottom w:w="0" w:type="dxa"/>
            <w:right w:w="108" w:type="dxa"/>
          </w:tblCellMar>
        </w:tblPrEx>
        <w:trPr>
          <w:trHeight w:val="300" w:hRule="atLeast"/>
        </w:trPr>
        <w:tc>
          <w:tcPr>
            <w:tcW w:w="84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F8044C4">
            <w:pPr>
              <w:widowControl/>
              <w:ind w:firstLine="0" w:firstLineChars="0"/>
              <w:jc w:val="center"/>
              <w:textAlignment w:val="center"/>
              <w:rPr>
                <w:color w:val="000000"/>
                <w:kern w:val="0"/>
                <w:highlight w:val="none"/>
                <w:lang w:bidi="ar"/>
              </w:rPr>
            </w:pPr>
            <w:r>
              <w:rPr>
                <w:rFonts w:hint="eastAsia"/>
                <w:color w:val="000000"/>
                <w:kern w:val="0"/>
                <w:highlight w:val="none"/>
                <w:lang w:bidi="ar"/>
              </w:rPr>
              <w:t>2.2</w:t>
            </w:r>
          </w:p>
        </w:tc>
        <w:tc>
          <w:tcPr>
            <w:tcW w:w="5410" w:type="dxa"/>
            <w:tcBorders>
              <w:top w:val="single" w:color="auto" w:sz="4" w:space="0"/>
              <w:left w:val="single" w:color="auto" w:sz="4" w:space="0"/>
              <w:bottom w:val="single" w:color="auto" w:sz="4" w:space="0"/>
              <w:right w:val="single" w:color="auto" w:sz="4" w:space="0"/>
            </w:tcBorders>
            <w:shd w:val="clear" w:color="auto" w:fill="auto"/>
            <w:vAlign w:val="center"/>
          </w:tcPr>
          <w:p w14:paraId="16DAD54B">
            <w:pPr>
              <w:widowControl/>
              <w:ind w:firstLine="0" w:firstLineChars="0"/>
              <w:jc w:val="center"/>
              <w:textAlignment w:val="center"/>
              <w:rPr>
                <w:color w:val="000000"/>
                <w:kern w:val="0"/>
                <w:highlight w:val="none"/>
                <w:lang w:bidi="ar"/>
              </w:rPr>
            </w:pPr>
            <w:r>
              <w:rPr>
                <w:rFonts w:hint="eastAsia"/>
                <w:color w:val="000000"/>
                <w:kern w:val="0"/>
                <w:highlight w:val="none"/>
                <w:lang w:bidi="ar"/>
              </w:rPr>
              <w:t>低压远程复电API</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643559AA">
            <w:pPr>
              <w:widowControl/>
              <w:ind w:firstLine="0" w:firstLineChars="0"/>
              <w:jc w:val="center"/>
              <w:textAlignment w:val="center"/>
              <w:rPr>
                <w:color w:val="000000"/>
                <w:kern w:val="0"/>
                <w:highlight w:val="none"/>
                <w:lang w:bidi="ar"/>
              </w:rPr>
            </w:pPr>
            <w:r>
              <w:rPr>
                <w:rFonts w:hint="eastAsia"/>
                <w:color w:val="000000"/>
                <w:kern w:val="0"/>
                <w:highlight w:val="none"/>
                <w:lang w:bidi="ar"/>
              </w:rPr>
              <w:t>项</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6DBDAA2B">
            <w:pPr>
              <w:widowControl/>
              <w:ind w:firstLine="0" w:firstLineChars="0"/>
              <w:jc w:val="center"/>
              <w:textAlignment w:val="center"/>
              <w:rPr>
                <w:color w:val="000000"/>
                <w:kern w:val="0"/>
                <w:highlight w:val="none"/>
                <w:lang w:bidi="ar"/>
              </w:rPr>
            </w:pPr>
            <w:r>
              <w:rPr>
                <w:rFonts w:hint="eastAsia"/>
                <w:color w:val="000000"/>
                <w:kern w:val="0"/>
                <w:highlight w:val="none"/>
                <w:lang w:bidi="ar"/>
              </w:rPr>
              <w:t>1</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2036248A">
            <w:pPr>
              <w:widowControl/>
              <w:ind w:firstLine="0" w:firstLineChars="0"/>
              <w:jc w:val="center"/>
              <w:textAlignment w:val="center"/>
              <w:rPr>
                <w:color w:val="000000"/>
                <w:kern w:val="0"/>
                <w:highlight w:val="none"/>
                <w:lang w:bidi="ar"/>
              </w:rPr>
            </w:pPr>
          </w:p>
        </w:tc>
      </w:tr>
      <w:tr w14:paraId="17777E8F">
        <w:tblPrEx>
          <w:tblCellMar>
            <w:top w:w="0" w:type="dxa"/>
            <w:left w:w="108" w:type="dxa"/>
            <w:bottom w:w="0" w:type="dxa"/>
            <w:right w:w="108" w:type="dxa"/>
          </w:tblCellMar>
        </w:tblPrEx>
        <w:trPr>
          <w:trHeight w:val="300" w:hRule="atLeast"/>
        </w:trPr>
        <w:tc>
          <w:tcPr>
            <w:tcW w:w="84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DF982B8">
            <w:pPr>
              <w:widowControl/>
              <w:ind w:firstLine="0" w:firstLineChars="0"/>
              <w:jc w:val="center"/>
              <w:textAlignment w:val="center"/>
              <w:rPr>
                <w:color w:val="000000"/>
                <w:kern w:val="0"/>
                <w:highlight w:val="none"/>
                <w:lang w:bidi="ar"/>
              </w:rPr>
            </w:pPr>
            <w:r>
              <w:rPr>
                <w:rFonts w:hint="eastAsia"/>
                <w:color w:val="000000"/>
                <w:kern w:val="0"/>
                <w:highlight w:val="none"/>
                <w:lang w:bidi="ar"/>
              </w:rPr>
              <w:t>2.3</w:t>
            </w:r>
          </w:p>
        </w:tc>
        <w:tc>
          <w:tcPr>
            <w:tcW w:w="5410" w:type="dxa"/>
            <w:tcBorders>
              <w:top w:val="single" w:color="auto" w:sz="4" w:space="0"/>
              <w:left w:val="single" w:color="auto" w:sz="4" w:space="0"/>
              <w:bottom w:val="single" w:color="auto" w:sz="4" w:space="0"/>
              <w:right w:val="single" w:color="auto" w:sz="4" w:space="0"/>
            </w:tcBorders>
            <w:shd w:val="clear" w:color="auto" w:fill="auto"/>
            <w:vAlign w:val="center"/>
          </w:tcPr>
          <w:p w14:paraId="38189740">
            <w:pPr>
              <w:widowControl/>
              <w:ind w:firstLine="0" w:firstLineChars="0"/>
              <w:jc w:val="center"/>
              <w:textAlignment w:val="center"/>
              <w:rPr>
                <w:color w:val="000000"/>
                <w:kern w:val="0"/>
                <w:highlight w:val="none"/>
                <w:lang w:bidi="ar"/>
              </w:rPr>
            </w:pPr>
            <w:r>
              <w:rPr>
                <w:rFonts w:hint="eastAsia"/>
                <w:color w:val="000000"/>
                <w:kern w:val="0"/>
                <w:highlight w:val="none"/>
                <w:lang w:bidi="ar"/>
              </w:rPr>
              <w:t>指标监测查询API</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226F33E4">
            <w:pPr>
              <w:widowControl/>
              <w:ind w:firstLine="0" w:firstLineChars="0"/>
              <w:jc w:val="center"/>
              <w:textAlignment w:val="center"/>
              <w:rPr>
                <w:color w:val="000000"/>
                <w:kern w:val="0"/>
                <w:highlight w:val="none"/>
                <w:lang w:bidi="ar"/>
              </w:rPr>
            </w:pPr>
            <w:r>
              <w:rPr>
                <w:rFonts w:hint="eastAsia"/>
                <w:color w:val="000000"/>
                <w:kern w:val="0"/>
                <w:highlight w:val="none"/>
                <w:lang w:bidi="ar"/>
              </w:rPr>
              <w:t>项</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1F2669CD">
            <w:pPr>
              <w:widowControl/>
              <w:ind w:firstLine="0" w:firstLineChars="0"/>
              <w:jc w:val="center"/>
              <w:textAlignment w:val="center"/>
              <w:rPr>
                <w:color w:val="000000"/>
                <w:kern w:val="0"/>
                <w:highlight w:val="none"/>
                <w:lang w:bidi="ar"/>
              </w:rPr>
            </w:pPr>
            <w:r>
              <w:rPr>
                <w:rFonts w:hint="eastAsia"/>
                <w:color w:val="000000"/>
                <w:kern w:val="0"/>
                <w:highlight w:val="none"/>
                <w:lang w:bidi="ar"/>
              </w:rPr>
              <w:t>1</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1FB5AB40">
            <w:pPr>
              <w:widowControl/>
              <w:ind w:firstLine="0" w:firstLineChars="0"/>
              <w:jc w:val="center"/>
              <w:textAlignment w:val="center"/>
              <w:rPr>
                <w:color w:val="000000"/>
                <w:kern w:val="0"/>
                <w:highlight w:val="none"/>
                <w:lang w:bidi="ar"/>
              </w:rPr>
            </w:pPr>
          </w:p>
        </w:tc>
      </w:tr>
      <w:tr w14:paraId="4A8E2659">
        <w:tblPrEx>
          <w:tblCellMar>
            <w:top w:w="0" w:type="dxa"/>
            <w:left w:w="108" w:type="dxa"/>
            <w:bottom w:w="0" w:type="dxa"/>
            <w:right w:w="108" w:type="dxa"/>
          </w:tblCellMar>
        </w:tblPrEx>
        <w:trPr>
          <w:trHeight w:val="300" w:hRule="atLeast"/>
        </w:trPr>
        <w:tc>
          <w:tcPr>
            <w:tcW w:w="84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E3EF24A">
            <w:pPr>
              <w:widowControl/>
              <w:ind w:firstLine="0" w:firstLineChars="0"/>
              <w:jc w:val="center"/>
              <w:textAlignment w:val="center"/>
              <w:rPr>
                <w:color w:val="000000"/>
                <w:kern w:val="0"/>
                <w:highlight w:val="none"/>
                <w:lang w:bidi="ar"/>
              </w:rPr>
            </w:pPr>
            <w:r>
              <w:rPr>
                <w:rFonts w:hint="eastAsia"/>
                <w:color w:val="000000"/>
                <w:kern w:val="0"/>
                <w:highlight w:val="none"/>
                <w:lang w:bidi="ar"/>
              </w:rPr>
              <w:t>2.4</w:t>
            </w:r>
          </w:p>
        </w:tc>
        <w:tc>
          <w:tcPr>
            <w:tcW w:w="5410" w:type="dxa"/>
            <w:tcBorders>
              <w:top w:val="single" w:color="auto" w:sz="4" w:space="0"/>
              <w:left w:val="single" w:color="auto" w:sz="4" w:space="0"/>
              <w:bottom w:val="single" w:color="auto" w:sz="4" w:space="0"/>
              <w:right w:val="single" w:color="auto" w:sz="4" w:space="0"/>
            </w:tcBorders>
            <w:shd w:val="clear" w:color="auto" w:fill="auto"/>
            <w:vAlign w:val="center"/>
          </w:tcPr>
          <w:p w14:paraId="2FE1DF85">
            <w:pPr>
              <w:widowControl/>
              <w:ind w:firstLine="0" w:firstLineChars="0"/>
              <w:jc w:val="center"/>
              <w:textAlignment w:val="center"/>
              <w:rPr>
                <w:color w:val="000000"/>
                <w:kern w:val="0"/>
                <w:highlight w:val="none"/>
                <w:lang w:bidi="ar"/>
              </w:rPr>
            </w:pPr>
            <w:r>
              <w:rPr>
                <w:rFonts w:hint="eastAsia"/>
                <w:color w:val="000000"/>
                <w:kern w:val="0"/>
                <w:highlight w:val="none"/>
                <w:lang w:bidi="ar"/>
              </w:rPr>
              <w:t>停电研判API</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0748B49B">
            <w:pPr>
              <w:widowControl/>
              <w:ind w:firstLine="0" w:firstLineChars="0"/>
              <w:jc w:val="center"/>
              <w:textAlignment w:val="center"/>
              <w:rPr>
                <w:color w:val="000000"/>
                <w:kern w:val="0"/>
                <w:highlight w:val="none"/>
                <w:lang w:bidi="ar"/>
              </w:rPr>
            </w:pPr>
            <w:r>
              <w:rPr>
                <w:rFonts w:hint="eastAsia"/>
                <w:color w:val="000000"/>
                <w:kern w:val="0"/>
                <w:highlight w:val="none"/>
                <w:lang w:bidi="ar"/>
              </w:rPr>
              <w:t>项</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0B455622">
            <w:pPr>
              <w:widowControl/>
              <w:ind w:firstLine="0" w:firstLineChars="0"/>
              <w:jc w:val="center"/>
              <w:textAlignment w:val="center"/>
              <w:rPr>
                <w:color w:val="000000"/>
                <w:kern w:val="0"/>
                <w:highlight w:val="none"/>
                <w:lang w:bidi="ar"/>
              </w:rPr>
            </w:pPr>
            <w:r>
              <w:rPr>
                <w:rFonts w:hint="eastAsia"/>
                <w:color w:val="000000"/>
                <w:kern w:val="0"/>
                <w:highlight w:val="none"/>
                <w:lang w:bidi="ar"/>
              </w:rPr>
              <w:t>1</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7E061630">
            <w:pPr>
              <w:widowControl/>
              <w:ind w:firstLine="0" w:firstLineChars="0"/>
              <w:jc w:val="center"/>
              <w:textAlignment w:val="center"/>
              <w:rPr>
                <w:color w:val="000000"/>
                <w:kern w:val="0"/>
                <w:highlight w:val="none"/>
                <w:lang w:bidi="ar"/>
              </w:rPr>
            </w:pPr>
          </w:p>
        </w:tc>
      </w:tr>
      <w:tr w14:paraId="14F81F05">
        <w:tblPrEx>
          <w:tblCellMar>
            <w:top w:w="0" w:type="dxa"/>
            <w:left w:w="108" w:type="dxa"/>
            <w:bottom w:w="0" w:type="dxa"/>
            <w:right w:w="108" w:type="dxa"/>
          </w:tblCellMar>
        </w:tblPrEx>
        <w:trPr>
          <w:trHeight w:val="300" w:hRule="atLeast"/>
        </w:trPr>
        <w:tc>
          <w:tcPr>
            <w:tcW w:w="84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A62085C">
            <w:pPr>
              <w:widowControl/>
              <w:ind w:firstLine="0" w:firstLineChars="0"/>
              <w:jc w:val="center"/>
              <w:textAlignment w:val="center"/>
              <w:rPr>
                <w:color w:val="000000"/>
                <w:kern w:val="0"/>
                <w:highlight w:val="none"/>
                <w:lang w:bidi="ar"/>
              </w:rPr>
            </w:pPr>
            <w:r>
              <w:rPr>
                <w:rFonts w:hint="eastAsia"/>
                <w:color w:val="000000"/>
                <w:kern w:val="0"/>
                <w:highlight w:val="none"/>
                <w:lang w:bidi="ar"/>
              </w:rPr>
              <w:t>2.5</w:t>
            </w:r>
          </w:p>
        </w:tc>
        <w:tc>
          <w:tcPr>
            <w:tcW w:w="5410" w:type="dxa"/>
            <w:tcBorders>
              <w:top w:val="single" w:color="auto" w:sz="4" w:space="0"/>
              <w:left w:val="single" w:color="auto" w:sz="4" w:space="0"/>
              <w:bottom w:val="single" w:color="auto" w:sz="4" w:space="0"/>
              <w:right w:val="single" w:color="auto" w:sz="4" w:space="0"/>
            </w:tcBorders>
            <w:shd w:val="clear" w:color="auto" w:fill="auto"/>
            <w:vAlign w:val="center"/>
          </w:tcPr>
          <w:p w14:paraId="2DE79E12">
            <w:pPr>
              <w:widowControl/>
              <w:ind w:firstLine="0" w:firstLineChars="0"/>
              <w:jc w:val="center"/>
              <w:textAlignment w:val="center"/>
              <w:rPr>
                <w:color w:val="000000"/>
                <w:kern w:val="0"/>
                <w:highlight w:val="none"/>
                <w:lang w:bidi="ar"/>
              </w:rPr>
            </w:pPr>
            <w:r>
              <w:rPr>
                <w:rFonts w:hint="eastAsia"/>
                <w:color w:val="000000"/>
                <w:kern w:val="0"/>
                <w:highlight w:val="none"/>
                <w:lang w:bidi="ar"/>
              </w:rPr>
              <w:t>采集链路监控API</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29A7DA8D">
            <w:pPr>
              <w:widowControl/>
              <w:ind w:firstLine="0" w:firstLineChars="0"/>
              <w:jc w:val="center"/>
              <w:textAlignment w:val="center"/>
              <w:rPr>
                <w:color w:val="000000"/>
                <w:kern w:val="0"/>
                <w:highlight w:val="none"/>
                <w:lang w:bidi="ar"/>
              </w:rPr>
            </w:pPr>
            <w:r>
              <w:rPr>
                <w:rFonts w:hint="eastAsia"/>
                <w:color w:val="000000"/>
                <w:kern w:val="0"/>
                <w:highlight w:val="none"/>
                <w:lang w:bidi="ar"/>
              </w:rPr>
              <w:t>项</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27782E0A">
            <w:pPr>
              <w:widowControl/>
              <w:ind w:firstLine="0" w:firstLineChars="0"/>
              <w:jc w:val="center"/>
              <w:textAlignment w:val="center"/>
              <w:rPr>
                <w:color w:val="000000"/>
                <w:kern w:val="0"/>
                <w:highlight w:val="none"/>
                <w:lang w:bidi="ar"/>
              </w:rPr>
            </w:pPr>
            <w:r>
              <w:rPr>
                <w:rFonts w:hint="eastAsia"/>
                <w:color w:val="000000"/>
                <w:kern w:val="0"/>
                <w:highlight w:val="none"/>
                <w:lang w:bidi="ar"/>
              </w:rPr>
              <w:t>1</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488AEECE">
            <w:pPr>
              <w:widowControl/>
              <w:ind w:firstLine="0" w:firstLineChars="0"/>
              <w:jc w:val="center"/>
              <w:textAlignment w:val="center"/>
              <w:rPr>
                <w:color w:val="000000"/>
                <w:kern w:val="0"/>
                <w:highlight w:val="none"/>
                <w:lang w:bidi="ar"/>
              </w:rPr>
            </w:pPr>
          </w:p>
        </w:tc>
      </w:tr>
      <w:tr w14:paraId="7DEC46DB">
        <w:tblPrEx>
          <w:tblCellMar>
            <w:top w:w="0" w:type="dxa"/>
            <w:left w:w="108" w:type="dxa"/>
            <w:bottom w:w="0" w:type="dxa"/>
            <w:right w:w="108" w:type="dxa"/>
          </w:tblCellMar>
        </w:tblPrEx>
        <w:trPr>
          <w:trHeight w:val="300" w:hRule="atLeast"/>
        </w:trPr>
        <w:tc>
          <w:tcPr>
            <w:tcW w:w="84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DCAAF8D">
            <w:pPr>
              <w:widowControl/>
              <w:ind w:firstLine="0" w:firstLineChars="0"/>
              <w:jc w:val="center"/>
              <w:textAlignment w:val="center"/>
              <w:rPr>
                <w:color w:val="000000"/>
                <w:kern w:val="0"/>
                <w:highlight w:val="none"/>
                <w:lang w:bidi="ar"/>
              </w:rPr>
            </w:pPr>
            <w:r>
              <w:rPr>
                <w:rFonts w:hint="eastAsia"/>
                <w:color w:val="000000"/>
                <w:kern w:val="0"/>
                <w:highlight w:val="none"/>
                <w:lang w:bidi="ar"/>
              </w:rPr>
              <w:t>2.6</w:t>
            </w:r>
          </w:p>
        </w:tc>
        <w:tc>
          <w:tcPr>
            <w:tcW w:w="5410" w:type="dxa"/>
            <w:tcBorders>
              <w:top w:val="single" w:color="auto" w:sz="4" w:space="0"/>
              <w:left w:val="single" w:color="auto" w:sz="4" w:space="0"/>
              <w:bottom w:val="single" w:color="auto" w:sz="4" w:space="0"/>
              <w:right w:val="single" w:color="auto" w:sz="4" w:space="0"/>
            </w:tcBorders>
            <w:shd w:val="clear" w:color="auto" w:fill="auto"/>
            <w:vAlign w:val="center"/>
          </w:tcPr>
          <w:p w14:paraId="33BD788F">
            <w:pPr>
              <w:widowControl/>
              <w:ind w:firstLine="0" w:firstLineChars="0"/>
              <w:jc w:val="center"/>
              <w:textAlignment w:val="center"/>
              <w:rPr>
                <w:color w:val="000000"/>
                <w:kern w:val="0"/>
                <w:highlight w:val="none"/>
                <w:lang w:bidi="ar"/>
              </w:rPr>
            </w:pPr>
            <w:r>
              <w:rPr>
                <w:rFonts w:hint="eastAsia"/>
                <w:color w:val="000000"/>
                <w:kern w:val="0"/>
                <w:highlight w:val="none"/>
                <w:lang w:bidi="ar"/>
              </w:rPr>
              <w:t>计量装置差错识别API</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06C6D29B">
            <w:pPr>
              <w:widowControl/>
              <w:ind w:firstLine="0" w:firstLineChars="0"/>
              <w:jc w:val="center"/>
              <w:textAlignment w:val="center"/>
              <w:rPr>
                <w:color w:val="000000"/>
                <w:kern w:val="0"/>
                <w:highlight w:val="none"/>
                <w:lang w:bidi="ar"/>
              </w:rPr>
            </w:pPr>
            <w:r>
              <w:rPr>
                <w:rFonts w:hint="eastAsia"/>
                <w:color w:val="000000"/>
                <w:kern w:val="0"/>
                <w:highlight w:val="none"/>
                <w:lang w:bidi="ar"/>
              </w:rPr>
              <w:t>项</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148A30D2">
            <w:pPr>
              <w:widowControl/>
              <w:ind w:firstLine="0" w:firstLineChars="0"/>
              <w:jc w:val="center"/>
              <w:textAlignment w:val="center"/>
              <w:rPr>
                <w:color w:val="000000"/>
                <w:kern w:val="0"/>
                <w:highlight w:val="none"/>
                <w:lang w:bidi="ar"/>
              </w:rPr>
            </w:pPr>
            <w:r>
              <w:rPr>
                <w:rFonts w:hint="eastAsia"/>
                <w:color w:val="000000"/>
                <w:kern w:val="0"/>
                <w:highlight w:val="none"/>
                <w:lang w:bidi="ar"/>
              </w:rPr>
              <w:t>1</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147F97B9">
            <w:pPr>
              <w:widowControl/>
              <w:ind w:firstLine="0" w:firstLineChars="0"/>
              <w:jc w:val="center"/>
              <w:textAlignment w:val="center"/>
              <w:rPr>
                <w:color w:val="000000"/>
                <w:kern w:val="0"/>
                <w:highlight w:val="none"/>
                <w:lang w:bidi="ar"/>
              </w:rPr>
            </w:pPr>
          </w:p>
        </w:tc>
      </w:tr>
      <w:tr w14:paraId="64181E35">
        <w:tblPrEx>
          <w:tblCellMar>
            <w:top w:w="0" w:type="dxa"/>
            <w:left w:w="108" w:type="dxa"/>
            <w:bottom w:w="0" w:type="dxa"/>
            <w:right w:w="108" w:type="dxa"/>
          </w:tblCellMar>
        </w:tblPrEx>
        <w:trPr>
          <w:trHeight w:val="300" w:hRule="atLeast"/>
        </w:trPr>
        <w:tc>
          <w:tcPr>
            <w:tcW w:w="84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C6737AB">
            <w:pPr>
              <w:widowControl/>
              <w:ind w:firstLine="0" w:firstLineChars="0"/>
              <w:jc w:val="center"/>
              <w:textAlignment w:val="center"/>
              <w:rPr>
                <w:color w:val="000000"/>
                <w:kern w:val="0"/>
                <w:highlight w:val="none"/>
                <w:lang w:bidi="ar"/>
              </w:rPr>
            </w:pPr>
            <w:r>
              <w:rPr>
                <w:rFonts w:hint="eastAsia"/>
                <w:color w:val="000000"/>
                <w:kern w:val="0"/>
                <w:highlight w:val="none"/>
                <w:lang w:bidi="ar"/>
              </w:rPr>
              <w:t>3</w:t>
            </w:r>
          </w:p>
        </w:tc>
        <w:tc>
          <w:tcPr>
            <w:tcW w:w="5410" w:type="dxa"/>
            <w:tcBorders>
              <w:top w:val="single" w:color="auto" w:sz="4" w:space="0"/>
              <w:left w:val="single" w:color="auto" w:sz="4" w:space="0"/>
              <w:bottom w:val="single" w:color="auto" w:sz="4" w:space="0"/>
              <w:right w:val="single" w:color="auto" w:sz="4" w:space="0"/>
            </w:tcBorders>
            <w:shd w:val="clear" w:color="auto" w:fill="auto"/>
            <w:vAlign w:val="center"/>
          </w:tcPr>
          <w:p w14:paraId="4ECF7B8E">
            <w:pPr>
              <w:widowControl/>
              <w:ind w:firstLine="0" w:firstLineChars="0"/>
              <w:jc w:val="center"/>
              <w:textAlignment w:val="center"/>
              <w:rPr>
                <w:color w:val="000000"/>
                <w:kern w:val="0"/>
                <w:highlight w:val="none"/>
                <w:lang w:bidi="ar"/>
              </w:rPr>
            </w:pPr>
            <w:r>
              <w:rPr>
                <w:rFonts w:hint="eastAsia"/>
                <w:b/>
                <w:bCs/>
                <w:kern w:val="0"/>
                <w:highlight w:val="none"/>
                <w:lang w:bidi="ar"/>
              </w:rPr>
              <w:t>智能体应用开发平台</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08C3C7BD">
            <w:pPr>
              <w:widowControl/>
              <w:ind w:firstLine="0" w:firstLineChars="0"/>
              <w:jc w:val="center"/>
              <w:textAlignment w:val="center"/>
              <w:rPr>
                <w:color w:val="000000"/>
                <w:kern w:val="0"/>
                <w:highlight w:val="none"/>
                <w:lang w:bidi="ar"/>
              </w:rPr>
            </w:pP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59D24645">
            <w:pPr>
              <w:widowControl/>
              <w:ind w:firstLine="0" w:firstLineChars="0"/>
              <w:jc w:val="center"/>
              <w:textAlignment w:val="center"/>
              <w:rPr>
                <w:color w:val="000000"/>
                <w:kern w:val="0"/>
                <w:highlight w:val="none"/>
                <w:lang w:bidi="ar"/>
              </w:rPr>
            </w:pP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72DEB023">
            <w:pPr>
              <w:widowControl/>
              <w:ind w:firstLine="0" w:firstLineChars="0"/>
              <w:jc w:val="center"/>
              <w:textAlignment w:val="center"/>
              <w:rPr>
                <w:color w:val="000000"/>
                <w:kern w:val="0"/>
                <w:highlight w:val="none"/>
                <w:lang w:bidi="ar"/>
              </w:rPr>
            </w:pPr>
          </w:p>
        </w:tc>
      </w:tr>
      <w:tr w14:paraId="05522AC1">
        <w:tblPrEx>
          <w:tblCellMar>
            <w:top w:w="0" w:type="dxa"/>
            <w:left w:w="108" w:type="dxa"/>
            <w:bottom w:w="0" w:type="dxa"/>
            <w:right w:w="108" w:type="dxa"/>
          </w:tblCellMar>
        </w:tblPrEx>
        <w:trPr>
          <w:trHeight w:val="300" w:hRule="atLeast"/>
        </w:trPr>
        <w:tc>
          <w:tcPr>
            <w:tcW w:w="84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C4BBBE3">
            <w:pPr>
              <w:widowControl/>
              <w:ind w:firstLine="0" w:firstLineChars="0"/>
              <w:jc w:val="center"/>
              <w:textAlignment w:val="center"/>
              <w:rPr>
                <w:color w:val="000000"/>
                <w:kern w:val="0"/>
                <w:highlight w:val="none"/>
                <w:lang w:bidi="ar"/>
              </w:rPr>
            </w:pPr>
            <w:r>
              <w:rPr>
                <w:rFonts w:hint="eastAsia"/>
                <w:color w:val="000000"/>
                <w:kern w:val="0"/>
                <w:highlight w:val="none"/>
                <w:lang w:bidi="ar"/>
              </w:rPr>
              <w:t>3.1</w:t>
            </w:r>
          </w:p>
        </w:tc>
        <w:tc>
          <w:tcPr>
            <w:tcW w:w="5410" w:type="dxa"/>
            <w:tcBorders>
              <w:top w:val="single" w:color="auto" w:sz="4" w:space="0"/>
              <w:left w:val="single" w:color="auto" w:sz="4" w:space="0"/>
              <w:bottom w:val="single" w:color="auto" w:sz="4" w:space="0"/>
              <w:right w:val="single" w:color="auto" w:sz="4" w:space="0"/>
            </w:tcBorders>
            <w:shd w:val="clear" w:color="auto" w:fill="auto"/>
            <w:vAlign w:val="center"/>
          </w:tcPr>
          <w:p w14:paraId="5073A4C4">
            <w:pPr>
              <w:widowControl/>
              <w:ind w:firstLine="0" w:firstLineChars="0"/>
              <w:jc w:val="center"/>
              <w:textAlignment w:val="center"/>
              <w:rPr>
                <w:color w:val="000000"/>
                <w:kern w:val="0"/>
                <w:highlight w:val="none"/>
                <w:lang w:bidi="ar"/>
              </w:rPr>
            </w:pPr>
            <w:r>
              <w:rPr>
                <w:rFonts w:hint="eastAsia"/>
                <w:color w:val="000000"/>
                <w:kern w:val="0"/>
                <w:highlight w:val="none"/>
                <w:lang w:bidi="ar"/>
              </w:rPr>
              <w:t>计量语料管理模块</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7F84E0F8">
            <w:pPr>
              <w:widowControl/>
              <w:ind w:firstLine="0" w:firstLineChars="0"/>
              <w:jc w:val="center"/>
              <w:textAlignment w:val="center"/>
              <w:rPr>
                <w:color w:val="000000"/>
                <w:kern w:val="0"/>
                <w:highlight w:val="none"/>
                <w:lang w:bidi="ar"/>
              </w:rPr>
            </w:pPr>
            <w:r>
              <w:rPr>
                <w:rFonts w:hint="eastAsia"/>
                <w:color w:val="000000"/>
                <w:kern w:val="0"/>
                <w:highlight w:val="none"/>
                <w:lang w:bidi="ar"/>
              </w:rPr>
              <w:t>项</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27B78E45">
            <w:pPr>
              <w:widowControl/>
              <w:ind w:firstLine="0" w:firstLineChars="0"/>
              <w:jc w:val="center"/>
              <w:textAlignment w:val="center"/>
              <w:rPr>
                <w:color w:val="000000"/>
                <w:kern w:val="0"/>
                <w:highlight w:val="none"/>
                <w:lang w:bidi="ar"/>
              </w:rPr>
            </w:pPr>
            <w:r>
              <w:rPr>
                <w:rFonts w:hint="eastAsia"/>
                <w:color w:val="000000"/>
                <w:kern w:val="0"/>
                <w:highlight w:val="none"/>
                <w:lang w:bidi="ar"/>
              </w:rPr>
              <w:t>1</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47D9B06D">
            <w:pPr>
              <w:widowControl/>
              <w:ind w:firstLine="0" w:firstLineChars="0"/>
              <w:jc w:val="center"/>
              <w:textAlignment w:val="center"/>
              <w:rPr>
                <w:color w:val="000000"/>
                <w:kern w:val="0"/>
                <w:highlight w:val="none"/>
                <w:lang w:bidi="ar"/>
              </w:rPr>
            </w:pPr>
          </w:p>
        </w:tc>
      </w:tr>
      <w:tr w14:paraId="18D07182">
        <w:tblPrEx>
          <w:tblCellMar>
            <w:top w:w="0" w:type="dxa"/>
            <w:left w:w="108" w:type="dxa"/>
            <w:bottom w:w="0" w:type="dxa"/>
            <w:right w:w="108" w:type="dxa"/>
          </w:tblCellMar>
        </w:tblPrEx>
        <w:trPr>
          <w:trHeight w:val="300" w:hRule="atLeast"/>
        </w:trPr>
        <w:tc>
          <w:tcPr>
            <w:tcW w:w="84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C3EE9D5">
            <w:pPr>
              <w:widowControl/>
              <w:ind w:firstLine="0" w:firstLineChars="0"/>
              <w:jc w:val="center"/>
              <w:textAlignment w:val="center"/>
              <w:rPr>
                <w:color w:val="000000"/>
                <w:kern w:val="0"/>
                <w:highlight w:val="none"/>
                <w:lang w:bidi="ar"/>
              </w:rPr>
            </w:pPr>
            <w:r>
              <w:rPr>
                <w:rFonts w:hint="eastAsia"/>
                <w:color w:val="000000"/>
                <w:kern w:val="0"/>
                <w:highlight w:val="none"/>
                <w:lang w:bidi="ar"/>
              </w:rPr>
              <w:t>3.2</w:t>
            </w:r>
          </w:p>
        </w:tc>
        <w:tc>
          <w:tcPr>
            <w:tcW w:w="5410" w:type="dxa"/>
            <w:tcBorders>
              <w:top w:val="single" w:color="auto" w:sz="4" w:space="0"/>
              <w:left w:val="single" w:color="auto" w:sz="4" w:space="0"/>
              <w:bottom w:val="single" w:color="auto" w:sz="4" w:space="0"/>
              <w:right w:val="single" w:color="auto" w:sz="4" w:space="0"/>
            </w:tcBorders>
            <w:shd w:val="clear" w:color="auto" w:fill="auto"/>
            <w:vAlign w:val="center"/>
          </w:tcPr>
          <w:p w14:paraId="549D614D">
            <w:pPr>
              <w:widowControl/>
              <w:ind w:firstLine="0" w:firstLineChars="0"/>
              <w:jc w:val="center"/>
              <w:textAlignment w:val="center"/>
              <w:rPr>
                <w:color w:val="000000"/>
                <w:kern w:val="0"/>
                <w:highlight w:val="none"/>
                <w:lang w:bidi="ar"/>
              </w:rPr>
            </w:pPr>
            <w:r>
              <w:rPr>
                <w:rFonts w:hint="eastAsia"/>
                <w:color w:val="000000"/>
                <w:kern w:val="0"/>
                <w:highlight w:val="none"/>
                <w:lang w:bidi="ar"/>
              </w:rPr>
              <w:t>Agent管理模块</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34AAA768">
            <w:pPr>
              <w:widowControl/>
              <w:ind w:firstLine="0" w:firstLineChars="0"/>
              <w:jc w:val="center"/>
              <w:textAlignment w:val="center"/>
              <w:rPr>
                <w:color w:val="000000"/>
                <w:kern w:val="0"/>
                <w:highlight w:val="none"/>
                <w:lang w:bidi="ar"/>
              </w:rPr>
            </w:pPr>
            <w:r>
              <w:rPr>
                <w:rFonts w:hint="eastAsia"/>
                <w:color w:val="000000"/>
                <w:kern w:val="0"/>
                <w:highlight w:val="none"/>
                <w:lang w:bidi="ar"/>
              </w:rPr>
              <w:t>项</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11E511DB">
            <w:pPr>
              <w:widowControl/>
              <w:ind w:firstLine="0" w:firstLineChars="0"/>
              <w:jc w:val="center"/>
              <w:textAlignment w:val="center"/>
              <w:rPr>
                <w:color w:val="000000"/>
                <w:kern w:val="0"/>
                <w:highlight w:val="none"/>
                <w:lang w:bidi="ar"/>
              </w:rPr>
            </w:pPr>
            <w:r>
              <w:rPr>
                <w:rFonts w:hint="eastAsia"/>
                <w:color w:val="000000"/>
                <w:kern w:val="0"/>
                <w:highlight w:val="none"/>
                <w:lang w:bidi="ar"/>
              </w:rPr>
              <w:t>1</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1BEAC691">
            <w:pPr>
              <w:widowControl/>
              <w:ind w:firstLine="0" w:firstLineChars="0"/>
              <w:jc w:val="center"/>
              <w:textAlignment w:val="center"/>
              <w:rPr>
                <w:color w:val="000000"/>
                <w:kern w:val="0"/>
                <w:highlight w:val="none"/>
                <w:lang w:bidi="ar"/>
              </w:rPr>
            </w:pPr>
          </w:p>
        </w:tc>
      </w:tr>
      <w:tr w14:paraId="4BAF0DF7">
        <w:tblPrEx>
          <w:tblCellMar>
            <w:top w:w="0" w:type="dxa"/>
            <w:left w:w="108" w:type="dxa"/>
            <w:bottom w:w="0" w:type="dxa"/>
            <w:right w:w="108" w:type="dxa"/>
          </w:tblCellMar>
        </w:tblPrEx>
        <w:trPr>
          <w:trHeight w:val="480" w:hRule="atLeast"/>
        </w:trPr>
        <w:tc>
          <w:tcPr>
            <w:tcW w:w="84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F9F50FC">
            <w:pPr>
              <w:widowControl/>
              <w:ind w:firstLine="0" w:firstLineChars="0"/>
              <w:jc w:val="center"/>
              <w:textAlignment w:val="center"/>
              <w:rPr>
                <w:color w:val="000000"/>
                <w:kern w:val="0"/>
                <w:highlight w:val="none"/>
                <w:lang w:bidi="ar"/>
              </w:rPr>
            </w:pPr>
            <w:r>
              <w:rPr>
                <w:rFonts w:hint="eastAsia"/>
                <w:color w:val="000000"/>
                <w:kern w:val="0"/>
                <w:highlight w:val="none"/>
                <w:lang w:bidi="ar"/>
              </w:rPr>
              <w:t>3.3</w:t>
            </w:r>
          </w:p>
        </w:tc>
        <w:tc>
          <w:tcPr>
            <w:tcW w:w="5410" w:type="dxa"/>
            <w:tcBorders>
              <w:top w:val="single" w:color="auto" w:sz="4" w:space="0"/>
              <w:left w:val="single" w:color="auto" w:sz="4" w:space="0"/>
              <w:bottom w:val="single" w:color="auto" w:sz="4" w:space="0"/>
              <w:right w:val="single" w:color="auto" w:sz="4" w:space="0"/>
            </w:tcBorders>
            <w:shd w:val="clear" w:color="auto" w:fill="auto"/>
            <w:vAlign w:val="center"/>
          </w:tcPr>
          <w:p w14:paraId="6DF29555">
            <w:pPr>
              <w:widowControl/>
              <w:ind w:firstLine="0" w:firstLineChars="0"/>
              <w:jc w:val="center"/>
              <w:textAlignment w:val="center"/>
              <w:rPr>
                <w:color w:val="000000"/>
                <w:kern w:val="0"/>
                <w:highlight w:val="none"/>
                <w:lang w:bidi="ar"/>
              </w:rPr>
            </w:pPr>
            <w:r>
              <w:rPr>
                <w:rFonts w:hint="eastAsia"/>
                <w:color w:val="000000"/>
                <w:kern w:val="0"/>
                <w:highlight w:val="none"/>
                <w:lang w:bidi="ar"/>
              </w:rPr>
              <w:t>自动化流程管理模块</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0E57CA27">
            <w:pPr>
              <w:widowControl/>
              <w:ind w:firstLine="0" w:firstLineChars="0"/>
              <w:jc w:val="center"/>
              <w:textAlignment w:val="center"/>
              <w:rPr>
                <w:color w:val="000000"/>
                <w:kern w:val="0"/>
                <w:highlight w:val="none"/>
                <w:lang w:bidi="ar"/>
              </w:rPr>
            </w:pPr>
            <w:r>
              <w:rPr>
                <w:rFonts w:hint="eastAsia"/>
                <w:color w:val="000000"/>
                <w:kern w:val="0"/>
                <w:highlight w:val="none"/>
                <w:lang w:bidi="ar"/>
              </w:rPr>
              <w:t>项</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58F2FFC6">
            <w:pPr>
              <w:widowControl/>
              <w:ind w:firstLine="0" w:firstLineChars="0"/>
              <w:jc w:val="center"/>
              <w:textAlignment w:val="center"/>
              <w:rPr>
                <w:color w:val="000000"/>
                <w:kern w:val="0"/>
                <w:highlight w:val="none"/>
                <w:lang w:bidi="ar"/>
              </w:rPr>
            </w:pPr>
            <w:r>
              <w:rPr>
                <w:rFonts w:hint="eastAsia"/>
                <w:color w:val="000000"/>
                <w:kern w:val="0"/>
                <w:highlight w:val="none"/>
                <w:lang w:bidi="ar"/>
              </w:rPr>
              <w:t>1</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7D4B4550">
            <w:pPr>
              <w:widowControl/>
              <w:ind w:firstLine="0" w:firstLineChars="0"/>
              <w:jc w:val="center"/>
              <w:textAlignment w:val="center"/>
              <w:rPr>
                <w:color w:val="000000"/>
                <w:kern w:val="0"/>
                <w:highlight w:val="none"/>
                <w:lang w:bidi="ar"/>
              </w:rPr>
            </w:pPr>
          </w:p>
        </w:tc>
      </w:tr>
      <w:tr w14:paraId="40E9EF2D">
        <w:tblPrEx>
          <w:tblCellMar>
            <w:top w:w="0" w:type="dxa"/>
            <w:left w:w="108" w:type="dxa"/>
            <w:bottom w:w="0" w:type="dxa"/>
            <w:right w:w="108" w:type="dxa"/>
          </w:tblCellMar>
        </w:tblPrEx>
        <w:trPr>
          <w:trHeight w:val="300" w:hRule="atLeast"/>
        </w:trPr>
        <w:tc>
          <w:tcPr>
            <w:tcW w:w="84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5B798F8">
            <w:pPr>
              <w:widowControl/>
              <w:ind w:firstLine="0" w:firstLineChars="0"/>
              <w:jc w:val="center"/>
              <w:textAlignment w:val="center"/>
              <w:rPr>
                <w:color w:val="000000"/>
                <w:kern w:val="0"/>
                <w:highlight w:val="none"/>
                <w:lang w:bidi="ar"/>
              </w:rPr>
            </w:pPr>
            <w:r>
              <w:rPr>
                <w:rFonts w:hint="eastAsia"/>
                <w:color w:val="000000"/>
                <w:kern w:val="0"/>
                <w:highlight w:val="none"/>
                <w:lang w:bidi="ar"/>
              </w:rPr>
              <w:t>4</w:t>
            </w:r>
          </w:p>
        </w:tc>
        <w:tc>
          <w:tcPr>
            <w:tcW w:w="5410" w:type="dxa"/>
            <w:tcBorders>
              <w:top w:val="single" w:color="auto" w:sz="4" w:space="0"/>
              <w:left w:val="nil"/>
              <w:bottom w:val="single" w:color="auto" w:sz="4" w:space="0"/>
              <w:right w:val="single" w:color="auto" w:sz="4" w:space="0"/>
            </w:tcBorders>
            <w:shd w:val="clear" w:color="auto" w:fill="auto"/>
            <w:vAlign w:val="center"/>
          </w:tcPr>
          <w:p w14:paraId="3F742C93">
            <w:pPr>
              <w:widowControl/>
              <w:ind w:firstLine="0" w:firstLineChars="0"/>
              <w:jc w:val="center"/>
              <w:textAlignment w:val="center"/>
              <w:rPr>
                <w:color w:val="000000"/>
                <w:kern w:val="0"/>
                <w:highlight w:val="none"/>
                <w:lang w:bidi="ar"/>
              </w:rPr>
            </w:pPr>
            <w:r>
              <w:rPr>
                <w:rFonts w:hint="eastAsia"/>
                <w:b/>
                <w:bCs/>
                <w:kern w:val="0"/>
                <w:highlight w:val="none"/>
                <w:lang w:bidi="ar"/>
              </w:rPr>
              <w:t>场景模型实施</w:t>
            </w:r>
          </w:p>
        </w:tc>
        <w:tc>
          <w:tcPr>
            <w:tcW w:w="847" w:type="dxa"/>
            <w:tcBorders>
              <w:top w:val="single" w:color="auto" w:sz="4" w:space="0"/>
              <w:left w:val="nil"/>
              <w:bottom w:val="single" w:color="auto" w:sz="4" w:space="0"/>
              <w:right w:val="single" w:color="auto" w:sz="4" w:space="0"/>
            </w:tcBorders>
            <w:shd w:val="clear" w:color="auto" w:fill="auto"/>
            <w:vAlign w:val="center"/>
          </w:tcPr>
          <w:p w14:paraId="66DECC01">
            <w:pPr>
              <w:widowControl/>
              <w:ind w:firstLine="0" w:firstLineChars="0"/>
              <w:jc w:val="center"/>
              <w:textAlignment w:val="center"/>
              <w:rPr>
                <w:color w:val="000000"/>
                <w:kern w:val="0"/>
                <w:highlight w:val="none"/>
                <w:lang w:bidi="ar"/>
              </w:rPr>
            </w:pPr>
          </w:p>
        </w:tc>
        <w:tc>
          <w:tcPr>
            <w:tcW w:w="847" w:type="dxa"/>
            <w:tcBorders>
              <w:top w:val="single" w:color="auto" w:sz="4" w:space="0"/>
              <w:left w:val="nil"/>
              <w:bottom w:val="single" w:color="auto" w:sz="4" w:space="0"/>
              <w:right w:val="single" w:color="auto" w:sz="4" w:space="0"/>
            </w:tcBorders>
            <w:shd w:val="clear" w:color="auto" w:fill="auto"/>
            <w:vAlign w:val="center"/>
          </w:tcPr>
          <w:p w14:paraId="0C4542F2">
            <w:pPr>
              <w:widowControl/>
              <w:ind w:firstLine="0" w:firstLineChars="0"/>
              <w:jc w:val="center"/>
              <w:textAlignment w:val="center"/>
              <w:rPr>
                <w:color w:val="000000"/>
                <w:kern w:val="0"/>
                <w:highlight w:val="none"/>
                <w:lang w:bidi="ar"/>
              </w:rPr>
            </w:pPr>
          </w:p>
        </w:tc>
        <w:tc>
          <w:tcPr>
            <w:tcW w:w="847" w:type="dxa"/>
            <w:tcBorders>
              <w:top w:val="single" w:color="auto" w:sz="4" w:space="0"/>
              <w:left w:val="nil"/>
              <w:bottom w:val="single" w:color="auto" w:sz="4" w:space="0"/>
              <w:right w:val="single" w:color="auto" w:sz="4" w:space="0"/>
            </w:tcBorders>
            <w:shd w:val="clear" w:color="auto" w:fill="auto"/>
            <w:vAlign w:val="center"/>
          </w:tcPr>
          <w:p w14:paraId="5825E5B3">
            <w:pPr>
              <w:widowControl/>
              <w:ind w:firstLine="0" w:firstLineChars="0"/>
              <w:jc w:val="center"/>
              <w:textAlignment w:val="center"/>
              <w:rPr>
                <w:color w:val="000000"/>
                <w:kern w:val="0"/>
                <w:highlight w:val="none"/>
                <w:lang w:bidi="ar"/>
              </w:rPr>
            </w:pPr>
          </w:p>
        </w:tc>
      </w:tr>
      <w:tr w14:paraId="42FD769B">
        <w:tblPrEx>
          <w:tblCellMar>
            <w:top w:w="0" w:type="dxa"/>
            <w:left w:w="108" w:type="dxa"/>
            <w:bottom w:w="0" w:type="dxa"/>
            <w:right w:w="108" w:type="dxa"/>
          </w:tblCellMar>
        </w:tblPrEx>
        <w:trPr>
          <w:trHeight w:val="300" w:hRule="atLeast"/>
        </w:trPr>
        <w:tc>
          <w:tcPr>
            <w:tcW w:w="84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9896172">
            <w:pPr>
              <w:widowControl/>
              <w:ind w:firstLine="0" w:firstLineChars="0"/>
              <w:jc w:val="center"/>
              <w:textAlignment w:val="center"/>
              <w:rPr>
                <w:color w:val="000000"/>
                <w:kern w:val="0"/>
                <w:highlight w:val="none"/>
                <w:lang w:bidi="ar"/>
              </w:rPr>
            </w:pPr>
            <w:r>
              <w:rPr>
                <w:rFonts w:hint="eastAsia"/>
                <w:color w:val="000000"/>
                <w:kern w:val="0"/>
                <w:highlight w:val="none"/>
                <w:lang w:bidi="ar"/>
              </w:rPr>
              <w:t>4.1</w:t>
            </w:r>
          </w:p>
        </w:tc>
        <w:tc>
          <w:tcPr>
            <w:tcW w:w="5410" w:type="dxa"/>
            <w:tcBorders>
              <w:top w:val="nil"/>
              <w:left w:val="nil"/>
              <w:bottom w:val="single" w:color="auto" w:sz="4" w:space="0"/>
              <w:right w:val="single" w:color="auto" w:sz="4" w:space="0"/>
            </w:tcBorders>
            <w:shd w:val="clear" w:color="auto" w:fill="auto"/>
            <w:vAlign w:val="center"/>
          </w:tcPr>
          <w:p w14:paraId="566C32EC">
            <w:pPr>
              <w:widowControl/>
              <w:ind w:firstLine="0" w:firstLineChars="0"/>
              <w:jc w:val="center"/>
              <w:textAlignment w:val="center"/>
              <w:rPr>
                <w:color w:val="000000"/>
                <w:kern w:val="0"/>
                <w:highlight w:val="none"/>
                <w:lang w:bidi="ar"/>
              </w:rPr>
            </w:pPr>
            <w:r>
              <w:rPr>
                <w:rFonts w:hint="eastAsia"/>
                <w:color w:val="000000"/>
                <w:kern w:val="0"/>
                <w:highlight w:val="none"/>
                <w:lang w:bidi="ar"/>
              </w:rPr>
              <w:t>交易结算前置信息校核智能体实施</w:t>
            </w:r>
          </w:p>
        </w:tc>
        <w:tc>
          <w:tcPr>
            <w:tcW w:w="847" w:type="dxa"/>
            <w:tcBorders>
              <w:top w:val="nil"/>
              <w:left w:val="nil"/>
              <w:bottom w:val="single" w:color="auto" w:sz="4" w:space="0"/>
              <w:right w:val="single" w:color="auto" w:sz="4" w:space="0"/>
            </w:tcBorders>
            <w:shd w:val="clear" w:color="auto" w:fill="auto"/>
            <w:vAlign w:val="center"/>
          </w:tcPr>
          <w:p w14:paraId="0FEA5FC7">
            <w:pPr>
              <w:widowControl/>
              <w:ind w:firstLine="0" w:firstLineChars="0"/>
              <w:jc w:val="center"/>
              <w:textAlignment w:val="center"/>
              <w:rPr>
                <w:color w:val="000000"/>
                <w:kern w:val="0"/>
                <w:highlight w:val="none"/>
                <w:lang w:bidi="ar"/>
              </w:rPr>
            </w:pPr>
            <w:r>
              <w:rPr>
                <w:rFonts w:hint="eastAsia"/>
                <w:color w:val="000000"/>
                <w:kern w:val="0"/>
                <w:highlight w:val="none"/>
                <w:lang w:bidi="ar"/>
              </w:rPr>
              <w:t>项</w:t>
            </w:r>
          </w:p>
        </w:tc>
        <w:tc>
          <w:tcPr>
            <w:tcW w:w="847" w:type="dxa"/>
            <w:tcBorders>
              <w:top w:val="nil"/>
              <w:left w:val="nil"/>
              <w:bottom w:val="single" w:color="auto" w:sz="4" w:space="0"/>
              <w:right w:val="single" w:color="auto" w:sz="4" w:space="0"/>
            </w:tcBorders>
            <w:shd w:val="clear" w:color="auto" w:fill="auto"/>
            <w:vAlign w:val="center"/>
          </w:tcPr>
          <w:p w14:paraId="2D69192E">
            <w:pPr>
              <w:widowControl/>
              <w:ind w:firstLine="0" w:firstLineChars="0"/>
              <w:jc w:val="center"/>
              <w:textAlignment w:val="center"/>
              <w:rPr>
                <w:color w:val="000000"/>
                <w:kern w:val="0"/>
                <w:highlight w:val="none"/>
                <w:lang w:bidi="ar"/>
              </w:rPr>
            </w:pPr>
            <w:r>
              <w:rPr>
                <w:rFonts w:hint="eastAsia"/>
                <w:color w:val="000000"/>
                <w:kern w:val="0"/>
                <w:highlight w:val="none"/>
                <w:lang w:bidi="ar"/>
              </w:rPr>
              <w:t>1</w:t>
            </w:r>
          </w:p>
        </w:tc>
        <w:tc>
          <w:tcPr>
            <w:tcW w:w="847" w:type="dxa"/>
            <w:tcBorders>
              <w:top w:val="nil"/>
              <w:left w:val="nil"/>
              <w:bottom w:val="single" w:color="auto" w:sz="4" w:space="0"/>
              <w:right w:val="single" w:color="auto" w:sz="4" w:space="0"/>
            </w:tcBorders>
            <w:shd w:val="clear" w:color="auto" w:fill="auto"/>
            <w:vAlign w:val="center"/>
          </w:tcPr>
          <w:p w14:paraId="33F7C2EB">
            <w:pPr>
              <w:widowControl/>
              <w:ind w:firstLine="0" w:firstLineChars="0"/>
              <w:jc w:val="center"/>
              <w:textAlignment w:val="center"/>
              <w:rPr>
                <w:color w:val="000000"/>
                <w:kern w:val="0"/>
                <w:highlight w:val="none"/>
                <w:lang w:bidi="ar"/>
              </w:rPr>
            </w:pPr>
          </w:p>
        </w:tc>
      </w:tr>
      <w:tr w14:paraId="5B75160B">
        <w:tblPrEx>
          <w:tblCellMar>
            <w:top w:w="0" w:type="dxa"/>
            <w:left w:w="108" w:type="dxa"/>
            <w:bottom w:w="0" w:type="dxa"/>
            <w:right w:w="108" w:type="dxa"/>
          </w:tblCellMar>
        </w:tblPrEx>
        <w:trPr>
          <w:trHeight w:val="300" w:hRule="atLeast"/>
        </w:trPr>
        <w:tc>
          <w:tcPr>
            <w:tcW w:w="84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0BBEBDB">
            <w:pPr>
              <w:widowControl/>
              <w:ind w:firstLine="0" w:firstLineChars="0"/>
              <w:jc w:val="center"/>
              <w:textAlignment w:val="center"/>
              <w:rPr>
                <w:color w:val="000000"/>
                <w:kern w:val="0"/>
                <w:highlight w:val="none"/>
                <w:lang w:bidi="ar"/>
              </w:rPr>
            </w:pPr>
            <w:r>
              <w:rPr>
                <w:rFonts w:hint="eastAsia"/>
                <w:color w:val="000000"/>
                <w:kern w:val="0"/>
                <w:highlight w:val="none"/>
                <w:lang w:bidi="ar"/>
              </w:rPr>
              <w:t>4.2</w:t>
            </w:r>
          </w:p>
        </w:tc>
        <w:tc>
          <w:tcPr>
            <w:tcW w:w="5410" w:type="dxa"/>
            <w:tcBorders>
              <w:top w:val="nil"/>
              <w:left w:val="nil"/>
              <w:bottom w:val="single" w:color="auto" w:sz="4" w:space="0"/>
              <w:right w:val="single" w:color="auto" w:sz="4" w:space="0"/>
            </w:tcBorders>
            <w:shd w:val="clear" w:color="auto" w:fill="auto"/>
            <w:vAlign w:val="center"/>
          </w:tcPr>
          <w:p w14:paraId="1453F858">
            <w:pPr>
              <w:widowControl/>
              <w:ind w:firstLine="0" w:firstLineChars="0"/>
              <w:jc w:val="center"/>
              <w:textAlignment w:val="center"/>
              <w:rPr>
                <w:color w:val="000000"/>
                <w:kern w:val="0"/>
                <w:highlight w:val="none"/>
                <w:lang w:bidi="ar"/>
              </w:rPr>
            </w:pPr>
            <w:r>
              <w:rPr>
                <w:rFonts w:hint="eastAsia"/>
                <w:color w:val="000000"/>
                <w:kern w:val="0"/>
                <w:highlight w:val="none"/>
                <w:lang w:bidi="ar"/>
              </w:rPr>
              <w:t>低压远程复电智能体实施</w:t>
            </w:r>
          </w:p>
        </w:tc>
        <w:tc>
          <w:tcPr>
            <w:tcW w:w="847" w:type="dxa"/>
            <w:tcBorders>
              <w:top w:val="nil"/>
              <w:left w:val="nil"/>
              <w:bottom w:val="single" w:color="auto" w:sz="4" w:space="0"/>
              <w:right w:val="single" w:color="auto" w:sz="4" w:space="0"/>
            </w:tcBorders>
            <w:shd w:val="clear" w:color="auto" w:fill="auto"/>
            <w:vAlign w:val="center"/>
          </w:tcPr>
          <w:p w14:paraId="746AFBE4">
            <w:pPr>
              <w:widowControl/>
              <w:ind w:firstLine="0" w:firstLineChars="0"/>
              <w:jc w:val="center"/>
              <w:textAlignment w:val="center"/>
              <w:rPr>
                <w:color w:val="000000"/>
                <w:kern w:val="0"/>
                <w:highlight w:val="none"/>
                <w:lang w:bidi="ar"/>
              </w:rPr>
            </w:pPr>
            <w:r>
              <w:rPr>
                <w:rFonts w:hint="eastAsia"/>
                <w:color w:val="000000"/>
                <w:kern w:val="0"/>
                <w:highlight w:val="none"/>
                <w:lang w:bidi="ar"/>
              </w:rPr>
              <w:t>项</w:t>
            </w:r>
          </w:p>
        </w:tc>
        <w:tc>
          <w:tcPr>
            <w:tcW w:w="847" w:type="dxa"/>
            <w:tcBorders>
              <w:top w:val="nil"/>
              <w:left w:val="nil"/>
              <w:bottom w:val="single" w:color="auto" w:sz="4" w:space="0"/>
              <w:right w:val="single" w:color="auto" w:sz="4" w:space="0"/>
            </w:tcBorders>
            <w:shd w:val="clear" w:color="auto" w:fill="auto"/>
            <w:vAlign w:val="center"/>
          </w:tcPr>
          <w:p w14:paraId="474E554F">
            <w:pPr>
              <w:widowControl/>
              <w:ind w:firstLine="0" w:firstLineChars="0"/>
              <w:jc w:val="center"/>
              <w:textAlignment w:val="center"/>
              <w:rPr>
                <w:color w:val="000000"/>
                <w:kern w:val="0"/>
                <w:highlight w:val="none"/>
                <w:lang w:bidi="ar"/>
              </w:rPr>
            </w:pPr>
            <w:r>
              <w:rPr>
                <w:rFonts w:hint="eastAsia"/>
                <w:color w:val="000000"/>
                <w:kern w:val="0"/>
                <w:highlight w:val="none"/>
                <w:lang w:bidi="ar"/>
              </w:rPr>
              <w:t>1</w:t>
            </w:r>
          </w:p>
        </w:tc>
        <w:tc>
          <w:tcPr>
            <w:tcW w:w="847" w:type="dxa"/>
            <w:tcBorders>
              <w:top w:val="nil"/>
              <w:left w:val="nil"/>
              <w:bottom w:val="single" w:color="auto" w:sz="4" w:space="0"/>
              <w:right w:val="single" w:color="auto" w:sz="4" w:space="0"/>
            </w:tcBorders>
            <w:shd w:val="clear" w:color="auto" w:fill="auto"/>
            <w:vAlign w:val="center"/>
          </w:tcPr>
          <w:p w14:paraId="232B9EBA">
            <w:pPr>
              <w:widowControl/>
              <w:ind w:firstLine="0" w:firstLineChars="0"/>
              <w:jc w:val="center"/>
              <w:textAlignment w:val="center"/>
              <w:rPr>
                <w:color w:val="000000"/>
                <w:kern w:val="0"/>
                <w:highlight w:val="none"/>
                <w:lang w:bidi="ar"/>
              </w:rPr>
            </w:pPr>
          </w:p>
        </w:tc>
      </w:tr>
      <w:tr w14:paraId="28339632">
        <w:tblPrEx>
          <w:tblCellMar>
            <w:top w:w="0" w:type="dxa"/>
            <w:left w:w="108" w:type="dxa"/>
            <w:bottom w:w="0" w:type="dxa"/>
            <w:right w:w="108" w:type="dxa"/>
          </w:tblCellMar>
        </w:tblPrEx>
        <w:trPr>
          <w:trHeight w:val="300" w:hRule="atLeast"/>
        </w:trPr>
        <w:tc>
          <w:tcPr>
            <w:tcW w:w="84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5DB80FC">
            <w:pPr>
              <w:widowControl/>
              <w:ind w:firstLine="0" w:firstLineChars="0"/>
              <w:jc w:val="center"/>
              <w:textAlignment w:val="center"/>
              <w:rPr>
                <w:color w:val="000000"/>
                <w:kern w:val="0"/>
                <w:highlight w:val="none"/>
                <w:lang w:bidi="ar"/>
              </w:rPr>
            </w:pPr>
            <w:r>
              <w:rPr>
                <w:rFonts w:hint="eastAsia"/>
                <w:color w:val="000000"/>
                <w:kern w:val="0"/>
                <w:highlight w:val="none"/>
                <w:lang w:bidi="ar"/>
              </w:rPr>
              <w:t>4.3</w:t>
            </w:r>
          </w:p>
        </w:tc>
        <w:tc>
          <w:tcPr>
            <w:tcW w:w="5410" w:type="dxa"/>
            <w:tcBorders>
              <w:top w:val="single" w:color="auto" w:sz="4" w:space="0"/>
              <w:left w:val="single" w:color="auto" w:sz="4" w:space="0"/>
              <w:bottom w:val="single" w:color="auto" w:sz="4" w:space="0"/>
              <w:right w:val="single" w:color="auto" w:sz="4" w:space="0"/>
            </w:tcBorders>
            <w:shd w:val="clear" w:color="auto" w:fill="auto"/>
            <w:vAlign w:val="center"/>
          </w:tcPr>
          <w:p w14:paraId="40F006FC">
            <w:pPr>
              <w:widowControl/>
              <w:ind w:firstLine="0" w:firstLineChars="0"/>
              <w:jc w:val="center"/>
              <w:textAlignment w:val="center"/>
              <w:rPr>
                <w:color w:val="000000"/>
                <w:kern w:val="0"/>
                <w:highlight w:val="none"/>
                <w:lang w:bidi="ar"/>
              </w:rPr>
            </w:pPr>
            <w:r>
              <w:rPr>
                <w:rFonts w:hint="eastAsia"/>
                <w:color w:val="000000"/>
                <w:kern w:val="0"/>
                <w:highlight w:val="none"/>
                <w:lang w:bidi="ar"/>
              </w:rPr>
              <w:t>指标监测智能体实施</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5348B74E">
            <w:pPr>
              <w:widowControl/>
              <w:ind w:firstLine="0" w:firstLineChars="0"/>
              <w:jc w:val="center"/>
              <w:textAlignment w:val="center"/>
              <w:rPr>
                <w:color w:val="000000"/>
                <w:kern w:val="0"/>
                <w:highlight w:val="none"/>
                <w:lang w:bidi="ar"/>
              </w:rPr>
            </w:pPr>
            <w:r>
              <w:rPr>
                <w:rFonts w:hint="eastAsia"/>
                <w:color w:val="000000"/>
                <w:kern w:val="0"/>
                <w:highlight w:val="none"/>
                <w:lang w:bidi="ar"/>
              </w:rPr>
              <w:t>项</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27AD094C">
            <w:pPr>
              <w:widowControl/>
              <w:ind w:firstLine="0" w:firstLineChars="0"/>
              <w:jc w:val="center"/>
              <w:textAlignment w:val="center"/>
              <w:rPr>
                <w:color w:val="000000"/>
                <w:kern w:val="0"/>
                <w:highlight w:val="none"/>
                <w:lang w:bidi="ar"/>
              </w:rPr>
            </w:pPr>
            <w:r>
              <w:rPr>
                <w:rFonts w:hint="eastAsia"/>
                <w:color w:val="000000"/>
                <w:kern w:val="0"/>
                <w:highlight w:val="none"/>
                <w:lang w:bidi="ar"/>
              </w:rPr>
              <w:t>1</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344A79E8">
            <w:pPr>
              <w:widowControl/>
              <w:ind w:firstLine="0" w:firstLineChars="0"/>
              <w:jc w:val="center"/>
              <w:textAlignment w:val="center"/>
              <w:rPr>
                <w:color w:val="000000"/>
                <w:kern w:val="0"/>
                <w:highlight w:val="none"/>
                <w:lang w:bidi="ar"/>
              </w:rPr>
            </w:pPr>
          </w:p>
        </w:tc>
      </w:tr>
      <w:tr w14:paraId="5D45D4E7">
        <w:tblPrEx>
          <w:tblCellMar>
            <w:top w:w="0" w:type="dxa"/>
            <w:left w:w="108" w:type="dxa"/>
            <w:bottom w:w="0" w:type="dxa"/>
            <w:right w:w="108" w:type="dxa"/>
          </w:tblCellMar>
        </w:tblPrEx>
        <w:trPr>
          <w:trHeight w:val="300" w:hRule="atLeast"/>
        </w:trPr>
        <w:tc>
          <w:tcPr>
            <w:tcW w:w="84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E15B8A1">
            <w:pPr>
              <w:widowControl/>
              <w:ind w:firstLine="0" w:firstLineChars="0"/>
              <w:jc w:val="center"/>
              <w:textAlignment w:val="center"/>
              <w:rPr>
                <w:color w:val="000000"/>
                <w:kern w:val="0"/>
                <w:highlight w:val="none"/>
                <w:lang w:bidi="ar"/>
              </w:rPr>
            </w:pPr>
            <w:r>
              <w:rPr>
                <w:rFonts w:hint="eastAsia"/>
                <w:color w:val="000000"/>
                <w:kern w:val="0"/>
                <w:highlight w:val="none"/>
                <w:lang w:bidi="ar"/>
              </w:rPr>
              <w:t>4.4</w:t>
            </w:r>
          </w:p>
        </w:tc>
        <w:tc>
          <w:tcPr>
            <w:tcW w:w="5410" w:type="dxa"/>
            <w:tcBorders>
              <w:top w:val="single" w:color="auto" w:sz="4" w:space="0"/>
              <w:left w:val="single" w:color="auto" w:sz="4" w:space="0"/>
              <w:bottom w:val="single" w:color="auto" w:sz="4" w:space="0"/>
              <w:right w:val="single" w:color="auto" w:sz="4" w:space="0"/>
            </w:tcBorders>
            <w:shd w:val="clear" w:color="auto" w:fill="auto"/>
            <w:vAlign w:val="center"/>
          </w:tcPr>
          <w:p w14:paraId="0258E8BC">
            <w:pPr>
              <w:widowControl/>
              <w:ind w:firstLine="0" w:firstLineChars="0"/>
              <w:jc w:val="center"/>
              <w:textAlignment w:val="center"/>
              <w:rPr>
                <w:color w:val="000000"/>
                <w:kern w:val="0"/>
                <w:highlight w:val="none"/>
                <w:lang w:bidi="ar"/>
              </w:rPr>
            </w:pPr>
            <w:r>
              <w:rPr>
                <w:rFonts w:hint="eastAsia"/>
                <w:color w:val="000000"/>
                <w:kern w:val="0"/>
                <w:highlight w:val="none"/>
                <w:lang w:bidi="ar"/>
              </w:rPr>
              <w:t>停电研判智能体实施</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27E52B85">
            <w:pPr>
              <w:widowControl/>
              <w:ind w:firstLine="0" w:firstLineChars="0"/>
              <w:jc w:val="center"/>
              <w:textAlignment w:val="center"/>
              <w:rPr>
                <w:color w:val="000000"/>
                <w:kern w:val="0"/>
                <w:highlight w:val="none"/>
                <w:lang w:bidi="ar"/>
              </w:rPr>
            </w:pPr>
            <w:r>
              <w:rPr>
                <w:rFonts w:hint="eastAsia"/>
                <w:color w:val="000000"/>
                <w:kern w:val="0"/>
                <w:highlight w:val="none"/>
                <w:lang w:bidi="ar"/>
              </w:rPr>
              <w:t>项</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1DC36224">
            <w:pPr>
              <w:widowControl/>
              <w:ind w:firstLine="0" w:firstLineChars="0"/>
              <w:jc w:val="center"/>
              <w:textAlignment w:val="center"/>
              <w:rPr>
                <w:color w:val="000000"/>
                <w:kern w:val="0"/>
                <w:highlight w:val="none"/>
                <w:lang w:bidi="ar"/>
              </w:rPr>
            </w:pPr>
            <w:r>
              <w:rPr>
                <w:rFonts w:hint="eastAsia"/>
                <w:color w:val="000000"/>
                <w:kern w:val="0"/>
                <w:highlight w:val="none"/>
                <w:lang w:bidi="ar"/>
              </w:rPr>
              <w:t>1</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6B98BADE">
            <w:pPr>
              <w:widowControl/>
              <w:ind w:firstLine="0" w:firstLineChars="0"/>
              <w:jc w:val="center"/>
              <w:textAlignment w:val="center"/>
              <w:rPr>
                <w:color w:val="000000"/>
                <w:kern w:val="0"/>
                <w:highlight w:val="none"/>
                <w:lang w:bidi="ar"/>
              </w:rPr>
            </w:pPr>
          </w:p>
        </w:tc>
      </w:tr>
      <w:tr w14:paraId="14094C78">
        <w:tblPrEx>
          <w:tblCellMar>
            <w:top w:w="0" w:type="dxa"/>
            <w:left w:w="108" w:type="dxa"/>
            <w:bottom w:w="0" w:type="dxa"/>
            <w:right w:w="108" w:type="dxa"/>
          </w:tblCellMar>
        </w:tblPrEx>
        <w:trPr>
          <w:trHeight w:val="300" w:hRule="atLeast"/>
        </w:trPr>
        <w:tc>
          <w:tcPr>
            <w:tcW w:w="84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B057E4E">
            <w:pPr>
              <w:widowControl/>
              <w:ind w:firstLine="0" w:firstLineChars="0"/>
              <w:jc w:val="center"/>
              <w:textAlignment w:val="center"/>
              <w:rPr>
                <w:color w:val="000000"/>
                <w:kern w:val="0"/>
                <w:highlight w:val="none"/>
                <w:lang w:bidi="ar"/>
              </w:rPr>
            </w:pPr>
            <w:r>
              <w:rPr>
                <w:rFonts w:hint="eastAsia"/>
                <w:color w:val="000000"/>
                <w:kern w:val="0"/>
                <w:highlight w:val="none"/>
                <w:lang w:bidi="ar"/>
              </w:rPr>
              <w:t>4.5</w:t>
            </w:r>
          </w:p>
        </w:tc>
        <w:tc>
          <w:tcPr>
            <w:tcW w:w="5410" w:type="dxa"/>
            <w:tcBorders>
              <w:top w:val="single" w:color="auto" w:sz="4" w:space="0"/>
              <w:left w:val="single" w:color="auto" w:sz="4" w:space="0"/>
              <w:bottom w:val="single" w:color="auto" w:sz="4" w:space="0"/>
              <w:right w:val="single" w:color="auto" w:sz="4" w:space="0"/>
            </w:tcBorders>
            <w:shd w:val="clear" w:color="auto" w:fill="auto"/>
            <w:vAlign w:val="center"/>
          </w:tcPr>
          <w:p w14:paraId="7CCB4EBF">
            <w:pPr>
              <w:widowControl/>
              <w:ind w:firstLine="0" w:firstLineChars="0"/>
              <w:jc w:val="center"/>
              <w:textAlignment w:val="center"/>
              <w:rPr>
                <w:color w:val="000000"/>
                <w:kern w:val="0"/>
                <w:highlight w:val="none"/>
                <w:lang w:bidi="ar"/>
              </w:rPr>
            </w:pPr>
            <w:r>
              <w:rPr>
                <w:rFonts w:hint="eastAsia"/>
                <w:color w:val="000000"/>
                <w:kern w:val="0"/>
                <w:highlight w:val="none"/>
                <w:lang w:bidi="ar"/>
              </w:rPr>
              <w:t>采集链路监控智能体实施</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1E99027B">
            <w:pPr>
              <w:widowControl/>
              <w:ind w:firstLine="0" w:firstLineChars="0"/>
              <w:jc w:val="center"/>
              <w:textAlignment w:val="center"/>
              <w:rPr>
                <w:color w:val="000000"/>
                <w:kern w:val="0"/>
                <w:highlight w:val="none"/>
                <w:lang w:bidi="ar"/>
              </w:rPr>
            </w:pPr>
            <w:r>
              <w:rPr>
                <w:rFonts w:hint="eastAsia"/>
                <w:color w:val="000000"/>
                <w:kern w:val="0"/>
                <w:highlight w:val="none"/>
                <w:lang w:bidi="ar"/>
              </w:rPr>
              <w:t>项</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6F00DD5B">
            <w:pPr>
              <w:widowControl/>
              <w:ind w:firstLine="0" w:firstLineChars="0"/>
              <w:jc w:val="center"/>
              <w:textAlignment w:val="center"/>
              <w:rPr>
                <w:color w:val="000000"/>
                <w:kern w:val="0"/>
                <w:highlight w:val="none"/>
                <w:lang w:bidi="ar"/>
              </w:rPr>
            </w:pPr>
            <w:r>
              <w:rPr>
                <w:rFonts w:hint="eastAsia"/>
                <w:color w:val="000000"/>
                <w:kern w:val="0"/>
                <w:highlight w:val="none"/>
                <w:lang w:bidi="ar"/>
              </w:rPr>
              <w:t>1</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0F38E080">
            <w:pPr>
              <w:widowControl/>
              <w:ind w:firstLine="0" w:firstLineChars="0"/>
              <w:jc w:val="center"/>
              <w:textAlignment w:val="center"/>
              <w:rPr>
                <w:color w:val="000000"/>
                <w:kern w:val="0"/>
                <w:highlight w:val="none"/>
                <w:lang w:bidi="ar"/>
              </w:rPr>
            </w:pPr>
          </w:p>
        </w:tc>
      </w:tr>
      <w:tr w14:paraId="7490AF48">
        <w:tblPrEx>
          <w:tblCellMar>
            <w:top w:w="0" w:type="dxa"/>
            <w:left w:w="108" w:type="dxa"/>
            <w:bottom w:w="0" w:type="dxa"/>
            <w:right w:w="108" w:type="dxa"/>
          </w:tblCellMar>
        </w:tblPrEx>
        <w:trPr>
          <w:trHeight w:val="300" w:hRule="atLeast"/>
        </w:trPr>
        <w:tc>
          <w:tcPr>
            <w:tcW w:w="84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3C75363">
            <w:pPr>
              <w:widowControl/>
              <w:ind w:firstLine="0" w:firstLineChars="0"/>
              <w:jc w:val="center"/>
              <w:textAlignment w:val="center"/>
              <w:rPr>
                <w:color w:val="000000"/>
                <w:kern w:val="0"/>
                <w:highlight w:val="none"/>
                <w:lang w:bidi="ar"/>
              </w:rPr>
            </w:pPr>
            <w:r>
              <w:rPr>
                <w:rFonts w:hint="eastAsia"/>
                <w:color w:val="000000"/>
                <w:kern w:val="0"/>
                <w:highlight w:val="none"/>
                <w:lang w:bidi="ar"/>
              </w:rPr>
              <w:t>4.6</w:t>
            </w:r>
          </w:p>
        </w:tc>
        <w:tc>
          <w:tcPr>
            <w:tcW w:w="5410" w:type="dxa"/>
            <w:tcBorders>
              <w:top w:val="single" w:color="auto" w:sz="4" w:space="0"/>
              <w:left w:val="single" w:color="auto" w:sz="4" w:space="0"/>
              <w:bottom w:val="single" w:color="auto" w:sz="4" w:space="0"/>
              <w:right w:val="single" w:color="auto" w:sz="4" w:space="0"/>
            </w:tcBorders>
            <w:shd w:val="clear" w:color="auto" w:fill="auto"/>
            <w:vAlign w:val="center"/>
          </w:tcPr>
          <w:p w14:paraId="50D6D4DB">
            <w:pPr>
              <w:widowControl/>
              <w:ind w:firstLine="0" w:firstLineChars="0"/>
              <w:jc w:val="center"/>
              <w:textAlignment w:val="center"/>
              <w:rPr>
                <w:color w:val="000000"/>
                <w:kern w:val="0"/>
                <w:highlight w:val="none"/>
                <w:lang w:bidi="ar"/>
              </w:rPr>
            </w:pPr>
            <w:r>
              <w:rPr>
                <w:rFonts w:hint="eastAsia"/>
                <w:color w:val="000000"/>
                <w:kern w:val="0"/>
                <w:highlight w:val="none"/>
                <w:lang w:bidi="ar"/>
              </w:rPr>
              <w:t>计量装置差错识别智能体实施</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5CB0B1DE">
            <w:pPr>
              <w:widowControl/>
              <w:ind w:firstLine="0" w:firstLineChars="0"/>
              <w:jc w:val="center"/>
              <w:textAlignment w:val="center"/>
              <w:rPr>
                <w:color w:val="000000"/>
                <w:kern w:val="0"/>
                <w:highlight w:val="none"/>
                <w:lang w:bidi="ar"/>
              </w:rPr>
            </w:pPr>
            <w:r>
              <w:rPr>
                <w:rFonts w:hint="eastAsia"/>
                <w:color w:val="000000"/>
                <w:kern w:val="0"/>
                <w:highlight w:val="none"/>
                <w:lang w:bidi="ar"/>
              </w:rPr>
              <w:t>项</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01A48977">
            <w:pPr>
              <w:widowControl/>
              <w:ind w:firstLine="0" w:firstLineChars="0"/>
              <w:jc w:val="center"/>
              <w:textAlignment w:val="center"/>
              <w:rPr>
                <w:color w:val="000000"/>
                <w:kern w:val="0"/>
                <w:highlight w:val="none"/>
                <w:lang w:bidi="ar"/>
              </w:rPr>
            </w:pPr>
            <w:r>
              <w:rPr>
                <w:rFonts w:hint="eastAsia"/>
                <w:color w:val="000000"/>
                <w:kern w:val="0"/>
                <w:highlight w:val="none"/>
                <w:lang w:bidi="ar"/>
              </w:rPr>
              <w:t>1</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203A385B">
            <w:pPr>
              <w:widowControl/>
              <w:ind w:firstLine="0" w:firstLineChars="0"/>
              <w:jc w:val="center"/>
              <w:textAlignment w:val="center"/>
              <w:rPr>
                <w:color w:val="000000"/>
                <w:kern w:val="0"/>
                <w:highlight w:val="none"/>
                <w:lang w:bidi="ar"/>
              </w:rPr>
            </w:pPr>
          </w:p>
        </w:tc>
      </w:tr>
      <w:tr w14:paraId="33ADBF32">
        <w:tblPrEx>
          <w:tblCellMar>
            <w:top w:w="0" w:type="dxa"/>
            <w:left w:w="108" w:type="dxa"/>
            <w:bottom w:w="0" w:type="dxa"/>
            <w:right w:w="108" w:type="dxa"/>
          </w:tblCellMar>
        </w:tblPrEx>
        <w:trPr>
          <w:trHeight w:val="300" w:hRule="atLeast"/>
        </w:trPr>
        <w:tc>
          <w:tcPr>
            <w:tcW w:w="84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DA159A6">
            <w:pPr>
              <w:widowControl/>
              <w:ind w:firstLine="0" w:firstLineChars="0"/>
              <w:jc w:val="center"/>
              <w:textAlignment w:val="center"/>
              <w:rPr>
                <w:color w:val="000000"/>
                <w:kern w:val="0"/>
                <w:highlight w:val="none"/>
                <w:lang w:bidi="ar"/>
              </w:rPr>
            </w:pPr>
            <w:r>
              <w:rPr>
                <w:rFonts w:hint="eastAsia"/>
                <w:color w:val="000000"/>
                <w:kern w:val="0"/>
                <w:highlight w:val="none"/>
                <w:lang w:bidi="ar"/>
              </w:rPr>
              <w:t>5</w:t>
            </w:r>
          </w:p>
        </w:tc>
        <w:tc>
          <w:tcPr>
            <w:tcW w:w="5410" w:type="dxa"/>
            <w:tcBorders>
              <w:top w:val="single" w:color="auto" w:sz="4" w:space="0"/>
              <w:left w:val="single" w:color="auto" w:sz="4" w:space="0"/>
              <w:bottom w:val="single" w:color="auto" w:sz="4" w:space="0"/>
              <w:right w:val="single" w:color="auto" w:sz="4" w:space="0"/>
            </w:tcBorders>
            <w:shd w:val="clear" w:color="auto" w:fill="auto"/>
            <w:vAlign w:val="center"/>
          </w:tcPr>
          <w:p w14:paraId="61F91A88">
            <w:pPr>
              <w:widowControl/>
              <w:ind w:firstLine="0" w:firstLineChars="0"/>
              <w:jc w:val="center"/>
              <w:textAlignment w:val="center"/>
              <w:rPr>
                <w:color w:val="000000"/>
                <w:kern w:val="0"/>
                <w:highlight w:val="none"/>
                <w:lang w:bidi="ar"/>
              </w:rPr>
            </w:pPr>
            <w:r>
              <w:rPr>
                <w:rFonts w:hint="eastAsia"/>
                <w:b/>
                <w:bCs/>
                <w:color w:val="000000"/>
                <w:kern w:val="0"/>
                <w:highlight w:val="none"/>
                <w:lang w:bidi="ar"/>
              </w:rPr>
              <w:t>安全测评</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2C7BBC88">
            <w:pPr>
              <w:widowControl/>
              <w:ind w:firstLine="0" w:firstLineChars="0"/>
              <w:jc w:val="center"/>
              <w:textAlignment w:val="center"/>
              <w:rPr>
                <w:color w:val="000000"/>
                <w:kern w:val="0"/>
                <w:highlight w:val="none"/>
                <w:lang w:bidi="ar"/>
              </w:rPr>
            </w:pP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21FC812E">
            <w:pPr>
              <w:widowControl/>
              <w:ind w:firstLine="0" w:firstLineChars="0"/>
              <w:jc w:val="center"/>
              <w:textAlignment w:val="center"/>
              <w:rPr>
                <w:color w:val="000000"/>
                <w:kern w:val="0"/>
                <w:highlight w:val="none"/>
                <w:lang w:bidi="ar"/>
              </w:rPr>
            </w:pP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6EF47808">
            <w:pPr>
              <w:widowControl/>
              <w:ind w:firstLine="0" w:firstLineChars="0"/>
              <w:jc w:val="center"/>
              <w:textAlignment w:val="center"/>
              <w:rPr>
                <w:color w:val="000000"/>
                <w:kern w:val="0"/>
                <w:highlight w:val="none"/>
                <w:lang w:bidi="ar"/>
              </w:rPr>
            </w:pPr>
          </w:p>
        </w:tc>
      </w:tr>
      <w:tr w14:paraId="507B456C">
        <w:tblPrEx>
          <w:tblCellMar>
            <w:top w:w="0" w:type="dxa"/>
            <w:left w:w="108" w:type="dxa"/>
            <w:bottom w:w="0" w:type="dxa"/>
            <w:right w:w="108" w:type="dxa"/>
          </w:tblCellMar>
        </w:tblPrEx>
        <w:trPr>
          <w:trHeight w:val="300" w:hRule="atLeast"/>
        </w:trPr>
        <w:tc>
          <w:tcPr>
            <w:tcW w:w="84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B8CB768">
            <w:pPr>
              <w:widowControl/>
              <w:ind w:firstLine="0" w:firstLineChars="0"/>
              <w:jc w:val="center"/>
              <w:textAlignment w:val="center"/>
              <w:rPr>
                <w:color w:val="000000"/>
                <w:kern w:val="0"/>
                <w:highlight w:val="none"/>
                <w:lang w:bidi="ar"/>
              </w:rPr>
            </w:pPr>
            <w:r>
              <w:rPr>
                <w:rFonts w:hint="eastAsia"/>
                <w:color w:val="000000"/>
                <w:kern w:val="0"/>
                <w:highlight w:val="none"/>
                <w:lang w:bidi="ar"/>
              </w:rPr>
              <w:t>5.1</w:t>
            </w:r>
          </w:p>
        </w:tc>
        <w:tc>
          <w:tcPr>
            <w:tcW w:w="5410" w:type="dxa"/>
            <w:tcBorders>
              <w:top w:val="single" w:color="auto" w:sz="4" w:space="0"/>
              <w:left w:val="single" w:color="auto" w:sz="4" w:space="0"/>
              <w:bottom w:val="single" w:color="auto" w:sz="4" w:space="0"/>
              <w:right w:val="single" w:color="auto" w:sz="4" w:space="0"/>
            </w:tcBorders>
            <w:shd w:val="clear" w:color="auto" w:fill="auto"/>
            <w:vAlign w:val="center"/>
          </w:tcPr>
          <w:p w14:paraId="5064ED3E">
            <w:pPr>
              <w:widowControl/>
              <w:ind w:firstLine="0" w:firstLineChars="0"/>
              <w:jc w:val="center"/>
              <w:textAlignment w:val="center"/>
              <w:rPr>
                <w:color w:val="000000"/>
                <w:kern w:val="0"/>
                <w:highlight w:val="none"/>
                <w:lang w:bidi="ar"/>
              </w:rPr>
            </w:pPr>
            <w:r>
              <w:rPr>
                <w:rFonts w:hint="eastAsia"/>
                <w:color w:val="000000"/>
                <w:kern w:val="0"/>
                <w:highlight w:val="none"/>
                <w:lang w:bidi="ar"/>
              </w:rPr>
              <w:t>第三方测试费</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4AEE42E8">
            <w:pPr>
              <w:widowControl/>
              <w:ind w:firstLine="0" w:firstLineChars="0"/>
              <w:jc w:val="center"/>
              <w:textAlignment w:val="center"/>
              <w:rPr>
                <w:color w:val="000000"/>
                <w:kern w:val="0"/>
                <w:highlight w:val="none"/>
                <w:lang w:bidi="ar"/>
              </w:rPr>
            </w:pPr>
            <w:r>
              <w:rPr>
                <w:rFonts w:hint="eastAsia"/>
                <w:color w:val="000000"/>
                <w:kern w:val="0"/>
                <w:highlight w:val="none"/>
                <w:lang w:bidi="ar"/>
              </w:rPr>
              <w:t>项</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3189A0E3">
            <w:pPr>
              <w:widowControl/>
              <w:ind w:firstLine="0" w:firstLineChars="0"/>
              <w:jc w:val="center"/>
              <w:textAlignment w:val="center"/>
              <w:rPr>
                <w:color w:val="000000"/>
                <w:kern w:val="0"/>
                <w:highlight w:val="none"/>
                <w:lang w:bidi="ar"/>
              </w:rPr>
            </w:pPr>
            <w:r>
              <w:rPr>
                <w:rFonts w:hint="eastAsia"/>
                <w:color w:val="000000"/>
                <w:kern w:val="0"/>
                <w:highlight w:val="none"/>
                <w:lang w:bidi="ar"/>
              </w:rPr>
              <w:t>1</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07EDFFCE">
            <w:pPr>
              <w:widowControl/>
              <w:ind w:firstLine="0" w:firstLineChars="0"/>
              <w:jc w:val="center"/>
              <w:textAlignment w:val="center"/>
              <w:rPr>
                <w:color w:val="000000"/>
                <w:kern w:val="0"/>
                <w:highlight w:val="none"/>
                <w:lang w:bidi="ar"/>
              </w:rPr>
            </w:pPr>
          </w:p>
        </w:tc>
      </w:tr>
      <w:tr w14:paraId="62700828">
        <w:tblPrEx>
          <w:tblCellMar>
            <w:top w:w="0" w:type="dxa"/>
            <w:left w:w="108" w:type="dxa"/>
            <w:bottom w:w="0" w:type="dxa"/>
            <w:right w:w="108" w:type="dxa"/>
          </w:tblCellMar>
        </w:tblPrEx>
        <w:trPr>
          <w:trHeight w:val="300" w:hRule="atLeast"/>
        </w:trPr>
        <w:tc>
          <w:tcPr>
            <w:tcW w:w="84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42313EE">
            <w:pPr>
              <w:widowControl/>
              <w:ind w:firstLine="0" w:firstLineChars="0"/>
              <w:jc w:val="center"/>
              <w:textAlignment w:val="center"/>
              <w:rPr>
                <w:color w:val="000000"/>
                <w:kern w:val="0"/>
                <w:highlight w:val="none"/>
                <w:lang w:bidi="ar"/>
              </w:rPr>
            </w:pPr>
            <w:r>
              <w:rPr>
                <w:rFonts w:hint="eastAsia"/>
                <w:color w:val="000000"/>
                <w:kern w:val="0"/>
                <w:highlight w:val="none"/>
                <w:lang w:bidi="ar"/>
              </w:rPr>
              <w:t>5.2</w:t>
            </w:r>
          </w:p>
        </w:tc>
        <w:tc>
          <w:tcPr>
            <w:tcW w:w="5410" w:type="dxa"/>
            <w:tcBorders>
              <w:top w:val="single" w:color="auto" w:sz="4" w:space="0"/>
              <w:left w:val="single" w:color="auto" w:sz="4" w:space="0"/>
              <w:bottom w:val="single" w:color="auto" w:sz="4" w:space="0"/>
              <w:right w:val="single" w:color="auto" w:sz="4" w:space="0"/>
            </w:tcBorders>
            <w:shd w:val="clear" w:color="auto" w:fill="auto"/>
            <w:vAlign w:val="center"/>
          </w:tcPr>
          <w:p w14:paraId="70C0672D">
            <w:pPr>
              <w:widowControl/>
              <w:ind w:firstLine="0" w:firstLineChars="0"/>
              <w:jc w:val="center"/>
              <w:textAlignment w:val="center"/>
              <w:rPr>
                <w:color w:val="000000"/>
                <w:kern w:val="0"/>
                <w:highlight w:val="none"/>
                <w:lang w:bidi="ar"/>
              </w:rPr>
            </w:pPr>
            <w:r>
              <w:rPr>
                <w:rFonts w:hint="eastAsia"/>
                <w:color w:val="000000"/>
                <w:kern w:val="0"/>
                <w:highlight w:val="none"/>
                <w:lang w:bidi="ar"/>
              </w:rPr>
              <w:t>网络安全等级评测费</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204321C2">
            <w:pPr>
              <w:widowControl/>
              <w:ind w:firstLine="0" w:firstLineChars="0"/>
              <w:jc w:val="center"/>
              <w:textAlignment w:val="center"/>
              <w:rPr>
                <w:color w:val="000000"/>
                <w:kern w:val="0"/>
                <w:highlight w:val="none"/>
                <w:lang w:bidi="ar"/>
              </w:rPr>
            </w:pPr>
            <w:r>
              <w:rPr>
                <w:rFonts w:hint="eastAsia"/>
                <w:color w:val="000000"/>
                <w:kern w:val="0"/>
                <w:highlight w:val="none"/>
                <w:lang w:bidi="ar"/>
              </w:rPr>
              <w:t>项</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4A72E56B">
            <w:pPr>
              <w:widowControl/>
              <w:ind w:firstLine="0" w:firstLineChars="0"/>
              <w:jc w:val="center"/>
              <w:textAlignment w:val="center"/>
              <w:rPr>
                <w:color w:val="000000"/>
                <w:kern w:val="0"/>
                <w:highlight w:val="none"/>
                <w:lang w:bidi="ar"/>
              </w:rPr>
            </w:pPr>
            <w:r>
              <w:rPr>
                <w:rFonts w:hint="eastAsia"/>
                <w:color w:val="000000"/>
                <w:kern w:val="0"/>
                <w:highlight w:val="none"/>
                <w:lang w:bidi="ar"/>
              </w:rPr>
              <w:t>1</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34D820D3">
            <w:pPr>
              <w:widowControl/>
              <w:ind w:firstLine="0" w:firstLineChars="0"/>
              <w:jc w:val="center"/>
              <w:textAlignment w:val="center"/>
              <w:rPr>
                <w:color w:val="000000"/>
                <w:kern w:val="0"/>
                <w:highlight w:val="none"/>
                <w:lang w:bidi="ar"/>
              </w:rPr>
            </w:pPr>
          </w:p>
        </w:tc>
      </w:tr>
      <w:tr w14:paraId="31C27B15">
        <w:tblPrEx>
          <w:tblCellMar>
            <w:top w:w="0" w:type="dxa"/>
            <w:left w:w="108" w:type="dxa"/>
            <w:bottom w:w="0" w:type="dxa"/>
            <w:right w:w="108" w:type="dxa"/>
          </w:tblCellMar>
        </w:tblPrEx>
        <w:trPr>
          <w:trHeight w:val="300" w:hRule="atLeast"/>
        </w:trPr>
        <w:tc>
          <w:tcPr>
            <w:tcW w:w="84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EF5C7A3">
            <w:pPr>
              <w:widowControl/>
              <w:ind w:firstLine="0" w:firstLineChars="0"/>
              <w:jc w:val="center"/>
              <w:textAlignment w:val="center"/>
              <w:rPr>
                <w:color w:val="000000"/>
                <w:kern w:val="0"/>
                <w:highlight w:val="none"/>
                <w:lang w:bidi="ar"/>
              </w:rPr>
            </w:pPr>
            <w:r>
              <w:rPr>
                <w:rFonts w:hint="eastAsia"/>
                <w:color w:val="000000"/>
                <w:kern w:val="0"/>
                <w:highlight w:val="none"/>
                <w:lang w:bidi="ar"/>
              </w:rPr>
              <w:t>5.3</w:t>
            </w:r>
          </w:p>
        </w:tc>
        <w:tc>
          <w:tcPr>
            <w:tcW w:w="5410" w:type="dxa"/>
            <w:tcBorders>
              <w:top w:val="single" w:color="auto" w:sz="4" w:space="0"/>
              <w:left w:val="single" w:color="auto" w:sz="4" w:space="0"/>
              <w:bottom w:val="single" w:color="auto" w:sz="4" w:space="0"/>
              <w:right w:val="single" w:color="auto" w:sz="4" w:space="0"/>
            </w:tcBorders>
            <w:shd w:val="clear" w:color="auto" w:fill="auto"/>
            <w:vAlign w:val="center"/>
          </w:tcPr>
          <w:p w14:paraId="35F8A1A4">
            <w:pPr>
              <w:widowControl/>
              <w:ind w:firstLine="0" w:firstLineChars="0"/>
              <w:jc w:val="center"/>
              <w:textAlignment w:val="center"/>
              <w:rPr>
                <w:color w:val="000000"/>
                <w:kern w:val="0"/>
                <w:highlight w:val="none"/>
                <w:lang w:bidi="ar"/>
              </w:rPr>
            </w:pPr>
            <w:r>
              <w:rPr>
                <w:rFonts w:hint="eastAsia"/>
                <w:color w:val="000000"/>
                <w:kern w:val="0"/>
                <w:highlight w:val="none"/>
                <w:lang w:bidi="ar"/>
              </w:rPr>
              <w:t>入网安全评测</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1E5DD9EF">
            <w:pPr>
              <w:widowControl/>
              <w:ind w:firstLine="0" w:firstLineChars="0"/>
              <w:jc w:val="center"/>
              <w:textAlignment w:val="center"/>
              <w:rPr>
                <w:color w:val="000000"/>
                <w:kern w:val="0"/>
                <w:highlight w:val="none"/>
                <w:lang w:bidi="ar"/>
              </w:rPr>
            </w:pPr>
            <w:r>
              <w:rPr>
                <w:rFonts w:hint="eastAsia"/>
                <w:color w:val="000000"/>
                <w:kern w:val="0"/>
                <w:highlight w:val="none"/>
                <w:lang w:bidi="ar"/>
              </w:rPr>
              <w:t>项</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117E78FF">
            <w:pPr>
              <w:widowControl/>
              <w:ind w:firstLine="0" w:firstLineChars="0"/>
              <w:jc w:val="center"/>
              <w:textAlignment w:val="center"/>
              <w:rPr>
                <w:color w:val="000000"/>
                <w:kern w:val="0"/>
                <w:highlight w:val="none"/>
                <w:lang w:bidi="ar"/>
              </w:rPr>
            </w:pPr>
            <w:r>
              <w:rPr>
                <w:rFonts w:hint="eastAsia"/>
                <w:color w:val="000000"/>
                <w:kern w:val="0"/>
                <w:highlight w:val="none"/>
                <w:lang w:bidi="ar"/>
              </w:rPr>
              <w:t>1</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3BF499F1">
            <w:pPr>
              <w:widowControl/>
              <w:ind w:firstLine="0" w:firstLineChars="0"/>
              <w:jc w:val="center"/>
              <w:textAlignment w:val="center"/>
              <w:rPr>
                <w:color w:val="000000"/>
                <w:kern w:val="0"/>
                <w:highlight w:val="none"/>
                <w:lang w:bidi="ar"/>
              </w:rPr>
            </w:pPr>
          </w:p>
        </w:tc>
      </w:tr>
      <w:tr w14:paraId="2A1E9A55">
        <w:tblPrEx>
          <w:tblCellMar>
            <w:top w:w="0" w:type="dxa"/>
            <w:left w:w="108" w:type="dxa"/>
            <w:bottom w:w="0" w:type="dxa"/>
            <w:right w:w="108" w:type="dxa"/>
          </w:tblCellMar>
        </w:tblPrEx>
        <w:trPr>
          <w:trHeight w:val="300" w:hRule="atLeast"/>
        </w:trPr>
        <w:tc>
          <w:tcPr>
            <w:tcW w:w="84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CF8A7E1">
            <w:pPr>
              <w:widowControl/>
              <w:ind w:firstLine="0" w:firstLineChars="0"/>
              <w:jc w:val="center"/>
              <w:textAlignment w:val="center"/>
              <w:rPr>
                <w:color w:val="000000"/>
                <w:kern w:val="0"/>
                <w:highlight w:val="none"/>
                <w:lang w:bidi="ar"/>
              </w:rPr>
            </w:pPr>
            <w:r>
              <w:rPr>
                <w:rFonts w:hint="eastAsia"/>
                <w:color w:val="000000"/>
                <w:kern w:val="0"/>
                <w:highlight w:val="none"/>
                <w:lang w:bidi="ar"/>
              </w:rPr>
              <w:t>5.4</w:t>
            </w:r>
          </w:p>
        </w:tc>
        <w:tc>
          <w:tcPr>
            <w:tcW w:w="5410" w:type="dxa"/>
            <w:tcBorders>
              <w:top w:val="single" w:color="auto" w:sz="4" w:space="0"/>
              <w:left w:val="single" w:color="auto" w:sz="4" w:space="0"/>
              <w:bottom w:val="single" w:color="auto" w:sz="4" w:space="0"/>
              <w:right w:val="single" w:color="auto" w:sz="4" w:space="0"/>
            </w:tcBorders>
            <w:shd w:val="clear" w:color="auto" w:fill="auto"/>
            <w:vAlign w:val="center"/>
          </w:tcPr>
          <w:p w14:paraId="3A4D0EA6">
            <w:pPr>
              <w:widowControl/>
              <w:ind w:firstLine="0" w:firstLineChars="0"/>
              <w:jc w:val="center"/>
              <w:textAlignment w:val="center"/>
              <w:rPr>
                <w:color w:val="000000"/>
                <w:kern w:val="0"/>
                <w:highlight w:val="none"/>
                <w:lang w:bidi="ar"/>
              </w:rPr>
            </w:pPr>
            <w:r>
              <w:rPr>
                <w:rFonts w:hint="eastAsia"/>
                <w:color w:val="000000"/>
                <w:kern w:val="0"/>
                <w:highlight w:val="none"/>
                <w:lang w:bidi="ar"/>
              </w:rPr>
              <w:t>源代码安全审查</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3937BAB7">
            <w:pPr>
              <w:widowControl/>
              <w:ind w:firstLine="0" w:firstLineChars="0"/>
              <w:jc w:val="center"/>
              <w:textAlignment w:val="center"/>
              <w:rPr>
                <w:color w:val="000000"/>
                <w:kern w:val="0"/>
                <w:highlight w:val="none"/>
                <w:lang w:bidi="ar"/>
              </w:rPr>
            </w:pPr>
            <w:r>
              <w:rPr>
                <w:rFonts w:hint="eastAsia"/>
                <w:color w:val="000000"/>
                <w:kern w:val="0"/>
                <w:highlight w:val="none"/>
                <w:lang w:bidi="ar"/>
              </w:rPr>
              <w:t>项</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2A02D21A">
            <w:pPr>
              <w:widowControl/>
              <w:ind w:firstLine="0" w:firstLineChars="0"/>
              <w:jc w:val="center"/>
              <w:textAlignment w:val="center"/>
              <w:rPr>
                <w:color w:val="000000"/>
                <w:kern w:val="0"/>
                <w:highlight w:val="none"/>
                <w:lang w:bidi="ar"/>
              </w:rPr>
            </w:pPr>
            <w:r>
              <w:rPr>
                <w:rFonts w:hint="eastAsia"/>
                <w:color w:val="000000"/>
                <w:kern w:val="0"/>
                <w:highlight w:val="none"/>
                <w:lang w:bidi="ar"/>
              </w:rPr>
              <w:t>1</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4942FE32">
            <w:pPr>
              <w:widowControl/>
              <w:ind w:firstLine="0" w:firstLineChars="0"/>
              <w:jc w:val="center"/>
              <w:textAlignment w:val="center"/>
              <w:rPr>
                <w:color w:val="000000"/>
                <w:kern w:val="0"/>
                <w:highlight w:val="none"/>
                <w:lang w:bidi="ar"/>
              </w:rPr>
            </w:pPr>
          </w:p>
        </w:tc>
      </w:tr>
      <w:tr w14:paraId="7CBD7EC5">
        <w:tblPrEx>
          <w:tblCellMar>
            <w:top w:w="0" w:type="dxa"/>
            <w:left w:w="108" w:type="dxa"/>
            <w:bottom w:w="0" w:type="dxa"/>
            <w:right w:w="108" w:type="dxa"/>
          </w:tblCellMar>
        </w:tblPrEx>
        <w:trPr>
          <w:trHeight w:val="300" w:hRule="atLeast"/>
        </w:trPr>
        <w:tc>
          <w:tcPr>
            <w:tcW w:w="84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313845F">
            <w:pPr>
              <w:widowControl/>
              <w:ind w:firstLine="0" w:firstLineChars="0"/>
              <w:jc w:val="center"/>
              <w:textAlignment w:val="center"/>
              <w:rPr>
                <w:color w:val="000000"/>
                <w:kern w:val="0"/>
                <w:highlight w:val="none"/>
                <w:lang w:bidi="ar"/>
              </w:rPr>
            </w:pPr>
            <w:r>
              <w:rPr>
                <w:rFonts w:hint="eastAsia"/>
                <w:color w:val="000000"/>
                <w:kern w:val="0"/>
                <w:highlight w:val="none"/>
                <w:lang w:bidi="ar"/>
              </w:rPr>
              <w:t>5.5</w:t>
            </w:r>
          </w:p>
        </w:tc>
        <w:tc>
          <w:tcPr>
            <w:tcW w:w="5410" w:type="dxa"/>
            <w:tcBorders>
              <w:top w:val="single" w:color="auto" w:sz="4" w:space="0"/>
              <w:left w:val="single" w:color="auto" w:sz="4" w:space="0"/>
              <w:bottom w:val="single" w:color="auto" w:sz="4" w:space="0"/>
              <w:right w:val="single" w:color="auto" w:sz="4" w:space="0"/>
            </w:tcBorders>
            <w:shd w:val="clear" w:color="auto" w:fill="auto"/>
            <w:vAlign w:val="center"/>
          </w:tcPr>
          <w:p w14:paraId="4ECA1404">
            <w:pPr>
              <w:widowControl/>
              <w:ind w:firstLine="0" w:firstLineChars="0"/>
              <w:jc w:val="center"/>
              <w:textAlignment w:val="center"/>
              <w:rPr>
                <w:color w:val="000000"/>
                <w:kern w:val="0"/>
                <w:highlight w:val="none"/>
                <w:lang w:bidi="ar"/>
              </w:rPr>
            </w:pPr>
            <w:r>
              <w:rPr>
                <w:rFonts w:hint="eastAsia"/>
                <w:color w:val="000000"/>
                <w:kern w:val="0"/>
                <w:highlight w:val="none"/>
                <w:lang w:bidi="ar"/>
              </w:rPr>
              <w:t>商用密码安全性评估费</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396EBFAF">
            <w:pPr>
              <w:widowControl/>
              <w:ind w:firstLine="0" w:firstLineChars="0"/>
              <w:jc w:val="center"/>
              <w:textAlignment w:val="center"/>
              <w:rPr>
                <w:color w:val="000000"/>
                <w:kern w:val="0"/>
                <w:highlight w:val="none"/>
                <w:lang w:bidi="ar"/>
              </w:rPr>
            </w:pPr>
            <w:r>
              <w:rPr>
                <w:rFonts w:hint="eastAsia"/>
                <w:color w:val="000000"/>
                <w:kern w:val="0"/>
                <w:highlight w:val="none"/>
                <w:lang w:bidi="ar"/>
              </w:rPr>
              <w:t>项</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68BC7B6E">
            <w:pPr>
              <w:widowControl/>
              <w:ind w:firstLine="0" w:firstLineChars="0"/>
              <w:jc w:val="center"/>
              <w:textAlignment w:val="center"/>
              <w:rPr>
                <w:color w:val="000000"/>
                <w:kern w:val="0"/>
                <w:highlight w:val="none"/>
                <w:lang w:bidi="ar"/>
              </w:rPr>
            </w:pPr>
            <w:r>
              <w:rPr>
                <w:rFonts w:hint="eastAsia"/>
                <w:color w:val="000000"/>
                <w:kern w:val="0"/>
                <w:highlight w:val="none"/>
                <w:lang w:bidi="ar"/>
              </w:rPr>
              <w:t>1</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21D82984">
            <w:pPr>
              <w:widowControl/>
              <w:ind w:firstLine="0" w:firstLineChars="0"/>
              <w:jc w:val="center"/>
              <w:textAlignment w:val="center"/>
              <w:rPr>
                <w:color w:val="000000"/>
                <w:kern w:val="0"/>
                <w:highlight w:val="none"/>
                <w:lang w:bidi="ar"/>
              </w:rPr>
            </w:pPr>
          </w:p>
        </w:tc>
      </w:tr>
      <w:tr w14:paraId="3845A8EA">
        <w:tblPrEx>
          <w:tblCellMar>
            <w:top w:w="0" w:type="dxa"/>
            <w:left w:w="108" w:type="dxa"/>
            <w:bottom w:w="0" w:type="dxa"/>
            <w:right w:w="108" w:type="dxa"/>
          </w:tblCellMar>
        </w:tblPrEx>
        <w:trPr>
          <w:trHeight w:val="300" w:hRule="atLeast"/>
        </w:trPr>
        <w:tc>
          <w:tcPr>
            <w:tcW w:w="84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CB55942">
            <w:pPr>
              <w:widowControl/>
              <w:ind w:firstLine="0" w:firstLineChars="0"/>
              <w:jc w:val="center"/>
              <w:textAlignment w:val="center"/>
              <w:rPr>
                <w:color w:val="000000"/>
                <w:kern w:val="0"/>
                <w:highlight w:val="none"/>
                <w:lang w:bidi="ar"/>
              </w:rPr>
            </w:pPr>
            <w:r>
              <w:rPr>
                <w:rFonts w:hint="eastAsia"/>
                <w:color w:val="000000"/>
                <w:kern w:val="0"/>
                <w:highlight w:val="none"/>
                <w:lang w:bidi="ar"/>
              </w:rPr>
              <w:t>6</w:t>
            </w:r>
          </w:p>
        </w:tc>
        <w:tc>
          <w:tcPr>
            <w:tcW w:w="5410" w:type="dxa"/>
            <w:tcBorders>
              <w:top w:val="single" w:color="auto" w:sz="4" w:space="0"/>
              <w:left w:val="single" w:color="auto" w:sz="4" w:space="0"/>
              <w:bottom w:val="single" w:color="auto" w:sz="4" w:space="0"/>
              <w:right w:val="single" w:color="auto" w:sz="4" w:space="0"/>
            </w:tcBorders>
            <w:shd w:val="clear" w:color="auto" w:fill="auto"/>
            <w:vAlign w:val="center"/>
          </w:tcPr>
          <w:p w14:paraId="242DFF09">
            <w:pPr>
              <w:widowControl/>
              <w:ind w:firstLine="0" w:firstLineChars="0"/>
              <w:jc w:val="center"/>
              <w:textAlignment w:val="center"/>
              <w:rPr>
                <w:color w:val="000000"/>
                <w:kern w:val="0"/>
                <w:highlight w:val="none"/>
                <w:lang w:bidi="ar"/>
              </w:rPr>
            </w:pPr>
            <w:r>
              <w:rPr>
                <w:rFonts w:hint="eastAsia"/>
                <w:b/>
                <w:bCs/>
                <w:color w:val="000000"/>
                <w:kern w:val="0"/>
                <w:highlight w:val="none"/>
                <w:lang w:bidi="ar"/>
              </w:rPr>
              <w:t>项目实施</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139DCFBE">
            <w:pPr>
              <w:widowControl/>
              <w:ind w:firstLine="0" w:firstLineChars="0"/>
              <w:jc w:val="center"/>
              <w:textAlignment w:val="center"/>
              <w:rPr>
                <w:color w:val="000000"/>
                <w:kern w:val="0"/>
                <w:highlight w:val="none"/>
                <w:lang w:bidi="ar"/>
              </w:rPr>
            </w:pP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28376CD7">
            <w:pPr>
              <w:widowControl/>
              <w:ind w:firstLine="0" w:firstLineChars="0"/>
              <w:jc w:val="center"/>
              <w:textAlignment w:val="center"/>
              <w:rPr>
                <w:color w:val="000000"/>
                <w:kern w:val="0"/>
                <w:highlight w:val="none"/>
                <w:lang w:bidi="ar"/>
              </w:rPr>
            </w:pP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71572C26">
            <w:pPr>
              <w:widowControl/>
              <w:ind w:firstLine="0" w:firstLineChars="0"/>
              <w:jc w:val="center"/>
              <w:textAlignment w:val="center"/>
              <w:rPr>
                <w:color w:val="000000"/>
                <w:kern w:val="0"/>
                <w:highlight w:val="none"/>
                <w:lang w:bidi="ar"/>
              </w:rPr>
            </w:pPr>
          </w:p>
        </w:tc>
      </w:tr>
      <w:tr w14:paraId="5DEFDED8">
        <w:tblPrEx>
          <w:tblCellMar>
            <w:top w:w="0" w:type="dxa"/>
            <w:left w:w="108" w:type="dxa"/>
            <w:bottom w:w="0" w:type="dxa"/>
            <w:right w:w="108" w:type="dxa"/>
          </w:tblCellMar>
        </w:tblPrEx>
        <w:trPr>
          <w:trHeight w:val="300" w:hRule="atLeast"/>
        </w:trPr>
        <w:tc>
          <w:tcPr>
            <w:tcW w:w="84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36DDD44">
            <w:pPr>
              <w:widowControl/>
              <w:ind w:firstLine="0" w:firstLineChars="0"/>
              <w:jc w:val="center"/>
              <w:textAlignment w:val="center"/>
              <w:rPr>
                <w:color w:val="000000"/>
                <w:kern w:val="0"/>
                <w:highlight w:val="none"/>
                <w:lang w:bidi="ar"/>
              </w:rPr>
            </w:pPr>
            <w:r>
              <w:rPr>
                <w:rFonts w:hint="eastAsia"/>
                <w:color w:val="000000"/>
                <w:kern w:val="0"/>
                <w:highlight w:val="none"/>
                <w:lang w:bidi="ar"/>
              </w:rPr>
              <w:t>6.1</w:t>
            </w:r>
          </w:p>
        </w:tc>
        <w:tc>
          <w:tcPr>
            <w:tcW w:w="5410" w:type="dxa"/>
            <w:tcBorders>
              <w:top w:val="single" w:color="auto" w:sz="4" w:space="0"/>
              <w:left w:val="single" w:color="auto" w:sz="4" w:space="0"/>
              <w:bottom w:val="single" w:color="auto" w:sz="4" w:space="0"/>
              <w:right w:val="single" w:color="auto" w:sz="4" w:space="0"/>
            </w:tcBorders>
            <w:shd w:val="clear" w:color="auto" w:fill="auto"/>
            <w:vAlign w:val="center"/>
          </w:tcPr>
          <w:p w14:paraId="08CE65C1">
            <w:pPr>
              <w:widowControl/>
              <w:ind w:firstLine="0" w:firstLineChars="0"/>
              <w:jc w:val="center"/>
              <w:textAlignment w:val="center"/>
              <w:rPr>
                <w:color w:val="000000"/>
                <w:kern w:val="0"/>
                <w:highlight w:val="none"/>
                <w:lang w:bidi="ar"/>
              </w:rPr>
            </w:pPr>
            <w:r>
              <w:rPr>
                <w:rFonts w:hint="eastAsia"/>
                <w:color w:val="000000"/>
                <w:kern w:val="0"/>
                <w:highlight w:val="none"/>
                <w:lang w:bidi="ar"/>
              </w:rPr>
              <w:t>项目管理工作</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71224DBD">
            <w:pPr>
              <w:widowControl/>
              <w:ind w:firstLine="0" w:firstLineChars="0"/>
              <w:jc w:val="center"/>
              <w:textAlignment w:val="center"/>
              <w:rPr>
                <w:color w:val="000000"/>
                <w:kern w:val="0"/>
                <w:highlight w:val="none"/>
                <w:lang w:bidi="ar"/>
              </w:rPr>
            </w:pPr>
            <w:r>
              <w:rPr>
                <w:rFonts w:hint="eastAsia"/>
                <w:color w:val="000000"/>
                <w:kern w:val="0"/>
                <w:highlight w:val="none"/>
                <w:lang w:bidi="ar"/>
              </w:rPr>
              <w:t>项</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4C0D4771">
            <w:pPr>
              <w:widowControl/>
              <w:ind w:firstLine="0" w:firstLineChars="0"/>
              <w:jc w:val="center"/>
              <w:textAlignment w:val="center"/>
              <w:rPr>
                <w:color w:val="000000"/>
                <w:kern w:val="0"/>
                <w:highlight w:val="none"/>
                <w:lang w:bidi="ar"/>
              </w:rPr>
            </w:pPr>
            <w:r>
              <w:rPr>
                <w:rFonts w:hint="eastAsia"/>
                <w:color w:val="000000"/>
                <w:kern w:val="0"/>
                <w:highlight w:val="none"/>
                <w:lang w:bidi="ar"/>
              </w:rPr>
              <w:t>1</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347A9697">
            <w:pPr>
              <w:widowControl/>
              <w:ind w:firstLine="0" w:firstLineChars="0"/>
              <w:jc w:val="center"/>
              <w:textAlignment w:val="center"/>
              <w:rPr>
                <w:color w:val="000000"/>
                <w:kern w:val="0"/>
                <w:highlight w:val="none"/>
                <w:lang w:bidi="ar"/>
              </w:rPr>
            </w:pPr>
          </w:p>
        </w:tc>
      </w:tr>
      <w:tr w14:paraId="7FD5FC56">
        <w:tblPrEx>
          <w:tblCellMar>
            <w:top w:w="0" w:type="dxa"/>
            <w:left w:w="108" w:type="dxa"/>
            <w:bottom w:w="0" w:type="dxa"/>
            <w:right w:w="108" w:type="dxa"/>
          </w:tblCellMar>
        </w:tblPrEx>
        <w:trPr>
          <w:trHeight w:val="300" w:hRule="atLeast"/>
        </w:trPr>
        <w:tc>
          <w:tcPr>
            <w:tcW w:w="84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644E2F4">
            <w:pPr>
              <w:widowControl/>
              <w:ind w:firstLine="0" w:firstLineChars="0"/>
              <w:jc w:val="center"/>
              <w:textAlignment w:val="center"/>
              <w:rPr>
                <w:color w:val="000000"/>
                <w:kern w:val="0"/>
                <w:highlight w:val="none"/>
                <w:lang w:bidi="ar"/>
              </w:rPr>
            </w:pPr>
            <w:r>
              <w:rPr>
                <w:rFonts w:hint="eastAsia"/>
                <w:color w:val="000000"/>
                <w:kern w:val="0"/>
                <w:highlight w:val="none"/>
                <w:lang w:bidi="ar"/>
              </w:rPr>
              <w:t>6.2</w:t>
            </w:r>
          </w:p>
        </w:tc>
        <w:tc>
          <w:tcPr>
            <w:tcW w:w="5410" w:type="dxa"/>
            <w:tcBorders>
              <w:top w:val="single" w:color="auto" w:sz="4" w:space="0"/>
              <w:left w:val="single" w:color="auto" w:sz="4" w:space="0"/>
              <w:bottom w:val="single" w:color="auto" w:sz="4" w:space="0"/>
              <w:right w:val="single" w:color="auto" w:sz="4" w:space="0"/>
            </w:tcBorders>
            <w:shd w:val="clear" w:color="auto" w:fill="auto"/>
            <w:vAlign w:val="center"/>
          </w:tcPr>
          <w:p w14:paraId="2BC3865B">
            <w:pPr>
              <w:widowControl/>
              <w:ind w:firstLine="0" w:firstLineChars="0"/>
              <w:jc w:val="center"/>
              <w:textAlignment w:val="center"/>
              <w:rPr>
                <w:color w:val="000000"/>
                <w:kern w:val="0"/>
                <w:highlight w:val="none"/>
                <w:lang w:bidi="ar"/>
              </w:rPr>
            </w:pPr>
            <w:r>
              <w:rPr>
                <w:rFonts w:hint="eastAsia"/>
                <w:color w:val="000000"/>
                <w:kern w:val="0"/>
                <w:highlight w:val="none"/>
                <w:lang w:bidi="ar"/>
              </w:rPr>
              <w:t>项目启动</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07061120">
            <w:pPr>
              <w:widowControl/>
              <w:ind w:firstLine="0" w:firstLineChars="0"/>
              <w:jc w:val="center"/>
              <w:textAlignment w:val="center"/>
              <w:rPr>
                <w:color w:val="000000"/>
                <w:kern w:val="0"/>
                <w:highlight w:val="none"/>
                <w:lang w:bidi="ar"/>
              </w:rPr>
            </w:pPr>
            <w:r>
              <w:rPr>
                <w:rFonts w:hint="eastAsia"/>
                <w:color w:val="000000"/>
                <w:kern w:val="0"/>
                <w:highlight w:val="none"/>
                <w:lang w:bidi="ar"/>
              </w:rPr>
              <w:t>项</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0ECBB7B8">
            <w:pPr>
              <w:widowControl/>
              <w:ind w:firstLine="0" w:firstLineChars="0"/>
              <w:jc w:val="center"/>
              <w:textAlignment w:val="center"/>
              <w:rPr>
                <w:color w:val="000000"/>
                <w:kern w:val="0"/>
                <w:highlight w:val="none"/>
                <w:lang w:bidi="ar"/>
              </w:rPr>
            </w:pPr>
            <w:r>
              <w:rPr>
                <w:rFonts w:hint="eastAsia"/>
                <w:color w:val="000000"/>
                <w:kern w:val="0"/>
                <w:highlight w:val="none"/>
                <w:lang w:bidi="ar"/>
              </w:rPr>
              <w:t>1</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3853BF13">
            <w:pPr>
              <w:widowControl/>
              <w:ind w:firstLine="0" w:firstLineChars="0"/>
              <w:jc w:val="center"/>
              <w:textAlignment w:val="center"/>
              <w:rPr>
                <w:color w:val="000000"/>
                <w:kern w:val="0"/>
                <w:highlight w:val="none"/>
                <w:lang w:bidi="ar"/>
              </w:rPr>
            </w:pPr>
          </w:p>
        </w:tc>
      </w:tr>
      <w:tr w14:paraId="5741EACF">
        <w:tblPrEx>
          <w:tblCellMar>
            <w:top w:w="0" w:type="dxa"/>
            <w:left w:w="108" w:type="dxa"/>
            <w:bottom w:w="0" w:type="dxa"/>
            <w:right w:w="108" w:type="dxa"/>
          </w:tblCellMar>
        </w:tblPrEx>
        <w:trPr>
          <w:trHeight w:val="300" w:hRule="atLeast"/>
        </w:trPr>
        <w:tc>
          <w:tcPr>
            <w:tcW w:w="84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F3E7789">
            <w:pPr>
              <w:widowControl/>
              <w:ind w:firstLine="0" w:firstLineChars="0"/>
              <w:jc w:val="center"/>
              <w:textAlignment w:val="center"/>
              <w:rPr>
                <w:color w:val="000000"/>
                <w:kern w:val="0"/>
                <w:highlight w:val="none"/>
                <w:lang w:bidi="ar"/>
              </w:rPr>
            </w:pPr>
            <w:r>
              <w:rPr>
                <w:rFonts w:hint="eastAsia"/>
                <w:color w:val="000000"/>
                <w:kern w:val="0"/>
                <w:highlight w:val="none"/>
                <w:lang w:bidi="ar"/>
              </w:rPr>
              <w:t>6.3</w:t>
            </w:r>
          </w:p>
        </w:tc>
        <w:tc>
          <w:tcPr>
            <w:tcW w:w="5410" w:type="dxa"/>
            <w:tcBorders>
              <w:top w:val="single" w:color="auto" w:sz="4" w:space="0"/>
              <w:left w:val="single" w:color="auto" w:sz="4" w:space="0"/>
              <w:bottom w:val="single" w:color="auto" w:sz="4" w:space="0"/>
              <w:right w:val="single" w:color="auto" w:sz="4" w:space="0"/>
            </w:tcBorders>
            <w:shd w:val="clear" w:color="auto" w:fill="auto"/>
            <w:vAlign w:val="center"/>
          </w:tcPr>
          <w:p w14:paraId="2A7CAC32">
            <w:pPr>
              <w:widowControl/>
              <w:ind w:firstLine="0" w:firstLineChars="0"/>
              <w:jc w:val="center"/>
              <w:textAlignment w:val="center"/>
              <w:rPr>
                <w:color w:val="000000"/>
                <w:kern w:val="0"/>
                <w:highlight w:val="none"/>
                <w:lang w:bidi="ar"/>
              </w:rPr>
            </w:pPr>
            <w:r>
              <w:rPr>
                <w:rFonts w:hint="eastAsia"/>
                <w:color w:val="000000"/>
                <w:kern w:val="0"/>
                <w:highlight w:val="none"/>
                <w:lang w:bidi="ar"/>
              </w:rPr>
              <w:t>系统环境准备</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0BE6C373">
            <w:pPr>
              <w:widowControl/>
              <w:ind w:firstLine="0" w:firstLineChars="0"/>
              <w:jc w:val="center"/>
              <w:textAlignment w:val="center"/>
              <w:rPr>
                <w:color w:val="000000"/>
                <w:kern w:val="0"/>
                <w:highlight w:val="none"/>
                <w:lang w:bidi="ar"/>
              </w:rPr>
            </w:pPr>
            <w:r>
              <w:rPr>
                <w:rFonts w:hint="eastAsia"/>
                <w:color w:val="000000"/>
                <w:kern w:val="0"/>
                <w:highlight w:val="none"/>
                <w:lang w:bidi="ar"/>
              </w:rPr>
              <w:t>项</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2EE4B89E">
            <w:pPr>
              <w:widowControl/>
              <w:ind w:firstLine="0" w:firstLineChars="0"/>
              <w:jc w:val="center"/>
              <w:textAlignment w:val="center"/>
              <w:rPr>
                <w:color w:val="000000"/>
                <w:kern w:val="0"/>
                <w:highlight w:val="none"/>
                <w:lang w:bidi="ar"/>
              </w:rPr>
            </w:pPr>
            <w:r>
              <w:rPr>
                <w:rFonts w:hint="eastAsia"/>
                <w:color w:val="000000"/>
                <w:kern w:val="0"/>
                <w:highlight w:val="none"/>
                <w:lang w:bidi="ar"/>
              </w:rPr>
              <w:t>1</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178B54D3">
            <w:pPr>
              <w:widowControl/>
              <w:ind w:firstLine="0" w:firstLineChars="0"/>
              <w:jc w:val="center"/>
              <w:textAlignment w:val="center"/>
              <w:rPr>
                <w:color w:val="000000"/>
                <w:kern w:val="0"/>
                <w:highlight w:val="none"/>
                <w:lang w:bidi="ar"/>
              </w:rPr>
            </w:pPr>
          </w:p>
        </w:tc>
      </w:tr>
      <w:tr w14:paraId="6CBFEC3F">
        <w:tblPrEx>
          <w:tblCellMar>
            <w:top w:w="0" w:type="dxa"/>
            <w:left w:w="108" w:type="dxa"/>
            <w:bottom w:w="0" w:type="dxa"/>
            <w:right w:w="108" w:type="dxa"/>
          </w:tblCellMar>
        </w:tblPrEx>
        <w:trPr>
          <w:trHeight w:val="300" w:hRule="atLeast"/>
        </w:trPr>
        <w:tc>
          <w:tcPr>
            <w:tcW w:w="84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6D9DDF8">
            <w:pPr>
              <w:widowControl/>
              <w:ind w:firstLine="0" w:firstLineChars="0"/>
              <w:jc w:val="center"/>
              <w:textAlignment w:val="center"/>
              <w:rPr>
                <w:color w:val="000000"/>
                <w:kern w:val="0"/>
                <w:highlight w:val="none"/>
                <w:lang w:bidi="ar"/>
              </w:rPr>
            </w:pPr>
            <w:r>
              <w:rPr>
                <w:rFonts w:hint="eastAsia"/>
                <w:color w:val="000000"/>
                <w:kern w:val="0"/>
                <w:highlight w:val="none"/>
                <w:lang w:bidi="ar"/>
              </w:rPr>
              <w:t>6.4</w:t>
            </w:r>
          </w:p>
        </w:tc>
        <w:tc>
          <w:tcPr>
            <w:tcW w:w="5410" w:type="dxa"/>
            <w:tcBorders>
              <w:top w:val="single" w:color="auto" w:sz="4" w:space="0"/>
              <w:left w:val="single" w:color="auto" w:sz="4" w:space="0"/>
              <w:bottom w:val="single" w:color="auto" w:sz="4" w:space="0"/>
              <w:right w:val="single" w:color="auto" w:sz="4" w:space="0"/>
            </w:tcBorders>
            <w:shd w:val="clear" w:color="auto" w:fill="auto"/>
            <w:vAlign w:val="center"/>
          </w:tcPr>
          <w:p w14:paraId="3F25339B">
            <w:pPr>
              <w:widowControl/>
              <w:ind w:firstLine="0" w:firstLineChars="0"/>
              <w:jc w:val="center"/>
              <w:textAlignment w:val="center"/>
              <w:rPr>
                <w:color w:val="000000"/>
                <w:kern w:val="0"/>
                <w:highlight w:val="none"/>
                <w:lang w:bidi="ar"/>
              </w:rPr>
            </w:pPr>
            <w:r>
              <w:rPr>
                <w:rFonts w:hint="eastAsia"/>
                <w:color w:val="000000"/>
                <w:kern w:val="0"/>
                <w:highlight w:val="none"/>
                <w:lang w:bidi="ar"/>
              </w:rPr>
              <w:t>系统初始化</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1139AA36">
            <w:pPr>
              <w:widowControl/>
              <w:ind w:firstLine="0" w:firstLineChars="0"/>
              <w:jc w:val="center"/>
              <w:textAlignment w:val="center"/>
              <w:rPr>
                <w:color w:val="000000"/>
                <w:kern w:val="0"/>
                <w:highlight w:val="none"/>
                <w:lang w:bidi="ar"/>
              </w:rPr>
            </w:pPr>
            <w:r>
              <w:rPr>
                <w:rFonts w:hint="eastAsia"/>
                <w:color w:val="000000"/>
                <w:kern w:val="0"/>
                <w:highlight w:val="none"/>
                <w:lang w:bidi="ar"/>
              </w:rPr>
              <w:t>项</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6C43987B">
            <w:pPr>
              <w:widowControl/>
              <w:ind w:firstLine="0" w:firstLineChars="0"/>
              <w:jc w:val="center"/>
              <w:textAlignment w:val="center"/>
              <w:rPr>
                <w:color w:val="000000"/>
                <w:kern w:val="0"/>
                <w:highlight w:val="none"/>
                <w:lang w:bidi="ar"/>
              </w:rPr>
            </w:pPr>
            <w:r>
              <w:rPr>
                <w:rFonts w:hint="eastAsia"/>
                <w:color w:val="000000"/>
                <w:kern w:val="0"/>
                <w:highlight w:val="none"/>
                <w:lang w:bidi="ar"/>
              </w:rPr>
              <w:t>1</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783D8FBB">
            <w:pPr>
              <w:widowControl/>
              <w:ind w:firstLine="0" w:firstLineChars="0"/>
              <w:jc w:val="center"/>
              <w:textAlignment w:val="center"/>
              <w:rPr>
                <w:color w:val="000000"/>
                <w:kern w:val="0"/>
                <w:highlight w:val="none"/>
                <w:lang w:bidi="ar"/>
              </w:rPr>
            </w:pPr>
          </w:p>
        </w:tc>
      </w:tr>
      <w:tr w14:paraId="11D0A028">
        <w:tblPrEx>
          <w:tblCellMar>
            <w:top w:w="0" w:type="dxa"/>
            <w:left w:w="108" w:type="dxa"/>
            <w:bottom w:w="0" w:type="dxa"/>
            <w:right w:w="108" w:type="dxa"/>
          </w:tblCellMar>
        </w:tblPrEx>
        <w:trPr>
          <w:trHeight w:val="300" w:hRule="atLeast"/>
        </w:trPr>
        <w:tc>
          <w:tcPr>
            <w:tcW w:w="84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9D71BB5">
            <w:pPr>
              <w:widowControl/>
              <w:ind w:firstLine="0" w:firstLineChars="0"/>
              <w:jc w:val="center"/>
              <w:textAlignment w:val="center"/>
              <w:rPr>
                <w:color w:val="000000"/>
                <w:kern w:val="0"/>
                <w:highlight w:val="none"/>
                <w:lang w:bidi="ar"/>
              </w:rPr>
            </w:pPr>
            <w:r>
              <w:rPr>
                <w:rFonts w:hint="eastAsia"/>
                <w:color w:val="000000"/>
                <w:kern w:val="0"/>
                <w:highlight w:val="none"/>
                <w:lang w:bidi="ar"/>
              </w:rPr>
              <w:t>6.5</w:t>
            </w:r>
          </w:p>
        </w:tc>
        <w:tc>
          <w:tcPr>
            <w:tcW w:w="5410" w:type="dxa"/>
            <w:tcBorders>
              <w:top w:val="single" w:color="auto" w:sz="4" w:space="0"/>
              <w:left w:val="single" w:color="auto" w:sz="4" w:space="0"/>
              <w:bottom w:val="single" w:color="auto" w:sz="4" w:space="0"/>
              <w:right w:val="single" w:color="auto" w:sz="4" w:space="0"/>
            </w:tcBorders>
            <w:shd w:val="clear" w:color="auto" w:fill="auto"/>
            <w:vAlign w:val="center"/>
          </w:tcPr>
          <w:p w14:paraId="6C4EBB1A">
            <w:pPr>
              <w:widowControl/>
              <w:ind w:firstLine="0" w:firstLineChars="0"/>
              <w:jc w:val="center"/>
              <w:textAlignment w:val="center"/>
              <w:rPr>
                <w:color w:val="000000"/>
                <w:kern w:val="0"/>
                <w:highlight w:val="none"/>
                <w:lang w:bidi="ar"/>
              </w:rPr>
            </w:pPr>
            <w:r>
              <w:rPr>
                <w:rFonts w:hint="eastAsia"/>
                <w:color w:val="000000"/>
                <w:kern w:val="0"/>
                <w:highlight w:val="none"/>
                <w:lang w:bidi="ar"/>
              </w:rPr>
              <w:t>系统集成调试</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236CD82C">
            <w:pPr>
              <w:widowControl/>
              <w:ind w:firstLine="0" w:firstLineChars="0"/>
              <w:jc w:val="center"/>
              <w:textAlignment w:val="center"/>
              <w:rPr>
                <w:color w:val="000000"/>
                <w:kern w:val="0"/>
                <w:highlight w:val="none"/>
                <w:lang w:bidi="ar"/>
              </w:rPr>
            </w:pPr>
            <w:r>
              <w:rPr>
                <w:rFonts w:hint="eastAsia"/>
                <w:color w:val="000000"/>
                <w:kern w:val="0"/>
                <w:highlight w:val="none"/>
                <w:lang w:bidi="ar"/>
              </w:rPr>
              <w:t>项</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21ADD00D">
            <w:pPr>
              <w:widowControl/>
              <w:ind w:firstLine="0" w:firstLineChars="0"/>
              <w:jc w:val="center"/>
              <w:textAlignment w:val="center"/>
              <w:rPr>
                <w:color w:val="000000"/>
                <w:kern w:val="0"/>
                <w:highlight w:val="none"/>
                <w:lang w:bidi="ar"/>
              </w:rPr>
            </w:pPr>
            <w:r>
              <w:rPr>
                <w:rFonts w:hint="eastAsia"/>
                <w:color w:val="000000"/>
                <w:kern w:val="0"/>
                <w:highlight w:val="none"/>
                <w:lang w:bidi="ar"/>
              </w:rPr>
              <w:t>1</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241341D0">
            <w:pPr>
              <w:widowControl/>
              <w:ind w:firstLine="0" w:firstLineChars="0"/>
              <w:jc w:val="center"/>
              <w:textAlignment w:val="center"/>
              <w:rPr>
                <w:color w:val="000000"/>
                <w:kern w:val="0"/>
                <w:highlight w:val="none"/>
                <w:lang w:bidi="ar"/>
              </w:rPr>
            </w:pPr>
          </w:p>
        </w:tc>
      </w:tr>
      <w:tr w14:paraId="743DEF9D">
        <w:tblPrEx>
          <w:tblCellMar>
            <w:top w:w="0" w:type="dxa"/>
            <w:left w:w="108" w:type="dxa"/>
            <w:bottom w:w="0" w:type="dxa"/>
            <w:right w:w="108" w:type="dxa"/>
          </w:tblCellMar>
        </w:tblPrEx>
        <w:trPr>
          <w:trHeight w:val="300" w:hRule="atLeast"/>
        </w:trPr>
        <w:tc>
          <w:tcPr>
            <w:tcW w:w="84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B9CDEF9">
            <w:pPr>
              <w:widowControl/>
              <w:ind w:firstLine="0" w:firstLineChars="0"/>
              <w:jc w:val="center"/>
              <w:textAlignment w:val="center"/>
              <w:rPr>
                <w:color w:val="000000"/>
                <w:kern w:val="0"/>
                <w:highlight w:val="none"/>
                <w:lang w:bidi="ar"/>
              </w:rPr>
            </w:pPr>
            <w:r>
              <w:rPr>
                <w:rFonts w:hint="eastAsia"/>
                <w:color w:val="000000"/>
                <w:kern w:val="0"/>
                <w:highlight w:val="none"/>
                <w:lang w:bidi="ar"/>
              </w:rPr>
              <w:t>6.6</w:t>
            </w:r>
          </w:p>
        </w:tc>
        <w:tc>
          <w:tcPr>
            <w:tcW w:w="5410" w:type="dxa"/>
            <w:tcBorders>
              <w:top w:val="single" w:color="auto" w:sz="4" w:space="0"/>
              <w:left w:val="single" w:color="auto" w:sz="4" w:space="0"/>
              <w:bottom w:val="single" w:color="auto" w:sz="4" w:space="0"/>
              <w:right w:val="single" w:color="auto" w:sz="4" w:space="0"/>
            </w:tcBorders>
            <w:shd w:val="clear" w:color="auto" w:fill="auto"/>
            <w:vAlign w:val="center"/>
          </w:tcPr>
          <w:p w14:paraId="1C22B207">
            <w:pPr>
              <w:widowControl/>
              <w:ind w:firstLine="0" w:firstLineChars="0"/>
              <w:jc w:val="center"/>
              <w:textAlignment w:val="center"/>
              <w:rPr>
                <w:color w:val="000000"/>
                <w:kern w:val="0"/>
                <w:highlight w:val="none"/>
                <w:lang w:bidi="ar"/>
              </w:rPr>
            </w:pPr>
            <w:r>
              <w:rPr>
                <w:rFonts w:hint="eastAsia"/>
                <w:color w:val="000000"/>
                <w:kern w:val="0"/>
                <w:highlight w:val="none"/>
                <w:lang w:bidi="ar"/>
              </w:rPr>
              <w:t>最终用户培训</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7A147987">
            <w:pPr>
              <w:widowControl/>
              <w:ind w:firstLine="0" w:firstLineChars="0"/>
              <w:jc w:val="center"/>
              <w:textAlignment w:val="center"/>
              <w:rPr>
                <w:color w:val="000000"/>
                <w:kern w:val="0"/>
                <w:highlight w:val="none"/>
                <w:lang w:bidi="ar"/>
              </w:rPr>
            </w:pPr>
            <w:r>
              <w:rPr>
                <w:rFonts w:hint="eastAsia"/>
                <w:color w:val="000000"/>
                <w:kern w:val="0"/>
                <w:highlight w:val="none"/>
                <w:lang w:bidi="ar"/>
              </w:rPr>
              <w:t>项</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7E8718B7">
            <w:pPr>
              <w:widowControl/>
              <w:ind w:firstLine="0" w:firstLineChars="0"/>
              <w:jc w:val="center"/>
              <w:textAlignment w:val="center"/>
              <w:rPr>
                <w:color w:val="000000"/>
                <w:kern w:val="0"/>
                <w:highlight w:val="none"/>
                <w:lang w:bidi="ar"/>
              </w:rPr>
            </w:pPr>
            <w:r>
              <w:rPr>
                <w:rFonts w:hint="eastAsia"/>
                <w:color w:val="000000"/>
                <w:kern w:val="0"/>
                <w:highlight w:val="none"/>
                <w:lang w:bidi="ar"/>
              </w:rPr>
              <w:t>1</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1FCC1B3E">
            <w:pPr>
              <w:widowControl/>
              <w:ind w:firstLine="0" w:firstLineChars="0"/>
              <w:jc w:val="center"/>
              <w:textAlignment w:val="center"/>
              <w:rPr>
                <w:color w:val="000000"/>
                <w:kern w:val="0"/>
                <w:highlight w:val="none"/>
                <w:lang w:bidi="ar"/>
              </w:rPr>
            </w:pPr>
          </w:p>
        </w:tc>
      </w:tr>
      <w:tr w14:paraId="5CDED49A">
        <w:tblPrEx>
          <w:tblCellMar>
            <w:top w:w="0" w:type="dxa"/>
            <w:left w:w="108" w:type="dxa"/>
            <w:bottom w:w="0" w:type="dxa"/>
            <w:right w:w="108" w:type="dxa"/>
          </w:tblCellMar>
        </w:tblPrEx>
        <w:trPr>
          <w:trHeight w:val="300" w:hRule="atLeast"/>
        </w:trPr>
        <w:tc>
          <w:tcPr>
            <w:tcW w:w="84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71E4EED">
            <w:pPr>
              <w:widowControl/>
              <w:ind w:firstLine="0" w:firstLineChars="0"/>
              <w:jc w:val="center"/>
              <w:textAlignment w:val="center"/>
              <w:rPr>
                <w:color w:val="000000"/>
                <w:kern w:val="0"/>
                <w:highlight w:val="none"/>
                <w:lang w:bidi="ar"/>
              </w:rPr>
            </w:pPr>
            <w:r>
              <w:rPr>
                <w:rFonts w:hint="eastAsia"/>
                <w:color w:val="000000"/>
                <w:kern w:val="0"/>
                <w:highlight w:val="none"/>
                <w:lang w:bidi="ar"/>
              </w:rPr>
              <w:t>6.7</w:t>
            </w:r>
          </w:p>
        </w:tc>
        <w:tc>
          <w:tcPr>
            <w:tcW w:w="5410" w:type="dxa"/>
            <w:tcBorders>
              <w:top w:val="single" w:color="auto" w:sz="4" w:space="0"/>
              <w:left w:val="single" w:color="auto" w:sz="4" w:space="0"/>
              <w:bottom w:val="single" w:color="auto" w:sz="4" w:space="0"/>
              <w:right w:val="single" w:color="auto" w:sz="4" w:space="0"/>
            </w:tcBorders>
            <w:shd w:val="clear" w:color="auto" w:fill="auto"/>
            <w:vAlign w:val="center"/>
          </w:tcPr>
          <w:p w14:paraId="30C69B5D">
            <w:pPr>
              <w:widowControl/>
              <w:ind w:firstLine="0" w:firstLineChars="0"/>
              <w:jc w:val="center"/>
              <w:textAlignment w:val="center"/>
              <w:rPr>
                <w:color w:val="000000"/>
                <w:kern w:val="0"/>
                <w:highlight w:val="none"/>
                <w:lang w:bidi="ar"/>
              </w:rPr>
            </w:pPr>
            <w:r>
              <w:rPr>
                <w:rFonts w:hint="eastAsia"/>
                <w:color w:val="000000"/>
                <w:kern w:val="0"/>
                <w:highlight w:val="none"/>
                <w:lang w:bidi="ar"/>
              </w:rPr>
              <w:t>系统上线切换</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4E42FA47">
            <w:pPr>
              <w:widowControl/>
              <w:ind w:firstLine="0" w:firstLineChars="0"/>
              <w:jc w:val="center"/>
              <w:textAlignment w:val="center"/>
              <w:rPr>
                <w:color w:val="000000"/>
                <w:kern w:val="0"/>
                <w:highlight w:val="none"/>
                <w:lang w:bidi="ar"/>
              </w:rPr>
            </w:pPr>
            <w:r>
              <w:rPr>
                <w:rFonts w:hint="eastAsia"/>
                <w:color w:val="000000"/>
                <w:kern w:val="0"/>
                <w:highlight w:val="none"/>
                <w:lang w:bidi="ar"/>
              </w:rPr>
              <w:t>项</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7A88582C">
            <w:pPr>
              <w:widowControl/>
              <w:ind w:firstLine="0" w:firstLineChars="0"/>
              <w:jc w:val="center"/>
              <w:textAlignment w:val="center"/>
              <w:rPr>
                <w:color w:val="000000"/>
                <w:kern w:val="0"/>
                <w:highlight w:val="none"/>
                <w:lang w:bidi="ar"/>
              </w:rPr>
            </w:pPr>
            <w:r>
              <w:rPr>
                <w:rFonts w:hint="eastAsia"/>
                <w:color w:val="000000"/>
                <w:kern w:val="0"/>
                <w:highlight w:val="none"/>
                <w:lang w:bidi="ar"/>
              </w:rPr>
              <w:t>1</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5BAB7CC7">
            <w:pPr>
              <w:widowControl/>
              <w:ind w:firstLine="0" w:firstLineChars="0"/>
              <w:jc w:val="center"/>
              <w:textAlignment w:val="center"/>
              <w:rPr>
                <w:color w:val="000000"/>
                <w:kern w:val="0"/>
                <w:highlight w:val="none"/>
                <w:lang w:bidi="ar"/>
              </w:rPr>
            </w:pPr>
          </w:p>
        </w:tc>
      </w:tr>
      <w:tr w14:paraId="2AF22E77">
        <w:tblPrEx>
          <w:tblCellMar>
            <w:top w:w="0" w:type="dxa"/>
            <w:left w:w="108" w:type="dxa"/>
            <w:bottom w:w="0" w:type="dxa"/>
            <w:right w:w="108" w:type="dxa"/>
          </w:tblCellMar>
        </w:tblPrEx>
        <w:trPr>
          <w:trHeight w:val="300" w:hRule="atLeast"/>
        </w:trPr>
        <w:tc>
          <w:tcPr>
            <w:tcW w:w="84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B8F10E1">
            <w:pPr>
              <w:widowControl/>
              <w:ind w:firstLine="0" w:firstLineChars="0"/>
              <w:jc w:val="center"/>
              <w:textAlignment w:val="center"/>
              <w:rPr>
                <w:color w:val="000000"/>
                <w:kern w:val="0"/>
                <w:highlight w:val="none"/>
                <w:lang w:bidi="ar"/>
              </w:rPr>
            </w:pPr>
            <w:r>
              <w:rPr>
                <w:rFonts w:hint="eastAsia"/>
                <w:color w:val="000000"/>
                <w:kern w:val="0"/>
                <w:highlight w:val="none"/>
                <w:lang w:bidi="ar"/>
              </w:rPr>
              <w:t>6.8</w:t>
            </w:r>
          </w:p>
        </w:tc>
        <w:tc>
          <w:tcPr>
            <w:tcW w:w="5410" w:type="dxa"/>
            <w:tcBorders>
              <w:top w:val="single" w:color="auto" w:sz="4" w:space="0"/>
              <w:left w:val="single" w:color="auto" w:sz="4" w:space="0"/>
              <w:bottom w:val="single" w:color="auto" w:sz="4" w:space="0"/>
              <w:right w:val="single" w:color="auto" w:sz="4" w:space="0"/>
            </w:tcBorders>
            <w:shd w:val="clear" w:color="auto" w:fill="auto"/>
            <w:vAlign w:val="center"/>
          </w:tcPr>
          <w:p w14:paraId="6A876805">
            <w:pPr>
              <w:widowControl/>
              <w:ind w:firstLine="0" w:firstLineChars="0"/>
              <w:jc w:val="center"/>
              <w:textAlignment w:val="center"/>
              <w:rPr>
                <w:color w:val="000000"/>
                <w:kern w:val="0"/>
                <w:highlight w:val="none"/>
                <w:lang w:bidi="ar"/>
              </w:rPr>
            </w:pPr>
            <w:r>
              <w:rPr>
                <w:rFonts w:hint="eastAsia"/>
                <w:color w:val="000000"/>
                <w:kern w:val="0"/>
                <w:highlight w:val="none"/>
                <w:lang w:bidi="ar"/>
              </w:rPr>
              <w:t>运行持续支持(试运行)</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67AE7163">
            <w:pPr>
              <w:widowControl/>
              <w:ind w:firstLine="0" w:firstLineChars="0"/>
              <w:jc w:val="center"/>
              <w:textAlignment w:val="center"/>
              <w:rPr>
                <w:color w:val="000000"/>
                <w:kern w:val="0"/>
                <w:highlight w:val="none"/>
                <w:lang w:bidi="ar"/>
              </w:rPr>
            </w:pPr>
            <w:r>
              <w:rPr>
                <w:rFonts w:hint="eastAsia"/>
                <w:color w:val="000000"/>
                <w:kern w:val="0"/>
                <w:highlight w:val="none"/>
                <w:lang w:bidi="ar"/>
              </w:rPr>
              <w:t>项</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2A40E08C">
            <w:pPr>
              <w:widowControl/>
              <w:ind w:firstLine="0" w:firstLineChars="0"/>
              <w:jc w:val="center"/>
              <w:textAlignment w:val="center"/>
              <w:rPr>
                <w:color w:val="000000"/>
                <w:kern w:val="0"/>
                <w:highlight w:val="none"/>
                <w:lang w:bidi="ar"/>
              </w:rPr>
            </w:pPr>
            <w:r>
              <w:rPr>
                <w:rFonts w:hint="eastAsia"/>
                <w:color w:val="000000"/>
                <w:kern w:val="0"/>
                <w:highlight w:val="none"/>
                <w:lang w:bidi="ar"/>
              </w:rPr>
              <w:t>1</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15F31ED2">
            <w:pPr>
              <w:widowControl/>
              <w:ind w:firstLine="0" w:firstLineChars="0"/>
              <w:jc w:val="center"/>
              <w:textAlignment w:val="center"/>
              <w:rPr>
                <w:color w:val="000000"/>
                <w:kern w:val="0"/>
                <w:highlight w:val="none"/>
                <w:lang w:bidi="ar"/>
              </w:rPr>
            </w:pPr>
          </w:p>
        </w:tc>
      </w:tr>
    </w:tbl>
    <w:p w14:paraId="27ED4C58">
      <w:pPr>
        <w:rPr>
          <w:highlight w:val="none"/>
        </w:rPr>
      </w:pPr>
    </w:p>
    <w:bookmarkEnd w:id="7"/>
    <w:p w14:paraId="55969FE3">
      <w:pPr>
        <w:pStyle w:val="2"/>
        <w:rPr>
          <w:szCs w:val="24"/>
          <w:highlight w:val="none"/>
        </w:rPr>
      </w:pPr>
      <w:bookmarkStart w:id="29" w:name="_Toc12329"/>
      <w:bookmarkStart w:id="30" w:name="_Toc13478"/>
      <w:r>
        <w:rPr>
          <w:rFonts w:hint="eastAsia"/>
          <w:highlight w:val="none"/>
        </w:rPr>
        <w:t>项目总体建设内容及要求</w:t>
      </w:r>
      <w:bookmarkEnd w:id="29"/>
      <w:bookmarkEnd w:id="30"/>
    </w:p>
    <w:p w14:paraId="0E80B217">
      <w:pPr>
        <w:pStyle w:val="3"/>
        <w:rPr>
          <w:highlight w:val="none"/>
        </w:rPr>
      </w:pPr>
      <w:bookmarkStart w:id="31" w:name="_Toc7402"/>
      <w:bookmarkStart w:id="32" w:name="_Toc14782"/>
      <w:bookmarkStart w:id="33" w:name="_Toc25953"/>
      <w:bookmarkStart w:id="34" w:name="_Toc26749"/>
      <w:bookmarkStart w:id="35" w:name="_Toc3957"/>
      <w:bookmarkStart w:id="36" w:name="_Toc30138"/>
      <w:bookmarkStart w:id="37" w:name="_Toc32660"/>
      <w:bookmarkStart w:id="38" w:name="_Toc14975"/>
      <w:bookmarkStart w:id="39" w:name="_Toc29535"/>
      <w:bookmarkStart w:id="40" w:name="_Toc12775"/>
      <w:bookmarkStart w:id="41" w:name="_Toc26585"/>
      <w:bookmarkStart w:id="42" w:name="_Toc25352"/>
      <w:bookmarkStart w:id="43" w:name="_Toc30171"/>
      <w:bookmarkStart w:id="44" w:name="_Toc180058916"/>
      <w:bookmarkStart w:id="45" w:name="_Toc16581"/>
      <w:bookmarkStart w:id="46" w:name="_Toc31154"/>
      <w:bookmarkStart w:id="47" w:name="_Toc31089"/>
      <w:bookmarkStart w:id="48" w:name="_Toc822"/>
      <w:bookmarkStart w:id="49" w:name="_Toc21445"/>
      <w:r>
        <w:rPr>
          <w:highlight w:val="none"/>
        </w:rPr>
        <w:t>总体架构</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7A3CE209">
      <w:pPr>
        <w:jc w:val="left"/>
        <w:rPr>
          <w:highlight w:val="none"/>
        </w:rPr>
      </w:pPr>
      <w:r>
        <w:rPr>
          <w:highlight w:val="none"/>
        </w:rPr>
        <w:t>本项目总体架构如下，分别由硬件层、基础层、能力层、场景层及应用入口组成，其中硬件层由GPU、CPU、RAM、HDD、Network等硬件共同组成，为项目提供坚实的硬件资源基础；基础层由Deepseek开源模型与智能体应用</w:t>
      </w:r>
      <w:r>
        <w:rPr>
          <w:rFonts w:hint="eastAsia"/>
          <w:highlight w:val="none"/>
        </w:rPr>
        <w:t>开发</w:t>
      </w:r>
      <w:r>
        <w:rPr>
          <w:highlight w:val="none"/>
        </w:rPr>
        <w:t>平台组成，其中平台包含计量语料管理模块、Agent管理模块</w:t>
      </w:r>
      <w:r>
        <w:rPr>
          <w:rFonts w:hint="eastAsia"/>
          <w:highlight w:val="none"/>
        </w:rPr>
        <w:t>及</w:t>
      </w:r>
      <w:r>
        <w:rPr>
          <w:highlight w:val="none"/>
        </w:rPr>
        <w:t>自动化流程管理模块；能力层由意图识别、语义检索、NL2NL、NL2SQL、NL2API等</w:t>
      </w:r>
      <w:r>
        <w:rPr>
          <w:rFonts w:hint="eastAsia"/>
          <w:highlight w:val="none"/>
        </w:rPr>
        <w:t>公共能力</w:t>
      </w:r>
      <w:r>
        <w:rPr>
          <w:highlight w:val="none"/>
        </w:rPr>
        <w:t>组成，为场景层提供</w:t>
      </w:r>
      <w:r>
        <w:rPr>
          <w:rFonts w:hint="eastAsia"/>
          <w:highlight w:val="none"/>
        </w:rPr>
        <w:t>大模型</w:t>
      </w:r>
      <w:r>
        <w:rPr>
          <w:highlight w:val="none"/>
        </w:rPr>
        <w:t>能力基础；场景层包含低压远程复电智能体、指标监测智能体、停电研判智能体、采集链路监控智能体</w:t>
      </w:r>
      <w:r>
        <w:rPr>
          <w:rFonts w:hint="eastAsia"/>
          <w:highlight w:val="none"/>
        </w:rPr>
        <w:t>、计量装置差错识别智能体、交易结算前置信息校核智能体</w:t>
      </w:r>
      <w:r>
        <w:rPr>
          <w:highlight w:val="none"/>
        </w:rPr>
        <w:t>等；应用入口为统一问答入口。</w:t>
      </w:r>
    </w:p>
    <w:p w14:paraId="0CB870A1">
      <w:pPr>
        <w:rPr>
          <w:highlight w:val="none"/>
          <w:lang w:bidi="ar"/>
        </w:rPr>
      </w:pPr>
      <w:r>
        <w:rPr>
          <w:rFonts w:hint="eastAsia"/>
          <w:highlight w:val="none"/>
          <w:lang w:bidi="ar"/>
        </w:rPr>
        <w:t>本项目总体架构图如下所示。</w:t>
      </w:r>
    </w:p>
    <w:p w14:paraId="1AC57F9F">
      <w:pPr>
        <w:rPr>
          <w:highlight w:val="none"/>
          <w:lang w:bidi="ar"/>
        </w:rPr>
      </w:pPr>
    </w:p>
    <w:p w14:paraId="25BDB3E8">
      <w:pPr>
        <w:ind w:firstLine="0" w:firstLineChars="0"/>
        <w:rPr>
          <w:highlight w:val="none"/>
        </w:rPr>
      </w:pPr>
      <w:r>
        <w:rPr>
          <w:highlight w:val="none"/>
        </w:rPr>
        <w:drawing>
          <wp:inline distT="0" distB="0" distL="114300" distR="114300">
            <wp:extent cx="5749290" cy="2715895"/>
            <wp:effectExtent l="0" t="0" r="5080" b="4445"/>
            <wp:docPr id="11" name="图片 1" descr="图形用户界面&#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descr="图形用户界面&#10;&#10;AI 生成的内容可能不正确。"/>
                    <pic:cNvPicPr>
                      <a:picLocks noChangeAspect="1"/>
                    </pic:cNvPicPr>
                  </pic:nvPicPr>
                  <pic:blipFill>
                    <a:blip r:embed="rId12"/>
                    <a:stretch>
                      <a:fillRect/>
                    </a:stretch>
                  </pic:blipFill>
                  <pic:spPr>
                    <a:xfrm>
                      <a:off x="0" y="0"/>
                      <a:ext cx="5749290" cy="2715895"/>
                    </a:xfrm>
                    <a:prstGeom prst="rect">
                      <a:avLst/>
                    </a:prstGeom>
                    <a:noFill/>
                    <a:ln>
                      <a:noFill/>
                    </a:ln>
                  </pic:spPr>
                </pic:pic>
              </a:graphicData>
            </a:graphic>
          </wp:inline>
        </w:drawing>
      </w:r>
    </w:p>
    <w:p w14:paraId="79AB8725">
      <w:pPr>
        <w:ind w:firstLine="3360" w:firstLineChars="1400"/>
        <w:rPr>
          <w:highlight w:val="none"/>
        </w:rPr>
      </w:pPr>
      <w:r>
        <w:rPr>
          <w:highlight w:val="none"/>
        </w:rPr>
        <w:t xml:space="preserve">图 </w:t>
      </w:r>
      <w:r>
        <w:rPr>
          <w:highlight w:val="none"/>
        </w:rPr>
        <w:fldChar w:fldCharType="begin"/>
      </w:r>
      <w:r>
        <w:rPr>
          <w:highlight w:val="none"/>
        </w:rPr>
        <w:instrText xml:space="preserve"> STYLEREF 1 \s </w:instrText>
      </w:r>
      <w:r>
        <w:rPr>
          <w:highlight w:val="none"/>
        </w:rPr>
        <w:fldChar w:fldCharType="separate"/>
      </w:r>
      <w:r>
        <w:rPr>
          <w:highlight w:val="none"/>
        </w:rPr>
        <w:t>5</w:t>
      </w:r>
      <w:r>
        <w:rPr>
          <w:highlight w:val="none"/>
        </w:rPr>
        <w:fldChar w:fldCharType="end"/>
      </w:r>
      <w:r>
        <w:rPr>
          <w:highlight w:val="none"/>
        </w:rPr>
        <w:t>-</w:t>
      </w:r>
      <w:r>
        <w:rPr>
          <w:highlight w:val="none"/>
        </w:rPr>
        <w:fldChar w:fldCharType="begin"/>
      </w:r>
      <w:r>
        <w:rPr>
          <w:highlight w:val="none"/>
        </w:rPr>
        <w:instrText xml:space="preserve"> SEQ 图 \* ARABIC \s 1 </w:instrText>
      </w:r>
      <w:r>
        <w:rPr>
          <w:highlight w:val="none"/>
        </w:rPr>
        <w:fldChar w:fldCharType="separate"/>
      </w:r>
      <w:r>
        <w:rPr>
          <w:highlight w:val="none"/>
        </w:rPr>
        <w:t>1</w:t>
      </w:r>
      <w:r>
        <w:rPr>
          <w:highlight w:val="none"/>
        </w:rPr>
        <w:fldChar w:fldCharType="end"/>
      </w:r>
      <w:r>
        <w:rPr>
          <w:highlight w:val="none"/>
        </w:rPr>
        <w:t xml:space="preserve"> 总体架构</w:t>
      </w:r>
    </w:p>
    <w:p w14:paraId="446C9BAA">
      <w:pPr>
        <w:ind w:firstLine="3360" w:firstLineChars="1400"/>
        <w:rPr>
          <w:highlight w:val="none"/>
        </w:rPr>
      </w:pPr>
    </w:p>
    <w:p w14:paraId="159CA11A">
      <w:pPr>
        <w:pStyle w:val="3"/>
        <w:rPr>
          <w:highlight w:val="none"/>
        </w:rPr>
      </w:pPr>
      <w:bookmarkStart w:id="50" w:name="_Toc180058917"/>
      <w:bookmarkEnd w:id="50"/>
      <w:bookmarkStart w:id="51" w:name="_Toc179996218"/>
      <w:bookmarkEnd w:id="51"/>
      <w:bookmarkStart w:id="52" w:name="_Toc1622"/>
      <w:bookmarkStart w:id="53" w:name="_Toc6752"/>
      <w:bookmarkStart w:id="54" w:name="_Toc16145"/>
      <w:bookmarkStart w:id="55" w:name="_Toc18890"/>
      <w:bookmarkStart w:id="56" w:name="_Toc12505"/>
      <w:bookmarkStart w:id="57" w:name="_Toc2872"/>
      <w:bookmarkStart w:id="58" w:name="_Toc180058932"/>
      <w:bookmarkStart w:id="59" w:name="_Toc11902"/>
      <w:bookmarkStart w:id="60" w:name="_Toc23863"/>
      <w:r>
        <w:rPr>
          <w:rFonts w:hint="eastAsia"/>
          <w:highlight w:val="none"/>
        </w:rPr>
        <w:t>物理架构</w:t>
      </w:r>
      <w:bookmarkEnd w:id="52"/>
    </w:p>
    <w:p w14:paraId="34DD1BD7">
      <w:pPr>
        <w:rPr>
          <w:highlight w:val="none"/>
        </w:rPr>
      </w:pPr>
      <w:r>
        <w:rPr>
          <w:rFonts w:ascii="宋体" w:hAnsi="宋体" w:cs="宋体"/>
          <w:highlight w:val="none"/>
        </w:rPr>
        <w:t>本项目</w:t>
      </w:r>
      <w:r>
        <w:rPr>
          <w:rFonts w:hint="eastAsia" w:ascii="宋体" w:hAnsi="宋体" w:cs="宋体"/>
          <w:highlight w:val="none"/>
        </w:rPr>
        <w:t>物理</w:t>
      </w:r>
      <w:r>
        <w:rPr>
          <w:rFonts w:ascii="宋体" w:hAnsi="宋体" w:cs="宋体"/>
          <w:highlight w:val="none"/>
        </w:rPr>
        <w:t>架构和部署，根据评审后的施工方案定。</w:t>
      </w:r>
    </w:p>
    <w:p w14:paraId="2181E631">
      <w:pPr>
        <w:pStyle w:val="3"/>
        <w:rPr>
          <w:highlight w:val="none"/>
        </w:rPr>
      </w:pPr>
      <w:bookmarkStart w:id="61" w:name="_Toc17191"/>
      <w:r>
        <w:rPr>
          <w:rFonts w:hint="eastAsia"/>
          <w:highlight w:val="none"/>
        </w:rPr>
        <w:t>安全架构</w:t>
      </w:r>
      <w:bookmarkEnd w:id="53"/>
      <w:bookmarkEnd w:id="54"/>
      <w:bookmarkEnd w:id="55"/>
      <w:bookmarkEnd w:id="56"/>
      <w:bookmarkEnd w:id="57"/>
      <w:bookmarkEnd w:id="58"/>
      <w:bookmarkEnd w:id="59"/>
      <w:bookmarkEnd w:id="60"/>
      <w:bookmarkEnd w:id="61"/>
    </w:p>
    <w:p w14:paraId="0F68AC89">
      <w:pPr>
        <w:pStyle w:val="20"/>
        <w:spacing w:after="0" w:line="480" w:lineRule="atLeast"/>
        <w:ind w:firstLine="480" w:firstLineChars="200"/>
        <w:rPr>
          <w:rFonts w:hint="eastAsia"/>
          <w:highlight w:val="none"/>
        </w:rPr>
      </w:pPr>
      <w:r>
        <w:rPr>
          <w:rFonts w:ascii="Times New Roman" w:hAnsi="Times New Roman" w:eastAsia="宋体" w:cs="Times New Roman"/>
          <w:sz w:val="24"/>
          <w:szCs w:val="24"/>
          <w:highlight w:val="none"/>
        </w:rPr>
        <w:t>本项目安全责任单位为广州局计量中心，本项目安全防护总体目标，依据国家和公司网络安全有关要求，贯彻落实“安全分区、网络专用、横向隔离、纵向认证”十六字方针，结合系统面临的风险分析，从边界、网络、应用、主机、终端、业务、监测和机房物理和环境安全等方面采取网络安全防护措施，按照“同步规划、同步建设、同步使用”原则构建计量自动化系统的网络安全防护能力，防范系统发生网络安全事件，切实保障系统安全稳定运行。</w:t>
      </w:r>
    </w:p>
    <w:p w14:paraId="3DAFC93B">
      <w:pPr>
        <w:pStyle w:val="61"/>
        <w:numPr>
          <w:ilvl w:val="0"/>
          <w:numId w:val="21"/>
        </w:numPr>
        <w:ind w:left="0" w:firstLine="426"/>
        <w:rPr>
          <w:highlight w:val="none"/>
          <w:lang w:bidi="ar"/>
        </w:rPr>
      </w:pPr>
      <w:r>
        <w:rPr>
          <w:highlight w:val="none"/>
          <w:lang w:bidi="ar"/>
        </w:rPr>
        <w:t>本项目应满足《GB/T 22239-2019信息安全技术 网络安全等级保护基本要求》第3级安全要求的安全通用要求和云计算安全扩展要求进行建设。根据《GB/T 39786-2021 信息安全技术信息系统密码应用基本要求》第3级安全要求实现密码应用。涉及密码技术的安全设备或防护措施应达到《GB/T 37092 信息安全技术 密码模块安全要求》2级及以上安全要求。</w:t>
      </w:r>
    </w:p>
    <w:p w14:paraId="1BC79E86">
      <w:pPr>
        <w:pStyle w:val="61"/>
        <w:numPr>
          <w:ilvl w:val="0"/>
          <w:numId w:val="21"/>
        </w:numPr>
        <w:ind w:left="0" w:firstLine="426"/>
        <w:rPr>
          <w:highlight w:val="none"/>
          <w:lang w:bidi="ar"/>
        </w:rPr>
      </w:pPr>
      <w:r>
        <w:rPr>
          <w:highlight w:val="none"/>
          <w:lang w:bidi="ar"/>
        </w:rPr>
        <w:t>本项目应满足《GB/T 36572-2018 电力监控系统网络安全防护导则》相关要求，系统网络安全防护体系的各个模块应实现自身的安全，依次分为电力监控系统软件的安全、操作系统和基础软件的安全、计算机和网络设备及电力专用监控设备的安全、核心处理器芯片的安全，均应采用安全、可控、可靠的软硬件产品。</w:t>
      </w:r>
    </w:p>
    <w:p w14:paraId="54193619">
      <w:pPr>
        <w:pStyle w:val="61"/>
        <w:numPr>
          <w:ilvl w:val="0"/>
          <w:numId w:val="21"/>
        </w:numPr>
        <w:ind w:left="0" w:firstLine="426"/>
        <w:rPr>
          <w:highlight w:val="none"/>
          <w:lang w:bidi="ar"/>
        </w:rPr>
      </w:pPr>
      <w:r>
        <w:rPr>
          <w:highlight w:val="none"/>
          <w:lang w:bidi="ar"/>
        </w:rPr>
        <w:t>本项目应满足《中国南方电网电力监控系统网络安全技术规范》、《南方电网公司网络安全合规库（2022年版）》、《南方电网公司IT主流设备安全基线技术规范》、《南方电网“十四五”电力监控系统网络安全规划技术原则》等相关要求。</w:t>
      </w:r>
    </w:p>
    <w:p w14:paraId="663D387E">
      <w:pPr>
        <w:pStyle w:val="61"/>
        <w:numPr>
          <w:ilvl w:val="0"/>
          <w:numId w:val="21"/>
        </w:numPr>
        <w:ind w:left="0" w:firstLine="426"/>
        <w:rPr>
          <w:highlight w:val="none"/>
          <w:lang w:bidi="ar"/>
        </w:rPr>
      </w:pPr>
      <w:r>
        <w:rPr>
          <w:highlight w:val="none"/>
          <w:lang w:bidi="ar"/>
        </w:rPr>
        <w:t>安全I区相关系统功能，应采用C/S架构进行开发。</w:t>
      </w:r>
    </w:p>
    <w:p w14:paraId="55AD2AB0">
      <w:pPr>
        <w:pStyle w:val="4"/>
        <w:rPr>
          <w:highlight w:val="none"/>
        </w:rPr>
      </w:pPr>
      <w:bookmarkStart w:id="62" w:name="_Toc18707"/>
      <w:r>
        <w:rPr>
          <w:rFonts w:hint="eastAsia"/>
          <w:highlight w:val="none"/>
        </w:rPr>
        <w:t>网络安全方案</w:t>
      </w:r>
      <w:bookmarkEnd w:id="62"/>
    </w:p>
    <w:p w14:paraId="6F4B97DF">
      <w:pPr>
        <w:rPr>
          <w:highlight w:val="none"/>
        </w:rPr>
      </w:pPr>
    </w:p>
    <w:p w14:paraId="420E4278">
      <w:pPr>
        <w:rPr>
          <w:highlight w:val="none"/>
        </w:rPr>
      </w:pPr>
      <w:r>
        <w:rPr>
          <w:highlight w:val="none"/>
        </w:rPr>
        <w:drawing>
          <wp:inline distT="0" distB="0" distL="114300" distR="114300">
            <wp:extent cx="5227955" cy="2807335"/>
            <wp:effectExtent l="0" t="0" r="4445" b="12065"/>
            <wp:docPr id="8" name="图片 8" descr="企业微信截图_17229152385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企业微信截图_17229152385366"/>
                    <pic:cNvPicPr>
                      <a:picLocks noChangeAspect="1"/>
                    </pic:cNvPicPr>
                  </pic:nvPicPr>
                  <pic:blipFill>
                    <a:blip r:embed="rId13"/>
                    <a:stretch>
                      <a:fillRect/>
                    </a:stretch>
                  </pic:blipFill>
                  <pic:spPr>
                    <a:xfrm>
                      <a:off x="0" y="0"/>
                      <a:ext cx="5227955" cy="2807335"/>
                    </a:xfrm>
                    <a:prstGeom prst="rect">
                      <a:avLst/>
                    </a:prstGeom>
                  </pic:spPr>
                </pic:pic>
              </a:graphicData>
            </a:graphic>
          </wp:inline>
        </w:drawing>
      </w:r>
    </w:p>
    <w:p w14:paraId="3818C432">
      <w:pPr>
        <w:ind w:firstLine="3600" w:firstLineChars="1500"/>
        <w:rPr>
          <w:highlight w:val="none"/>
        </w:rPr>
      </w:pPr>
      <w:r>
        <w:rPr>
          <w:highlight w:val="none"/>
        </w:rPr>
        <w:t>图</w:t>
      </w:r>
      <w:r>
        <w:rPr>
          <w:highlight w:val="none"/>
        </w:rPr>
        <w:fldChar w:fldCharType="begin"/>
      </w:r>
      <w:r>
        <w:rPr>
          <w:highlight w:val="none"/>
        </w:rPr>
        <w:instrText xml:space="preserve"> STYLEREF 1 \s </w:instrText>
      </w:r>
      <w:r>
        <w:rPr>
          <w:highlight w:val="none"/>
        </w:rPr>
        <w:fldChar w:fldCharType="separate"/>
      </w:r>
      <w:r>
        <w:rPr>
          <w:highlight w:val="none"/>
        </w:rPr>
        <w:t>5</w:t>
      </w:r>
      <w:r>
        <w:rPr>
          <w:highlight w:val="none"/>
        </w:rPr>
        <w:fldChar w:fldCharType="end"/>
      </w:r>
      <w:r>
        <w:rPr>
          <w:highlight w:val="none"/>
        </w:rPr>
        <w:t>-</w:t>
      </w:r>
      <w:r>
        <w:rPr>
          <w:highlight w:val="none"/>
        </w:rPr>
        <w:fldChar w:fldCharType="begin"/>
      </w:r>
      <w:r>
        <w:rPr>
          <w:highlight w:val="none"/>
        </w:rPr>
        <w:instrText xml:space="preserve"> SEQ 图 \* ARABIC \s 1 </w:instrText>
      </w:r>
      <w:r>
        <w:rPr>
          <w:highlight w:val="none"/>
        </w:rPr>
        <w:fldChar w:fldCharType="separate"/>
      </w:r>
      <w:r>
        <w:rPr>
          <w:highlight w:val="none"/>
        </w:rPr>
        <w:t>2</w:t>
      </w:r>
      <w:r>
        <w:rPr>
          <w:highlight w:val="none"/>
        </w:rPr>
        <w:fldChar w:fldCharType="end"/>
      </w:r>
      <w:r>
        <w:rPr>
          <w:highlight w:val="none"/>
        </w:rPr>
        <w:t xml:space="preserve"> 网</w:t>
      </w:r>
      <w:r>
        <w:rPr>
          <w:rFonts w:hint="eastAsia"/>
          <w:highlight w:val="none"/>
        </w:rPr>
        <w:t>络安全</w:t>
      </w:r>
      <w:r>
        <w:rPr>
          <w:highlight w:val="none"/>
        </w:rPr>
        <w:t>架构示意图</w:t>
      </w:r>
    </w:p>
    <w:p w14:paraId="292B7A66">
      <w:pPr>
        <w:ind w:firstLine="3600" w:firstLineChars="1500"/>
        <w:rPr>
          <w:highlight w:val="none"/>
        </w:rPr>
      </w:pPr>
    </w:p>
    <w:p w14:paraId="0403526E">
      <w:pPr>
        <w:rPr>
          <w:highlight w:val="none"/>
          <w:lang w:bidi="ar"/>
        </w:rPr>
      </w:pPr>
      <w:r>
        <w:rPr>
          <w:rFonts w:hint="eastAsia"/>
          <w:highlight w:val="none"/>
          <w:lang w:bidi="ar"/>
        </w:rPr>
        <w:t>本项目在广州计量自动化系统（广州局边缘节点）基础上进行改造，不做安全架构调整。</w:t>
      </w:r>
    </w:p>
    <w:p w14:paraId="0E7E025B">
      <w:pPr>
        <w:rPr>
          <w:highlight w:val="none"/>
        </w:rPr>
      </w:pPr>
      <w:r>
        <w:rPr>
          <w:highlight w:val="none"/>
        </w:rPr>
        <w:t>本系统部署在安全Ⅲ区</w:t>
      </w:r>
      <w:r>
        <w:rPr>
          <w:rFonts w:hint="eastAsia"/>
          <w:highlight w:val="none"/>
        </w:rPr>
        <w:t>，</w:t>
      </w:r>
      <w:r>
        <w:rPr>
          <w:highlight w:val="none"/>
        </w:rPr>
        <w:t>共同实现计量自动化系统总体功能架构。</w:t>
      </w:r>
    </w:p>
    <w:p w14:paraId="132D1FF9">
      <w:pPr>
        <w:pStyle w:val="61"/>
        <w:numPr>
          <w:ilvl w:val="0"/>
          <w:numId w:val="22"/>
        </w:numPr>
        <w:ind w:firstLine="240"/>
        <w:rPr>
          <w:highlight w:val="none"/>
          <w:lang w:bidi="ar"/>
        </w:rPr>
      </w:pPr>
      <w:r>
        <w:rPr>
          <w:highlight w:val="none"/>
          <w:lang w:bidi="ar"/>
        </w:rPr>
        <w:t>通过部署纵向加密认证装置（或措施）、防火墙、正反向物理隔离装置等，实现“安全分区、网络专用、横向隔离、纵向认证”等要求。</w:t>
      </w:r>
    </w:p>
    <w:p w14:paraId="45304ECD">
      <w:pPr>
        <w:pStyle w:val="61"/>
        <w:numPr>
          <w:ilvl w:val="0"/>
          <w:numId w:val="22"/>
        </w:numPr>
        <w:ind w:firstLine="240"/>
        <w:rPr>
          <w:highlight w:val="none"/>
          <w:lang w:bidi="ar"/>
        </w:rPr>
      </w:pPr>
      <w:r>
        <w:rPr>
          <w:highlight w:val="none"/>
          <w:lang w:bidi="ar"/>
        </w:rPr>
        <w:t>通过国密SSL VPN、堡垒机、数字身份认证平台等实现用户身份鉴别。</w:t>
      </w:r>
    </w:p>
    <w:p w14:paraId="694BE2EA">
      <w:pPr>
        <w:pStyle w:val="61"/>
        <w:numPr>
          <w:ilvl w:val="0"/>
          <w:numId w:val="22"/>
        </w:numPr>
        <w:ind w:firstLine="240"/>
        <w:rPr>
          <w:highlight w:val="none"/>
          <w:lang w:bidi="ar"/>
        </w:rPr>
      </w:pPr>
      <w:r>
        <w:rPr>
          <w:highlight w:val="none"/>
          <w:lang w:bidi="ar"/>
        </w:rPr>
        <w:t>通过防火墙、主机安全等实现访问控制。</w:t>
      </w:r>
    </w:p>
    <w:p w14:paraId="1F4D200C">
      <w:pPr>
        <w:pStyle w:val="61"/>
        <w:numPr>
          <w:ilvl w:val="0"/>
          <w:numId w:val="22"/>
        </w:numPr>
        <w:ind w:firstLine="240"/>
        <w:rPr>
          <w:highlight w:val="none"/>
          <w:lang w:bidi="ar"/>
        </w:rPr>
      </w:pPr>
      <w:r>
        <w:rPr>
          <w:highlight w:val="none"/>
          <w:lang w:bidi="ar"/>
        </w:rPr>
        <w:t>通过入侵防御系统、WEB应用防火墙、主机安全等实现入侵检测和恶意代码防范。</w:t>
      </w:r>
    </w:p>
    <w:p w14:paraId="6CD33B8E">
      <w:pPr>
        <w:pStyle w:val="61"/>
        <w:numPr>
          <w:ilvl w:val="0"/>
          <w:numId w:val="22"/>
        </w:numPr>
        <w:ind w:firstLine="240"/>
        <w:rPr>
          <w:highlight w:val="none"/>
          <w:lang w:bidi="ar"/>
        </w:rPr>
      </w:pPr>
      <w:r>
        <w:rPr>
          <w:highlight w:val="none"/>
          <w:lang w:bidi="ar"/>
        </w:rPr>
        <w:t>通过堡垒机、日志审计、数据库审计实现安全审计。</w:t>
      </w:r>
    </w:p>
    <w:p w14:paraId="7EA0B68F">
      <w:pPr>
        <w:pStyle w:val="61"/>
        <w:numPr>
          <w:ilvl w:val="0"/>
          <w:numId w:val="22"/>
        </w:numPr>
        <w:ind w:firstLine="240"/>
        <w:rPr>
          <w:highlight w:val="none"/>
          <w:lang w:bidi="ar"/>
        </w:rPr>
      </w:pPr>
      <w:r>
        <w:rPr>
          <w:highlight w:val="none"/>
          <w:lang w:bidi="ar"/>
        </w:rPr>
        <w:t>通过</w:t>
      </w:r>
      <w:r>
        <w:rPr>
          <w:rFonts w:hint="eastAsia"/>
          <w:highlight w:val="none"/>
          <w:lang w:bidi="ar"/>
        </w:rPr>
        <w:t>国密</w:t>
      </w:r>
      <w:r>
        <w:rPr>
          <w:highlight w:val="none"/>
          <w:lang w:bidi="ar"/>
        </w:rPr>
        <w:t>服务器密码机、</w:t>
      </w:r>
      <w:r>
        <w:rPr>
          <w:rFonts w:hint="eastAsia"/>
          <w:highlight w:val="none"/>
          <w:lang w:bidi="ar"/>
        </w:rPr>
        <w:t>计量商用密码保障系统</w:t>
      </w:r>
      <w:r>
        <w:rPr>
          <w:highlight w:val="none"/>
          <w:lang w:bidi="ar"/>
        </w:rPr>
        <w:t>实现应用和数据安全防护。</w:t>
      </w:r>
    </w:p>
    <w:p w14:paraId="76889571">
      <w:pPr>
        <w:pStyle w:val="61"/>
        <w:numPr>
          <w:ilvl w:val="0"/>
          <w:numId w:val="22"/>
        </w:numPr>
        <w:ind w:firstLine="240"/>
        <w:rPr>
          <w:highlight w:val="none"/>
          <w:lang w:bidi="ar"/>
        </w:rPr>
      </w:pPr>
      <w:r>
        <w:rPr>
          <w:highlight w:val="none"/>
          <w:lang w:bidi="ar"/>
        </w:rPr>
        <w:t>通过态势感知采集装置、持续威胁检测与溯源系统（APT），全面感知网络威胁，有效发现APT攻击。</w:t>
      </w:r>
    </w:p>
    <w:p w14:paraId="70D9F5E0">
      <w:pPr>
        <w:pStyle w:val="61"/>
        <w:numPr>
          <w:ilvl w:val="0"/>
          <w:numId w:val="22"/>
        </w:numPr>
        <w:ind w:firstLine="240"/>
        <w:rPr>
          <w:highlight w:val="none"/>
          <w:lang w:bidi="ar"/>
        </w:rPr>
      </w:pPr>
      <w:r>
        <w:rPr>
          <w:highlight w:val="none"/>
          <w:lang w:bidi="ar"/>
        </w:rPr>
        <w:t>配置各安全区独立的运维终端，严格控制在生产控制大区和管理信息大区之间交叉使用移动存储介质以及便携式计算机。</w:t>
      </w:r>
    </w:p>
    <w:p w14:paraId="74BA8CE1">
      <w:pPr>
        <w:pStyle w:val="4"/>
        <w:rPr>
          <w:highlight w:val="none"/>
        </w:rPr>
      </w:pPr>
      <w:bookmarkStart w:id="63" w:name="_Toc11878"/>
      <w:bookmarkStart w:id="64" w:name="_Toc5220"/>
      <w:bookmarkStart w:id="65" w:name="_Toc18272"/>
      <w:bookmarkStart w:id="66" w:name="_Toc28842"/>
      <w:bookmarkStart w:id="67" w:name="_Toc31735"/>
      <w:bookmarkStart w:id="68" w:name="_Toc5524"/>
      <w:bookmarkStart w:id="69" w:name="_Toc17423"/>
      <w:bookmarkStart w:id="70" w:name="_Toc17973"/>
      <w:bookmarkStart w:id="71" w:name="_Toc116398108"/>
      <w:bookmarkStart w:id="72" w:name="_Toc19341"/>
      <w:bookmarkStart w:id="73" w:name="_Toc1814"/>
      <w:bookmarkStart w:id="74" w:name="_Toc5348"/>
      <w:r>
        <w:rPr>
          <w:highlight w:val="none"/>
        </w:rPr>
        <w:t>第三方测试</w:t>
      </w:r>
      <w:bookmarkEnd w:id="63"/>
      <w:bookmarkEnd w:id="64"/>
      <w:bookmarkEnd w:id="65"/>
      <w:bookmarkEnd w:id="66"/>
      <w:bookmarkEnd w:id="67"/>
      <w:bookmarkEnd w:id="68"/>
      <w:bookmarkEnd w:id="69"/>
      <w:bookmarkEnd w:id="70"/>
      <w:bookmarkEnd w:id="71"/>
      <w:bookmarkEnd w:id="72"/>
      <w:bookmarkEnd w:id="73"/>
      <w:bookmarkEnd w:id="74"/>
    </w:p>
    <w:p w14:paraId="33BB9358">
      <w:pPr>
        <w:rPr>
          <w:highlight w:val="none"/>
          <w:lang w:bidi="ar"/>
        </w:rPr>
      </w:pPr>
      <w:r>
        <w:rPr>
          <w:highlight w:val="none"/>
          <w:lang w:bidi="ar"/>
        </w:rPr>
        <w:t>本项目包含第三方测试，第三方测试是指委托第三方评测单位或机构对信息系统进行功能、性能测试</w:t>
      </w:r>
      <w:r>
        <w:rPr>
          <w:rFonts w:hint="eastAsia"/>
          <w:highlight w:val="none"/>
          <w:lang w:bidi="ar"/>
        </w:rPr>
        <w:t>、安全测试（包含基线配置核查、渗透测试、数据安全）</w:t>
      </w:r>
      <w:r>
        <w:rPr>
          <w:highlight w:val="none"/>
          <w:lang w:bidi="ar"/>
        </w:rPr>
        <w:t>，及对基础环境、主要设备进行检测。其中，性能测试包括负载和压力测试。</w:t>
      </w:r>
    </w:p>
    <w:p w14:paraId="3E105755">
      <w:pPr>
        <w:rPr>
          <w:highlight w:val="none"/>
          <w:lang w:bidi="ar"/>
        </w:rPr>
      </w:pPr>
      <w:r>
        <w:rPr>
          <w:highlight w:val="none"/>
          <w:lang w:bidi="ar"/>
        </w:rPr>
        <w:t>第三方测试的主要目的是依据用户需求分析、合同的技术条款、国家标准的特性要求、系统操作手册和被测系统确定测试内容，在模拟或实际环境下测试被测系统是否实现了用户需求，是否达到了国家标准的相关要求。</w:t>
      </w:r>
    </w:p>
    <w:p w14:paraId="13F332D8">
      <w:pPr>
        <w:pStyle w:val="4"/>
        <w:rPr>
          <w:highlight w:val="none"/>
        </w:rPr>
      </w:pPr>
      <w:bookmarkStart w:id="75" w:name="_Toc20053"/>
      <w:bookmarkStart w:id="76" w:name="_Toc21459"/>
      <w:bookmarkStart w:id="77" w:name="_Toc6855"/>
      <w:bookmarkStart w:id="78" w:name="_Toc12753"/>
      <w:bookmarkStart w:id="79" w:name="_Toc13199"/>
      <w:bookmarkStart w:id="80" w:name="_Toc21235"/>
      <w:bookmarkStart w:id="81" w:name="_Toc116398109"/>
      <w:bookmarkStart w:id="82" w:name="_Toc29235"/>
      <w:bookmarkStart w:id="83" w:name="_Toc27508"/>
      <w:bookmarkStart w:id="84" w:name="_Toc23617"/>
      <w:bookmarkStart w:id="85" w:name="_Toc28322"/>
      <w:bookmarkStart w:id="86" w:name="_Toc9382"/>
      <w:r>
        <w:rPr>
          <w:highlight w:val="none"/>
        </w:rPr>
        <w:t>网络安全等级</w:t>
      </w:r>
      <w:bookmarkEnd w:id="75"/>
      <w:bookmarkEnd w:id="76"/>
      <w:bookmarkEnd w:id="77"/>
      <w:bookmarkEnd w:id="78"/>
      <w:bookmarkEnd w:id="79"/>
      <w:bookmarkEnd w:id="80"/>
      <w:bookmarkEnd w:id="81"/>
      <w:bookmarkEnd w:id="82"/>
      <w:bookmarkEnd w:id="83"/>
      <w:bookmarkEnd w:id="84"/>
      <w:bookmarkEnd w:id="85"/>
      <w:r>
        <w:rPr>
          <w:highlight w:val="none"/>
        </w:rPr>
        <w:t>评测</w:t>
      </w:r>
      <w:bookmarkEnd w:id="86"/>
    </w:p>
    <w:p w14:paraId="73F24F93">
      <w:pPr>
        <w:rPr>
          <w:highlight w:val="none"/>
          <w:lang w:bidi="ar"/>
        </w:rPr>
      </w:pPr>
      <w:r>
        <w:rPr>
          <w:highlight w:val="none"/>
          <w:lang w:bidi="ar"/>
        </w:rPr>
        <w:t>本项目包含网络安全等级评测，网络安全等级评测是指根据《网络安全等级保护管理办法》规定，采用第三方机构进行网络安全等级测评，验证系统是否满足相应安全保护等级的评估。</w:t>
      </w:r>
    </w:p>
    <w:p w14:paraId="31E3A2B4">
      <w:pPr>
        <w:rPr>
          <w:highlight w:val="none"/>
        </w:rPr>
      </w:pPr>
      <w:r>
        <w:rPr>
          <w:highlight w:val="none"/>
          <w:lang w:bidi="ar"/>
        </w:rPr>
        <w:t>根据《信息安全技术 网络安全等级保护基本要求》（GB/T 22239-2019）以及《南方电网管理信息系统安全等级保护标准》要求，本系统的安全等级保护拟定为三级，本系统所在的计量数据平台的安全等级保护拟定为三级。并需要按照中华人民共和国国家标准《信息安全技术 网络安全等级保护基本要求》（GB/T 22239-2019）进行系统的安全防护。</w:t>
      </w:r>
    </w:p>
    <w:p w14:paraId="04E5A73D">
      <w:pPr>
        <w:pStyle w:val="4"/>
        <w:rPr>
          <w:highlight w:val="none"/>
        </w:rPr>
      </w:pPr>
      <w:bookmarkStart w:id="87" w:name="_Toc16623"/>
      <w:bookmarkStart w:id="88" w:name="_Toc116398111"/>
      <w:bookmarkStart w:id="89" w:name="_Toc11904"/>
      <w:bookmarkStart w:id="90" w:name="_Toc19964"/>
      <w:bookmarkStart w:id="91" w:name="_Toc5326"/>
      <w:bookmarkStart w:id="92" w:name="_Toc20365"/>
      <w:bookmarkStart w:id="93" w:name="_Toc31059"/>
      <w:bookmarkStart w:id="94" w:name="_Toc6956"/>
      <w:bookmarkStart w:id="95" w:name="_Toc23271"/>
      <w:bookmarkStart w:id="96" w:name="_Toc19593"/>
      <w:bookmarkStart w:id="97" w:name="_Toc12415"/>
      <w:bookmarkStart w:id="98" w:name="_Toc31053"/>
      <w:bookmarkStart w:id="99" w:name="_Toc411"/>
      <w:bookmarkStart w:id="100" w:name="_Toc19260"/>
      <w:bookmarkStart w:id="101" w:name="_Toc15506"/>
      <w:bookmarkStart w:id="102" w:name="_Toc16866"/>
      <w:bookmarkStart w:id="103" w:name="_Toc21962"/>
      <w:bookmarkStart w:id="104" w:name="_Toc11184"/>
      <w:bookmarkStart w:id="105" w:name="_Toc118465997"/>
      <w:bookmarkStart w:id="106" w:name="_Toc103869230"/>
      <w:bookmarkStart w:id="107" w:name="_Toc27219"/>
      <w:bookmarkStart w:id="108" w:name="_Toc19002"/>
      <w:bookmarkStart w:id="109" w:name="_Toc28574"/>
      <w:bookmarkStart w:id="110" w:name="_Toc21951"/>
      <w:bookmarkStart w:id="111" w:name="_Toc18606"/>
      <w:bookmarkStart w:id="112" w:name="_Toc27669"/>
      <w:r>
        <w:rPr>
          <w:highlight w:val="none"/>
        </w:rPr>
        <w:t>入网安评检测</w:t>
      </w:r>
      <w:bookmarkEnd w:id="87"/>
    </w:p>
    <w:p w14:paraId="794D8C73">
      <w:pPr>
        <w:rPr>
          <w:highlight w:val="none"/>
        </w:rPr>
      </w:pPr>
      <w:r>
        <w:rPr>
          <w:highlight w:val="none"/>
        </w:rPr>
        <w:t>本项目包含入网安评检测，包含如下</w:t>
      </w:r>
      <w:r>
        <w:rPr>
          <w:rFonts w:hint="eastAsia"/>
          <w:highlight w:val="none"/>
        </w:rPr>
        <w:t>内容</w:t>
      </w:r>
      <w:r>
        <w:rPr>
          <w:highlight w:val="none"/>
        </w:rPr>
        <w:t>：</w:t>
      </w:r>
    </w:p>
    <w:p w14:paraId="2F1207F2">
      <w:pPr>
        <w:pStyle w:val="61"/>
        <w:numPr>
          <w:ilvl w:val="0"/>
          <w:numId w:val="23"/>
        </w:numPr>
        <w:ind w:firstLine="240"/>
        <w:rPr>
          <w:highlight w:val="none"/>
          <w:lang w:bidi="ar"/>
        </w:rPr>
      </w:pPr>
      <w:r>
        <w:rPr>
          <w:highlight w:val="none"/>
          <w:lang w:bidi="ar"/>
        </w:rPr>
        <w:t>网络拓扑：评估网络的物理架构，包括网络设备、服务器、网络拓扑等。</w:t>
      </w:r>
    </w:p>
    <w:p w14:paraId="61C7A59B">
      <w:pPr>
        <w:pStyle w:val="61"/>
        <w:numPr>
          <w:ilvl w:val="0"/>
          <w:numId w:val="23"/>
        </w:numPr>
        <w:ind w:firstLine="240"/>
        <w:rPr>
          <w:highlight w:val="none"/>
          <w:lang w:bidi="ar"/>
        </w:rPr>
      </w:pPr>
      <w:r>
        <w:rPr>
          <w:highlight w:val="none"/>
          <w:lang w:bidi="ar"/>
        </w:rPr>
        <w:t>安全策略：评估系统的安全策略，包括密码策略、访问控制策略、防火墙策略等。</w:t>
      </w:r>
    </w:p>
    <w:p w14:paraId="43290B38">
      <w:pPr>
        <w:pStyle w:val="61"/>
        <w:numPr>
          <w:ilvl w:val="0"/>
          <w:numId w:val="23"/>
        </w:numPr>
        <w:ind w:firstLine="240"/>
        <w:rPr>
          <w:highlight w:val="none"/>
          <w:lang w:bidi="ar"/>
        </w:rPr>
      </w:pPr>
      <w:r>
        <w:rPr>
          <w:highlight w:val="none"/>
          <w:lang w:bidi="ar"/>
        </w:rPr>
        <w:t>漏洞扫描：通过对系统进行漏洞扫描，发现系统中的漏洞和安全隐患。</w:t>
      </w:r>
    </w:p>
    <w:p w14:paraId="18A02A01">
      <w:pPr>
        <w:pStyle w:val="61"/>
        <w:numPr>
          <w:ilvl w:val="0"/>
          <w:numId w:val="23"/>
        </w:numPr>
        <w:ind w:firstLine="240"/>
        <w:rPr>
          <w:highlight w:val="none"/>
          <w:lang w:bidi="ar"/>
        </w:rPr>
      </w:pPr>
      <w:r>
        <w:rPr>
          <w:highlight w:val="none"/>
          <w:lang w:bidi="ar"/>
        </w:rPr>
        <w:t>弱口令检测：对系统中的密码进行检测，发现弱口令和易受攻击的账号密码。</w:t>
      </w:r>
    </w:p>
    <w:p w14:paraId="537826DA">
      <w:pPr>
        <w:pStyle w:val="61"/>
        <w:numPr>
          <w:ilvl w:val="0"/>
          <w:numId w:val="23"/>
        </w:numPr>
        <w:ind w:firstLine="240"/>
        <w:rPr>
          <w:highlight w:val="none"/>
          <w:lang w:bidi="ar"/>
        </w:rPr>
      </w:pPr>
      <w:r>
        <w:rPr>
          <w:highlight w:val="none"/>
          <w:lang w:bidi="ar"/>
        </w:rPr>
        <w:t>应用安全：评估系统中应用程序的安全性，包括是否存在安全漏洞、是否有足够的安全措施等。</w:t>
      </w:r>
    </w:p>
    <w:p w14:paraId="437765C4">
      <w:pPr>
        <w:pStyle w:val="61"/>
        <w:numPr>
          <w:ilvl w:val="0"/>
          <w:numId w:val="23"/>
        </w:numPr>
        <w:ind w:firstLine="240"/>
        <w:rPr>
          <w:highlight w:val="none"/>
          <w:lang w:bidi="ar"/>
        </w:rPr>
      </w:pPr>
      <w:r>
        <w:rPr>
          <w:highlight w:val="none"/>
          <w:lang w:bidi="ar"/>
        </w:rPr>
        <w:t>数据安全：评估系统中数据的安全性，包括数据的存储、传输、备份等方面。</w:t>
      </w:r>
    </w:p>
    <w:bookmarkEnd w:id="88"/>
    <w:bookmarkEnd w:id="89"/>
    <w:bookmarkEnd w:id="90"/>
    <w:bookmarkEnd w:id="91"/>
    <w:bookmarkEnd w:id="92"/>
    <w:bookmarkEnd w:id="93"/>
    <w:bookmarkEnd w:id="94"/>
    <w:bookmarkEnd w:id="95"/>
    <w:bookmarkEnd w:id="96"/>
    <w:bookmarkEnd w:id="97"/>
    <w:bookmarkEnd w:id="98"/>
    <w:p w14:paraId="5687F19C">
      <w:pPr>
        <w:pStyle w:val="4"/>
        <w:rPr>
          <w:highlight w:val="none"/>
        </w:rPr>
      </w:pPr>
      <w:bookmarkStart w:id="113" w:name="_Toc22996"/>
      <w:r>
        <w:rPr>
          <w:highlight w:val="none"/>
        </w:rPr>
        <w:t>源代码审查</w:t>
      </w:r>
      <w:bookmarkEnd w:id="113"/>
    </w:p>
    <w:p w14:paraId="384CCC9B">
      <w:pPr>
        <w:rPr>
          <w:highlight w:val="none"/>
        </w:rPr>
      </w:pPr>
      <w:r>
        <w:rPr>
          <w:highlight w:val="none"/>
        </w:rPr>
        <w:t>源代码审查的主要内容包括以下几个方面‌：</w:t>
      </w:r>
    </w:p>
    <w:p w14:paraId="75523577">
      <w:pPr>
        <w:pStyle w:val="61"/>
        <w:numPr>
          <w:ilvl w:val="0"/>
          <w:numId w:val="24"/>
        </w:numPr>
        <w:ind w:firstLine="240"/>
        <w:rPr>
          <w:highlight w:val="none"/>
          <w:lang w:bidi="ar"/>
        </w:rPr>
      </w:pPr>
      <w:r>
        <w:rPr>
          <w:highlight w:val="none"/>
        </w:rPr>
        <w:t>‌</w:t>
      </w:r>
      <w:r>
        <w:rPr>
          <w:highlight w:val="none"/>
          <w:lang w:bidi="ar"/>
        </w:rPr>
        <w:t>代码质量‌：审查代码是否符合编程规范，是否存在逻辑错误、编码规范的违背以及潜在的性能问题。手动代码审查可以提供灵活性和深度，根据项目的具体要求进行细致的检查‌。</w:t>
      </w:r>
    </w:p>
    <w:p w14:paraId="6DDA0A4B">
      <w:pPr>
        <w:pStyle w:val="61"/>
        <w:numPr>
          <w:ilvl w:val="0"/>
          <w:numId w:val="24"/>
        </w:numPr>
        <w:ind w:firstLine="240"/>
        <w:rPr>
          <w:highlight w:val="none"/>
          <w:lang w:bidi="ar"/>
        </w:rPr>
      </w:pPr>
      <w:r>
        <w:rPr>
          <w:highlight w:val="none"/>
          <w:lang w:bidi="ar"/>
        </w:rPr>
        <w:t>‌安全性‌：检查代码中是否存在安全漏洞，如格式化字符串攻击、竞争危害、内存泄漏及缓存溢出等安全隐患。通过代码审查可以提升代码的安全性‌。</w:t>
      </w:r>
    </w:p>
    <w:p w14:paraId="60C9C705">
      <w:pPr>
        <w:pStyle w:val="61"/>
        <w:numPr>
          <w:ilvl w:val="0"/>
          <w:numId w:val="24"/>
        </w:numPr>
        <w:ind w:firstLine="240"/>
        <w:rPr>
          <w:highlight w:val="none"/>
          <w:lang w:bidi="ar"/>
        </w:rPr>
      </w:pPr>
      <w:r>
        <w:rPr>
          <w:highlight w:val="none"/>
          <w:lang w:bidi="ar"/>
        </w:rPr>
        <w:t>‌一致性‌：确保代码符合预定的编码规范和标准，使用静态代码分析工具可以自动化检测潜在的问题，如语法错误、逻辑漏洞和编码规范的违背‌。</w:t>
      </w:r>
    </w:p>
    <w:p w14:paraId="37E4FAAF">
      <w:pPr>
        <w:pStyle w:val="61"/>
        <w:numPr>
          <w:ilvl w:val="0"/>
          <w:numId w:val="24"/>
        </w:numPr>
        <w:ind w:firstLine="240"/>
        <w:rPr>
          <w:rFonts w:eastAsiaTheme="minorEastAsia"/>
          <w:highlight w:val="none"/>
        </w:rPr>
      </w:pPr>
      <w:r>
        <w:rPr>
          <w:highlight w:val="none"/>
          <w:lang w:bidi="ar"/>
        </w:rPr>
        <w:t xml:space="preserve">‌功能和集成‌：检查代码的功能实现是否符合需求，模块之间的调用和依赖关系是否合理。集成测试是确保不同模块能够正确交互的关键‌。 </w:t>
      </w:r>
      <w:r>
        <w:rPr>
          <w:highlight w:val="none"/>
        </w:rPr>
        <w:t xml:space="preserve">  </w:t>
      </w:r>
      <w:r>
        <w:rPr>
          <w:rFonts w:hint="eastAsia"/>
          <w:highlight w:val="none"/>
        </w:rPr>
        <w:t xml:space="preserve">  </w:t>
      </w:r>
      <w:r>
        <w:rPr>
          <w:rFonts w:hint="eastAsia"/>
          <w:highlight w:val="none"/>
          <w:lang w:bidi="ar"/>
        </w:rPr>
        <w:t xml:space="preserve">              </w:t>
      </w:r>
      <w:r>
        <w:rPr>
          <w:highlight w:val="none"/>
          <w:lang w:bidi="ar"/>
        </w:rPr>
        <w:t xml:space="preserve">                   </w:t>
      </w:r>
    </w:p>
    <w:p w14:paraId="6671ECAE">
      <w:pPr>
        <w:pStyle w:val="4"/>
        <w:rPr>
          <w:highlight w:val="none"/>
        </w:rPr>
      </w:pPr>
      <w:bookmarkStart w:id="114" w:name="_Toc1817"/>
      <w:r>
        <w:rPr>
          <w:rFonts w:hint="eastAsia"/>
          <w:highlight w:val="none"/>
        </w:rPr>
        <w:t>商用密码应用安全性评估</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4"/>
    </w:p>
    <w:p w14:paraId="3B91B8A3">
      <w:pPr>
        <w:rPr>
          <w:highlight w:val="none"/>
          <w:lang w:bidi="ar"/>
        </w:rPr>
      </w:pPr>
      <w:r>
        <w:rPr>
          <w:rFonts w:hint="eastAsia"/>
          <w:highlight w:val="none"/>
          <w:lang w:bidi="ar"/>
        </w:rPr>
        <w:t>本项目包含商用密码应用安全性评估，商用密码应用安全性评估是指对采用商用密码技术、产品和服务集成建设的网络与信息系统密码应用的合规性、正确性和有效性进行评估（信息系统等级为三级及以上系统需开展）。</w:t>
      </w:r>
    </w:p>
    <w:p w14:paraId="60650E7E">
      <w:pPr>
        <w:rPr>
          <w:highlight w:val="none"/>
        </w:rPr>
      </w:pPr>
    </w:p>
    <w:p w14:paraId="1FE9EA57">
      <w:pPr>
        <w:pStyle w:val="3"/>
        <w:rPr>
          <w:highlight w:val="none"/>
        </w:rPr>
      </w:pPr>
      <w:bookmarkStart w:id="115" w:name="_Toc20191"/>
      <w:bookmarkStart w:id="116" w:name="_Toc5086"/>
      <w:bookmarkStart w:id="117" w:name="_Toc1103"/>
      <w:r>
        <w:rPr>
          <w:rFonts w:hint="eastAsia"/>
          <w:highlight w:val="none"/>
        </w:rPr>
        <w:t>技术路线</w:t>
      </w:r>
      <w:bookmarkEnd w:id="115"/>
      <w:bookmarkEnd w:id="116"/>
      <w:bookmarkEnd w:id="117"/>
    </w:p>
    <w:p w14:paraId="6BCFDB07">
      <w:pPr>
        <w:rPr>
          <w:rFonts w:hint="eastAsia" w:ascii="宋体" w:hAnsi="宋体" w:cs="宋体"/>
          <w:szCs w:val="21"/>
          <w:highlight w:val="none"/>
        </w:rPr>
      </w:pPr>
      <w:r>
        <w:rPr>
          <w:rFonts w:hint="eastAsia"/>
          <w:highlight w:val="none"/>
          <w:lang w:bidi="ar"/>
        </w:rPr>
        <w:t>本项目</w:t>
      </w:r>
      <w:r>
        <w:rPr>
          <w:rFonts w:hint="eastAsia" w:ascii="宋体" w:hAnsi="宋体" w:cs="宋体"/>
          <w:szCs w:val="21"/>
          <w:highlight w:val="none"/>
        </w:rPr>
        <w:t>基于广州计量自动化系统（广州局边缘节点）进行建设，需遵循国产化安全自主可控要求，遵循“应用+中台”战略。</w:t>
      </w:r>
    </w:p>
    <w:p w14:paraId="20128A11">
      <w:pPr>
        <w:rPr>
          <w:rFonts w:hint="eastAsia" w:ascii="宋体" w:hAnsi="宋体" w:cs="宋体"/>
          <w:szCs w:val="21"/>
          <w:highlight w:val="none"/>
        </w:rPr>
      </w:pPr>
      <w:r>
        <w:rPr>
          <w:rFonts w:hint="eastAsia" w:ascii="宋体" w:hAnsi="宋体" w:cs="宋体"/>
          <w:szCs w:val="21"/>
          <w:highlight w:val="none"/>
        </w:rPr>
        <w:t>应用层采用B/S分层架构部署。系统采用前后端分离开发方式，基于微服务容器化部署，使用分层技术镜像管理、分布式应用服务等组件进行支撑。</w:t>
      </w:r>
    </w:p>
    <w:p w14:paraId="02475EA9">
      <w:pPr>
        <w:rPr>
          <w:rFonts w:hint="eastAsia" w:ascii="宋体" w:hAnsi="宋体" w:cs="宋体"/>
          <w:szCs w:val="21"/>
          <w:highlight w:val="none"/>
        </w:rPr>
      </w:pPr>
      <w:r>
        <w:rPr>
          <w:rFonts w:hint="eastAsia" w:ascii="宋体" w:hAnsi="宋体" w:cs="宋体"/>
          <w:szCs w:val="21"/>
          <w:highlight w:val="none"/>
        </w:rPr>
        <w:t>中台层提供标准技术组件和服务，通过业务中台提供共性业务能力。</w:t>
      </w:r>
      <w:r>
        <w:rPr>
          <w:rFonts w:hint="eastAsia"/>
          <w:highlight w:val="none"/>
          <w:lang w:bidi="ar"/>
        </w:rPr>
        <w:t>中间件服务主要包括本次系统部署所使用到的服务：注册中心、配置中心、服务网关、智能体服务等。</w:t>
      </w:r>
    </w:p>
    <w:p w14:paraId="07071A84">
      <w:pPr>
        <w:rPr>
          <w:highlight w:val="none"/>
          <w:lang w:bidi="ar"/>
        </w:rPr>
      </w:pPr>
      <w:r>
        <w:rPr>
          <w:rFonts w:hint="eastAsia"/>
          <w:highlight w:val="none"/>
          <w:lang w:bidi="ar"/>
        </w:rPr>
        <w:t>数据层可划分为生产库、存储服务、中间件服务、向量库服务和模型服务。模型服务使用到NLP自然语言处理进行服务交互，利用vLLM实现业务专业模型部署、使用RAG技术增强prompt能力。</w:t>
      </w:r>
    </w:p>
    <w:p w14:paraId="3690F85F">
      <w:pPr>
        <w:rPr>
          <w:highlight w:val="none"/>
          <w:lang w:bidi="ar"/>
        </w:rPr>
      </w:pPr>
      <w:r>
        <w:rPr>
          <w:rFonts w:hint="eastAsia"/>
          <w:highlight w:val="none"/>
          <w:lang w:bidi="ar"/>
        </w:rPr>
        <w:t>基础设施层主要包括：K8S集群用于容器化部署。对于大语言模型运行所需的基础设施包括GPU资源、模型运行环境、模型训练环境等。</w:t>
      </w:r>
    </w:p>
    <w:p w14:paraId="72952ABE">
      <w:pPr>
        <w:pStyle w:val="3"/>
        <w:rPr>
          <w:highlight w:val="none"/>
        </w:rPr>
      </w:pPr>
      <w:bookmarkStart w:id="118" w:name="_Toc27755"/>
      <w:bookmarkStart w:id="119" w:name="_Toc31364"/>
      <w:r>
        <w:rPr>
          <w:rFonts w:hint="eastAsia"/>
          <w:highlight w:val="none"/>
        </w:rPr>
        <w:t>建设范围</w:t>
      </w:r>
      <w:bookmarkEnd w:id="118"/>
      <w:bookmarkEnd w:id="119"/>
    </w:p>
    <w:p w14:paraId="5F95AE90">
      <w:pPr>
        <w:jc w:val="left"/>
        <w:rPr>
          <w:bCs/>
          <w:highlight w:val="none"/>
        </w:rPr>
      </w:pPr>
      <w:bookmarkStart w:id="120" w:name="_Toc32077"/>
      <w:bookmarkStart w:id="121" w:name="_Toc32670"/>
      <w:r>
        <w:rPr>
          <w:bCs/>
          <w:highlight w:val="none"/>
          <w:lang w:bidi="ar"/>
        </w:rPr>
        <w:t>业务范围：电力市场计量业务</w:t>
      </w:r>
    </w:p>
    <w:p w14:paraId="0C56A7C0">
      <w:pPr>
        <w:jc w:val="left"/>
        <w:rPr>
          <w:bCs/>
          <w:highlight w:val="none"/>
        </w:rPr>
      </w:pPr>
      <w:r>
        <w:rPr>
          <w:bCs/>
          <w:highlight w:val="none"/>
          <w:lang w:bidi="ar"/>
        </w:rPr>
        <w:t>应用范围：广东电网有限责任公司广州供电局</w:t>
      </w:r>
    </w:p>
    <w:p w14:paraId="736E37A1">
      <w:pPr>
        <w:jc w:val="left"/>
        <w:rPr>
          <w:bCs/>
          <w:highlight w:val="none"/>
        </w:rPr>
      </w:pPr>
      <w:r>
        <w:rPr>
          <w:bCs/>
          <w:highlight w:val="none"/>
          <w:lang w:bidi="ar"/>
        </w:rPr>
        <w:t>建设单位：广东电网有限责任公司广州供电局计量中心</w:t>
      </w:r>
    </w:p>
    <w:p w14:paraId="6659153F">
      <w:pPr>
        <w:jc w:val="left"/>
        <w:rPr>
          <w:bCs/>
          <w:highlight w:val="none"/>
          <w:lang w:bidi="ar"/>
        </w:rPr>
      </w:pPr>
      <w:r>
        <w:rPr>
          <w:bCs/>
          <w:highlight w:val="none"/>
          <w:lang w:bidi="ar"/>
        </w:rPr>
        <w:t>实施范围：</w:t>
      </w:r>
      <w:r>
        <w:rPr>
          <w:highlight w:val="none"/>
          <w:lang w:bidi="ar"/>
        </w:rPr>
        <w:t>功能开发及实施、</w:t>
      </w:r>
      <w:r>
        <w:rPr>
          <w:highlight w:val="none"/>
        </w:rPr>
        <w:t>软硬件设备安装联调、</w:t>
      </w:r>
      <w:r>
        <w:rPr>
          <w:highlight w:val="none"/>
          <w:lang w:bidi="ar"/>
        </w:rPr>
        <w:t>安全测评及第三方测试、质保期运行维护</w:t>
      </w:r>
      <w:r>
        <w:rPr>
          <w:rFonts w:hint="eastAsia"/>
          <w:highlight w:val="none"/>
          <w:lang w:bidi="ar"/>
        </w:rPr>
        <w:t>、算力资源租赁及设备安装，</w:t>
      </w:r>
      <w:r>
        <w:rPr>
          <w:rFonts w:hint="eastAsia" w:ascii="宋体" w:hAnsi="宋体" w:cs="宋体"/>
          <w:highlight w:val="none"/>
        </w:rPr>
        <w:t>快速完成国产算力资源的部署</w:t>
      </w:r>
    </w:p>
    <w:p w14:paraId="0290F22C">
      <w:pPr>
        <w:jc w:val="left"/>
        <w:rPr>
          <w:bCs/>
          <w:highlight w:val="none"/>
          <w:lang w:bidi="ar"/>
        </w:rPr>
      </w:pPr>
      <w:r>
        <w:rPr>
          <w:bCs/>
          <w:highlight w:val="none"/>
          <w:lang w:bidi="ar"/>
        </w:rPr>
        <w:t>质保范围：本项目软件开发及实施质保1年</w:t>
      </w:r>
    </w:p>
    <w:p w14:paraId="0DA74520">
      <w:pPr>
        <w:pStyle w:val="2"/>
        <w:rPr>
          <w:highlight w:val="none"/>
        </w:rPr>
      </w:pPr>
      <w:r>
        <w:rPr>
          <w:rFonts w:hint="eastAsia"/>
          <w:highlight w:val="none"/>
        </w:rPr>
        <w:t>项目建设目标</w:t>
      </w:r>
      <w:bookmarkEnd w:id="120"/>
      <w:bookmarkEnd w:id="121"/>
    </w:p>
    <w:p w14:paraId="65138683">
      <w:pPr>
        <w:rPr>
          <w:highlight w:val="none"/>
        </w:rPr>
      </w:pPr>
      <w:bookmarkStart w:id="122" w:name="_Toc27379"/>
      <w:r>
        <w:rPr>
          <w:rFonts w:hint="eastAsia"/>
          <w:highlight w:val="none"/>
        </w:rPr>
        <w:t>本项目依托DeepSeek大语言模型技术底座，完成统一问答入口、智能体应用开发平台建设；基于智能体应用开发平台完成低压远程复电、指标监测、停电研判、采集链路监控、计量装置差错识别、交易结算前置信息校核等智能体实施。</w:t>
      </w:r>
    </w:p>
    <w:p w14:paraId="391C2EAD">
      <w:pPr>
        <w:rPr>
          <w:bCs/>
          <w:highlight w:val="none"/>
          <w:lang w:bidi="ar"/>
        </w:rPr>
      </w:pPr>
      <w:r>
        <w:rPr>
          <w:rFonts w:hint="eastAsia"/>
          <w:highlight w:val="none"/>
        </w:rPr>
        <w:t>通过本项目的建设，辅助基层员工日常工作、减轻基层业务负担，解决业务痛点、赋能业务提质增效</w:t>
      </w:r>
      <w:r>
        <w:rPr>
          <w:rFonts w:hint="eastAsia"/>
          <w:bCs/>
          <w:highlight w:val="none"/>
          <w:lang w:bidi="ar"/>
        </w:rPr>
        <w:t>。</w:t>
      </w:r>
    </w:p>
    <w:bookmarkEnd w:id="122"/>
    <w:p w14:paraId="09376995">
      <w:pPr>
        <w:pStyle w:val="2"/>
        <w:rPr>
          <w:highlight w:val="none"/>
        </w:rPr>
      </w:pPr>
      <w:bookmarkStart w:id="123" w:name="_Toc25952"/>
      <w:r>
        <w:rPr>
          <w:rFonts w:hint="eastAsia"/>
          <w:highlight w:val="none"/>
        </w:rPr>
        <w:t>功能建设方案</w:t>
      </w:r>
      <w:bookmarkEnd w:id="123"/>
    </w:p>
    <w:p w14:paraId="2DDA3E97">
      <w:pPr>
        <w:pStyle w:val="3"/>
        <w:rPr>
          <w:highlight w:val="none"/>
        </w:rPr>
      </w:pPr>
      <w:bookmarkStart w:id="124" w:name="_Toc375"/>
      <w:bookmarkStart w:id="125" w:name="_Toc13400"/>
      <w:bookmarkStart w:id="126" w:name="_Toc4279"/>
      <w:r>
        <w:rPr>
          <w:highlight w:val="none"/>
        </w:rPr>
        <w:t>统一问答入口建设</w:t>
      </w:r>
      <w:bookmarkEnd w:id="124"/>
      <w:bookmarkEnd w:id="125"/>
    </w:p>
    <w:p w14:paraId="289FE8F2">
      <w:pPr>
        <w:pStyle w:val="4"/>
        <w:rPr>
          <w:highlight w:val="none"/>
        </w:rPr>
      </w:pPr>
      <w:bookmarkStart w:id="127" w:name="_Toc26731"/>
      <w:r>
        <w:rPr>
          <w:highlight w:val="none"/>
        </w:rPr>
        <w:t>互动会话建立</w:t>
      </w:r>
      <w:bookmarkEnd w:id="127"/>
    </w:p>
    <w:p w14:paraId="19B84756">
      <w:pPr>
        <w:rPr>
          <w:highlight w:val="none"/>
        </w:rPr>
      </w:pPr>
      <w:r>
        <w:rPr>
          <w:rFonts w:hint="eastAsia"/>
          <w:highlight w:val="none"/>
        </w:rPr>
        <w:t>支持界面</w:t>
      </w:r>
      <w:r>
        <w:rPr>
          <w:highlight w:val="none"/>
        </w:rPr>
        <w:t>上的“创建会话”按钮或链接进入会话创建流程</w:t>
      </w:r>
      <w:r>
        <w:rPr>
          <w:rFonts w:hint="eastAsia"/>
          <w:highlight w:val="none"/>
        </w:rPr>
        <w:t>；支持空白会话窗口的输入或</w:t>
      </w:r>
      <w:r>
        <w:rPr>
          <w:highlight w:val="none"/>
        </w:rPr>
        <w:t>粘贴文本内容；系统即时响应，建立问答会话为用户分配一个唯一的会话ID，并通过意图识别出用户问题类型，调用相应的服务进行响应。</w:t>
      </w:r>
    </w:p>
    <w:p w14:paraId="4D95634A">
      <w:pPr>
        <w:pStyle w:val="4"/>
        <w:rPr>
          <w:highlight w:val="none"/>
        </w:rPr>
      </w:pPr>
      <w:bookmarkStart w:id="128" w:name="_Toc17459"/>
      <w:r>
        <w:rPr>
          <w:highlight w:val="none"/>
        </w:rPr>
        <w:t>问题引导</w:t>
      </w:r>
      <w:bookmarkEnd w:id="128"/>
    </w:p>
    <w:p w14:paraId="770EFECC">
      <w:pPr>
        <w:rPr>
          <w:highlight w:val="none"/>
        </w:rPr>
      </w:pPr>
      <w:r>
        <w:rPr>
          <w:rFonts w:hint="eastAsia"/>
          <w:highlight w:val="none"/>
        </w:rPr>
        <w:t>支持</w:t>
      </w:r>
      <w:r>
        <w:rPr>
          <w:highlight w:val="none"/>
        </w:rPr>
        <w:t>自动分析问题的语义和上下文，识别出关键信息和潜在意图，随后以自然、友好的方式向用户提出引导性问题，帮助用户逐步细化问题描述。</w:t>
      </w:r>
    </w:p>
    <w:p w14:paraId="1551CE0D">
      <w:pPr>
        <w:pStyle w:val="4"/>
        <w:rPr>
          <w:highlight w:val="none"/>
        </w:rPr>
      </w:pPr>
      <w:bookmarkStart w:id="129" w:name="_Toc30723"/>
      <w:r>
        <w:rPr>
          <w:highlight w:val="none"/>
        </w:rPr>
        <w:t>问题推荐</w:t>
      </w:r>
      <w:bookmarkEnd w:id="129"/>
    </w:p>
    <w:p w14:paraId="7E5A7899">
      <w:pPr>
        <w:rPr>
          <w:highlight w:val="none"/>
        </w:rPr>
      </w:pPr>
      <w:r>
        <w:rPr>
          <w:highlight w:val="none"/>
        </w:rPr>
        <w:t>基于用户的历史交互数据、兴趣偏好以及当前会话内容，</w:t>
      </w:r>
      <w:r>
        <w:rPr>
          <w:rFonts w:hint="eastAsia"/>
          <w:highlight w:val="none"/>
        </w:rPr>
        <w:t>支持问题建议。</w:t>
      </w:r>
      <w:r>
        <w:rPr>
          <w:highlight w:val="none"/>
        </w:rPr>
        <w:t>通过深度学习算法和数据挖掘技术，分析用户的行为模式和知识需求，预测用户可能感兴趣或需要进一步了解的问题</w:t>
      </w:r>
      <w:r>
        <w:rPr>
          <w:rFonts w:hint="eastAsia"/>
          <w:highlight w:val="none"/>
        </w:rPr>
        <w:t>。</w:t>
      </w:r>
    </w:p>
    <w:p w14:paraId="6FD18867">
      <w:pPr>
        <w:pStyle w:val="4"/>
        <w:rPr>
          <w:highlight w:val="none"/>
        </w:rPr>
      </w:pPr>
      <w:bookmarkStart w:id="130" w:name="_Toc14726"/>
      <w:r>
        <w:rPr>
          <w:highlight w:val="none"/>
        </w:rPr>
        <w:t>多轮会话</w:t>
      </w:r>
      <w:bookmarkEnd w:id="130"/>
    </w:p>
    <w:p w14:paraId="546ADD50">
      <w:pPr>
        <w:rPr>
          <w:highlight w:val="none"/>
        </w:rPr>
      </w:pPr>
      <w:r>
        <w:rPr>
          <w:highlight w:val="none"/>
        </w:rPr>
        <w:t>支持与用户进行连续、连贯的对话交互的能力。多轮会话能够根据用户的输入和上下文信息，动态调整对话策略和回答内容。在多轮会话中，系统会实时记录对话历史，包括用户的提问、系统的回答以及用户的反馈等信息，并将这些信息作为后续回答的依据。多轮会话功能能够更好地满足用户复杂问题的解答需求，还能模拟人类对话的逻辑性和连贯性，提升用户对人工智能系统的信任度和接受度。</w:t>
      </w:r>
    </w:p>
    <w:p w14:paraId="22B936AF">
      <w:pPr>
        <w:pStyle w:val="4"/>
        <w:rPr>
          <w:highlight w:val="none"/>
        </w:rPr>
      </w:pPr>
      <w:bookmarkStart w:id="131" w:name="_Toc1750"/>
      <w:r>
        <w:rPr>
          <w:highlight w:val="none"/>
        </w:rPr>
        <w:t>知识收藏</w:t>
      </w:r>
      <w:bookmarkEnd w:id="131"/>
    </w:p>
    <w:p w14:paraId="36738B47">
      <w:pPr>
        <w:rPr>
          <w:highlight w:val="none"/>
        </w:rPr>
      </w:pPr>
      <w:r>
        <w:rPr>
          <w:highlight w:val="none"/>
        </w:rPr>
        <w:t>支持用户在与系统的交互过程中，将感兴趣的知识内容或问答记录标记为收藏项。用户可通过点击收藏按钮，将特定的知识片段、问答内容等保存到个人收藏库中。</w:t>
      </w:r>
    </w:p>
    <w:p w14:paraId="09B2E303">
      <w:pPr>
        <w:pStyle w:val="4"/>
        <w:rPr>
          <w:highlight w:val="none"/>
        </w:rPr>
      </w:pPr>
      <w:bookmarkStart w:id="132" w:name="_Toc12107"/>
      <w:r>
        <w:rPr>
          <w:highlight w:val="none"/>
        </w:rPr>
        <w:t>问答反馈</w:t>
      </w:r>
      <w:bookmarkEnd w:id="132"/>
    </w:p>
    <w:p w14:paraId="2EBB90C1">
      <w:pPr>
        <w:rPr>
          <w:highlight w:val="none"/>
        </w:rPr>
      </w:pPr>
      <w:r>
        <w:rPr>
          <w:rFonts w:hint="eastAsia"/>
          <w:highlight w:val="none"/>
        </w:rPr>
        <w:t>支持</w:t>
      </w:r>
      <w:r>
        <w:rPr>
          <w:highlight w:val="none"/>
        </w:rPr>
        <w:t>用户对系统的回答质量、准确性、满意度等方面进行评价和反馈。用户可以在每次问答结束后，通过点赞、点踩或输入具体的反馈意见，来表达对系统回答的感受。系统会实时收集用户的反馈信息，并将其作为优化算法、改进知识库和提升服务质量的重要依据。</w:t>
      </w:r>
    </w:p>
    <w:p w14:paraId="6CAD0B76">
      <w:pPr>
        <w:pStyle w:val="4"/>
        <w:rPr>
          <w:highlight w:val="none"/>
        </w:rPr>
      </w:pPr>
      <w:bookmarkStart w:id="133" w:name="_Toc29420"/>
      <w:r>
        <w:rPr>
          <w:highlight w:val="none"/>
        </w:rPr>
        <w:t>重新生成</w:t>
      </w:r>
      <w:bookmarkEnd w:id="133"/>
    </w:p>
    <w:p w14:paraId="459D956B">
      <w:pPr>
        <w:rPr>
          <w:highlight w:val="none"/>
        </w:rPr>
      </w:pPr>
      <w:r>
        <w:rPr>
          <w:highlight w:val="none"/>
        </w:rPr>
        <w:t>当用户对系统提供的回答不满意或需要进一步优化时，可以请求系统重新生成回答。用户点击【重新生成】后，系统会重新分析问题的语义和上下文，调用不同的算法或知识库资源，生成新的回答内容。重新生成为用户提供了一个快速调整回答的机会，还能帮助系统发现自身回答的不足之处，进一步优化算法和知识库。</w:t>
      </w:r>
    </w:p>
    <w:p w14:paraId="497A04E9">
      <w:pPr>
        <w:pStyle w:val="4"/>
        <w:rPr>
          <w:highlight w:val="none"/>
        </w:rPr>
      </w:pPr>
      <w:bookmarkStart w:id="134" w:name="_Toc26237"/>
      <w:r>
        <w:rPr>
          <w:highlight w:val="none"/>
        </w:rPr>
        <w:t>聊天记录</w:t>
      </w:r>
      <w:bookmarkEnd w:id="134"/>
    </w:p>
    <w:p w14:paraId="691B2CB8">
      <w:pPr>
        <w:rPr>
          <w:highlight w:val="none"/>
        </w:rPr>
      </w:pPr>
      <w:r>
        <w:rPr>
          <w:highlight w:val="none"/>
        </w:rPr>
        <w:t>支持为用户保存和管理交互历史。系统会自动记录用户与系统之间的每一次对话内容，包括用户的提问、系统的回答以及用户的反馈等信息，并按照时间顺序进行存储。用户可以随时查看和搜索聊天记录，方便回顾历史信息、跟踪问题解决进度或提取重要知识。</w:t>
      </w:r>
    </w:p>
    <w:p w14:paraId="528F7306">
      <w:pPr>
        <w:pStyle w:val="3"/>
        <w:rPr>
          <w:szCs w:val="22"/>
          <w:highlight w:val="none"/>
        </w:rPr>
      </w:pPr>
      <w:bookmarkStart w:id="135" w:name="_Toc12316"/>
      <w:bookmarkStart w:id="136" w:name="_Toc11547"/>
      <w:r>
        <w:rPr>
          <w:highlight w:val="none"/>
        </w:rPr>
        <w:t>智能体应用开发平台建设</w:t>
      </w:r>
      <w:bookmarkEnd w:id="135"/>
      <w:bookmarkEnd w:id="136"/>
    </w:p>
    <w:p w14:paraId="643C8166">
      <w:pPr>
        <w:rPr>
          <w:highlight w:val="none"/>
        </w:rPr>
      </w:pPr>
      <w:r>
        <w:rPr>
          <w:highlight w:val="none"/>
        </w:rPr>
        <w:t>智能体应用开发平台管理智能体从创建、发布、管理、删除的全过程。平台具备对接语料库、API、自动化流程管理等能力，可接入自定义数据集，丰富智能体知识背景，并支持通过API接口与其他系统对接。该平台将部署在广州计量自动化系统环境中，助力计量自动化系统能力升级。其主要模块包含以下3个：</w:t>
      </w:r>
      <w:r>
        <w:rPr>
          <w:rFonts w:hint="eastAsia"/>
          <w:highlight w:val="none"/>
        </w:rPr>
        <w:t>计量语料管理模块、Agent管理模块、自动化流程管理模块。</w:t>
      </w:r>
    </w:p>
    <w:p w14:paraId="003D0631">
      <w:pPr>
        <w:pStyle w:val="4"/>
        <w:rPr>
          <w:highlight w:val="none"/>
        </w:rPr>
      </w:pPr>
      <w:bookmarkStart w:id="137" w:name="_Toc1846"/>
      <w:r>
        <w:rPr>
          <w:highlight w:val="none"/>
        </w:rPr>
        <w:t>计量语料管理模块</w:t>
      </w:r>
      <w:bookmarkEnd w:id="137"/>
    </w:p>
    <w:p w14:paraId="40233B00">
      <w:pPr>
        <w:pStyle w:val="5"/>
        <w:rPr>
          <w:rFonts w:hint="eastAsia"/>
          <w:highlight w:val="none"/>
        </w:rPr>
      </w:pPr>
      <w:r>
        <w:rPr>
          <w:highlight w:val="none"/>
        </w:rPr>
        <w:t>文件管理</w:t>
      </w:r>
    </w:p>
    <w:p w14:paraId="229B477E">
      <w:pPr>
        <w:rPr>
          <w:highlight w:val="none"/>
        </w:rPr>
      </w:pPr>
      <w:r>
        <w:rPr>
          <w:highlight w:val="none"/>
        </w:rPr>
        <w:t>文件管理提供可视化界面，支持存储、维护所有与电力营销相关的文件和数据。该系统支持多种文件格式，包括但不限于PDF、Word等，确保所有文件都能被有效管理和访问。文件管理还提供属性标注及修改，可维护文件的层级、发文单位、发文时间等信息。</w:t>
      </w:r>
    </w:p>
    <w:p w14:paraId="3A12827E">
      <w:pPr>
        <w:pStyle w:val="5"/>
        <w:rPr>
          <w:rFonts w:hint="eastAsia"/>
          <w:highlight w:val="none"/>
        </w:rPr>
      </w:pPr>
      <w:r>
        <w:rPr>
          <w:highlight w:val="none"/>
        </w:rPr>
        <w:t>文件转换</w:t>
      </w:r>
    </w:p>
    <w:p w14:paraId="7324EDD1">
      <w:pPr>
        <w:rPr>
          <w:highlight w:val="none"/>
        </w:rPr>
      </w:pPr>
      <w:r>
        <w:rPr>
          <w:highlight w:val="none"/>
        </w:rPr>
        <w:t>文件转换支持用户将不同格式的文件转换为统一的PDF格式。转换后的PDF文件便于存储、共享和传输，为后续的文件解析、文本提取和数据分析提供了统一的数据格式</w:t>
      </w:r>
      <w:r>
        <w:rPr>
          <w:rFonts w:hint="eastAsia"/>
          <w:highlight w:val="none"/>
        </w:rPr>
        <w:t>，从而</w:t>
      </w:r>
      <w:r>
        <w:rPr>
          <w:highlight w:val="none"/>
        </w:rPr>
        <w:t>提高整个知识管理流程的效率和灵活性。</w:t>
      </w:r>
    </w:p>
    <w:p w14:paraId="6AC46728">
      <w:pPr>
        <w:pStyle w:val="5"/>
        <w:rPr>
          <w:rFonts w:hint="eastAsia"/>
          <w:highlight w:val="none"/>
        </w:rPr>
      </w:pPr>
      <w:r>
        <w:rPr>
          <w:highlight w:val="none"/>
        </w:rPr>
        <w:t>文件解析</w:t>
      </w:r>
    </w:p>
    <w:p w14:paraId="0BB649AB">
      <w:pPr>
        <w:rPr>
          <w:highlight w:val="none"/>
        </w:rPr>
      </w:pPr>
      <w:r>
        <w:rPr>
          <w:highlight w:val="none"/>
        </w:rPr>
        <w:t>支持自动读取和理解文件内容，提取关键信息和数据。支持识别和解析图片、布局以及数学公式等复杂元素。通过运用先进的自然语言处理和OCR技术，</w:t>
      </w:r>
      <w:r>
        <w:rPr>
          <w:rFonts w:hint="eastAsia"/>
          <w:highlight w:val="none"/>
        </w:rPr>
        <w:t>在</w:t>
      </w:r>
      <w:r>
        <w:rPr>
          <w:highlight w:val="none"/>
        </w:rPr>
        <w:t>文档中抽取出结构化数据，为后续的数据分析和知识生成提供高质量的原始信息。</w:t>
      </w:r>
    </w:p>
    <w:p w14:paraId="6B34DA65">
      <w:pPr>
        <w:pStyle w:val="5"/>
        <w:rPr>
          <w:rFonts w:hint="eastAsia"/>
          <w:highlight w:val="none"/>
        </w:rPr>
      </w:pPr>
      <w:r>
        <w:rPr>
          <w:highlight w:val="none"/>
        </w:rPr>
        <w:t>文本预处理</w:t>
      </w:r>
    </w:p>
    <w:p w14:paraId="65AB3426">
      <w:pPr>
        <w:rPr>
          <w:highlight w:val="none"/>
        </w:rPr>
      </w:pPr>
      <w:r>
        <w:rPr>
          <w:rFonts w:hint="eastAsia"/>
          <w:highlight w:val="none"/>
        </w:rPr>
        <w:t>支持文本预处理，</w:t>
      </w:r>
      <w:r>
        <w:rPr>
          <w:highlight w:val="none"/>
        </w:rPr>
        <w:t>针对不同类型文本，包括去除无关信息、处理特殊符号、标准化格式等，统一管理在扩展的规则库中。在文本预处理过程中，管理人员可以在规则页面根据文本类型选择规则或由系统自动选择和执行新增的清洗规则。</w:t>
      </w:r>
    </w:p>
    <w:p w14:paraId="73FC7F87">
      <w:pPr>
        <w:pStyle w:val="5"/>
        <w:rPr>
          <w:rFonts w:hint="eastAsia"/>
          <w:highlight w:val="none"/>
        </w:rPr>
      </w:pPr>
      <w:r>
        <w:rPr>
          <w:highlight w:val="none"/>
        </w:rPr>
        <w:t>文件切片</w:t>
      </w:r>
    </w:p>
    <w:p w14:paraId="38B54332">
      <w:pPr>
        <w:rPr>
          <w:highlight w:val="none"/>
        </w:rPr>
      </w:pPr>
      <w:r>
        <w:rPr>
          <w:highlight w:val="none"/>
        </w:rPr>
        <w:t>支持依据不同的切分策略将文档内容进行精细划分。根据预设的规则，对文档进行自动切分。通过文件切片，将文档拆分成小片段，便于系统快速定位所需知识片段信息，</w:t>
      </w:r>
      <w:r>
        <w:rPr>
          <w:rFonts w:hint="eastAsia"/>
          <w:highlight w:val="none"/>
        </w:rPr>
        <w:t>从而</w:t>
      </w:r>
      <w:r>
        <w:rPr>
          <w:highlight w:val="none"/>
        </w:rPr>
        <w:t>满足日常工作中的即时查询需求。</w:t>
      </w:r>
    </w:p>
    <w:p w14:paraId="1CDFB766">
      <w:pPr>
        <w:pStyle w:val="5"/>
        <w:rPr>
          <w:rFonts w:hint="eastAsia"/>
          <w:highlight w:val="none"/>
        </w:rPr>
      </w:pPr>
      <w:r>
        <w:rPr>
          <w:highlight w:val="none"/>
        </w:rPr>
        <w:t>文件向量化</w:t>
      </w:r>
    </w:p>
    <w:p w14:paraId="4D8B7C8D">
      <w:pPr>
        <w:rPr>
          <w:highlight w:val="none"/>
        </w:rPr>
      </w:pPr>
      <w:r>
        <w:rPr>
          <w:rFonts w:hint="eastAsia"/>
          <w:highlight w:val="none"/>
        </w:rPr>
        <w:t>支持</w:t>
      </w:r>
      <w:r>
        <w:rPr>
          <w:highlight w:val="none"/>
        </w:rPr>
        <w:t>文件向量化将文本数据转换为数值向量，以便于机器学习模型进行处理。通过自然语言处理技术，将文本转换为可以进行数学运算的向量表示。向量化后的文件可以用于各种机器学习任务，如分类、聚类和相似性搜索。</w:t>
      </w:r>
    </w:p>
    <w:p w14:paraId="7B360569">
      <w:pPr>
        <w:pStyle w:val="5"/>
        <w:rPr>
          <w:rFonts w:hint="eastAsia"/>
          <w:highlight w:val="none"/>
        </w:rPr>
      </w:pPr>
      <w:r>
        <w:rPr>
          <w:highlight w:val="none"/>
        </w:rPr>
        <w:t>问答知识生成</w:t>
      </w:r>
    </w:p>
    <w:p w14:paraId="627A8554">
      <w:pPr>
        <w:rPr>
          <w:kern w:val="0"/>
          <w:sz w:val="32"/>
          <w:szCs w:val="32"/>
          <w:highlight w:val="none"/>
        </w:rPr>
      </w:pPr>
      <w:r>
        <w:rPr>
          <w:highlight w:val="none"/>
        </w:rPr>
        <w:t>支持对文档自动批量生成问答对知识，通过智能算法对文档内容进行分析和提取关键信息，将其转化为问题和相应的答案。如果对其质量不满意，支持重试生成。</w:t>
      </w:r>
    </w:p>
    <w:p w14:paraId="1159CED8">
      <w:pPr>
        <w:pStyle w:val="5"/>
        <w:rPr>
          <w:rFonts w:hint="eastAsia"/>
          <w:highlight w:val="none"/>
        </w:rPr>
      </w:pPr>
      <w:r>
        <w:rPr>
          <w:highlight w:val="none"/>
        </w:rPr>
        <w:t>问答知识管理</w:t>
      </w:r>
    </w:p>
    <w:p w14:paraId="3D60FA74">
      <w:pPr>
        <w:rPr>
          <w:kern w:val="0"/>
          <w:sz w:val="32"/>
          <w:szCs w:val="32"/>
          <w:highlight w:val="none"/>
        </w:rPr>
      </w:pPr>
      <w:r>
        <w:rPr>
          <w:highlight w:val="none"/>
        </w:rPr>
        <w:t>问答知识管理负责维护和更新问答知识精准库，提供对自动生成的问答知识的审核校验，支持更新精准知识库中的问题和答案，以及添加新的问答对以覆盖更广泛的问题。支持用户反馈机制，以便根据用户的反馈不断优化知识库。</w:t>
      </w:r>
    </w:p>
    <w:p w14:paraId="4C7500A4">
      <w:pPr>
        <w:pStyle w:val="5"/>
        <w:rPr>
          <w:rFonts w:hint="eastAsia"/>
          <w:highlight w:val="none"/>
        </w:rPr>
      </w:pPr>
      <w:r>
        <w:rPr>
          <w:highlight w:val="none"/>
        </w:rPr>
        <w:t>数据权限管控</w:t>
      </w:r>
    </w:p>
    <w:p w14:paraId="3FA67EE0">
      <w:pPr>
        <w:rPr>
          <w:kern w:val="0"/>
          <w:sz w:val="32"/>
          <w:szCs w:val="32"/>
          <w:highlight w:val="none"/>
        </w:rPr>
      </w:pPr>
      <w:r>
        <w:rPr>
          <w:highlight w:val="none"/>
        </w:rPr>
        <w:t>通过设置不同的访问权限策略来控制谁可以访问哪些文件及知识数据，确保数据的安全性和合规性</w:t>
      </w:r>
      <w:r>
        <w:rPr>
          <w:rFonts w:hint="eastAsia"/>
          <w:highlight w:val="none"/>
        </w:rPr>
        <w:t>，</w:t>
      </w:r>
      <w:r>
        <w:rPr>
          <w:highlight w:val="none"/>
        </w:rPr>
        <w:t>保护公司及用户的敏感信息。管理员可以根据用户的组织等信息，设置相关访问权限。</w:t>
      </w:r>
    </w:p>
    <w:p w14:paraId="715E3568">
      <w:pPr>
        <w:pStyle w:val="4"/>
        <w:rPr>
          <w:highlight w:val="none"/>
        </w:rPr>
      </w:pPr>
      <w:bookmarkStart w:id="138" w:name="_Toc17207"/>
      <w:r>
        <w:rPr>
          <w:highlight w:val="none"/>
        </w:rPr>
        <w:t>Agent管理模块</w:t>
      </w:r>
      <w:bookmarkEnd w:id="138"/>
    </w:p>
    <w:p w14:paraId="4633D569">
      <w:pPr>
        <w:pStyle w:val="5"/>
        <w:rPr>
          <w:rFonts w:hint="eastAsia"/>
          <w:highlight w:val="none"/>
        </w:rPr>
      </w:pPr>
      <w:r>
        <w:rPr>
          <w:highlight w:val="none"/>
        </w:rPr>
        <w:t>智能体创建</w:t>
      </w:r>
    </w:p>
    <w:p w14:paraId="4D8EF615">
      <w:pPr>
        <w:rPr>
          <w:highlight w:val="none"/>
        </w:rPr>
      </w:pPr>
      <w:r>
        <w:rPr>
          <w:highlight w:val="none"/>
          <w:shd w:val="clear" w:color="auto" w:fill="FFFFFF"/>
        </w:rPr>
        <w:t>支持智能体的快速创建，用户可以定义智能体的基本属性，包括名称、功能描述、类型、图标等。</w:t>
      </w:r>
    </w:p>
    <w:p w14:paraId="008374C6">
      <w:pPr>
        <w:pStyle w:val="5"/>
        <w:rPr>
          <w:rFonts w:hint="eastAsia"/>
          <w:highlight w:val="none"/>
        </w:rPr>
      </w:pPr>
      <w:r>
        <w:rPr>
          <w:highlight w:val="none"/>
        </w:rPr>
        <w:t>智能体引用</w:t>
      </w:r>
    </w:p>
    <w:p w14:paraId="4E238E0B">
      <w:pPr>
        <w:rPr>
          <w:highlight w:val="none"/>
        </w:rPr>
      </w:pPr>
      <w:r>
        <w:rPr>
          <w:highlight w:val="none"/>
        </w:rPr>
        <w:t>支持对智能体引入外部知识库及插件。知</w:t>
      </w:r>
      <w:r>
        <w:rPr>
          <w:highlight w:val="none"/>
          <w:shd w:val="clear" w:color="auto" w:fill="FFFFFF"/>
        </w:rPr>
        <w:t>识库引入允许用户将外部知识库（如FAQ、文档库等）导入智能体，通过语义匹配技术，为智能体提供丰富的背景知识，增强其回答的准确性和深度；插件引入支持用户根据需求扩展智能体能力。</w:t>
      </w:r>
    </w:p>
    <w:p w14:paraId="450D2C17">
      <w:pPr>
        <w:pStyle w:val="5"/>
        <w:rPr>
          <w:rFonts w:hint="eastAsia"/>
          <w:highlight w:val="none"/>
        </w:rPr>
      </w:pPr>
      <w:r>
        <w:rPr>
          <w:highlight w:val="none"/>
        </w:rPr>
        <w:t>问答记录</w:t>
      </w:r>
    </w:p>
    <w:p w14:paraId="25614978">
      <w:pPr>
        <w:rPr>
          <w:highlight w:val="none"/>
        </w:rPr>
      </w:pPr>
      <w:r>
        <w:rPr>
          <w:highlight w:val="none"/>
          <w:shd w:val="clear" w:color="auto" w:fill="FFFFFF"/>
        </w:rPr>
        <w:t>支持记录智能体与用户之间的交互历史。</w:t>
      </w:r>
      <w:r>
        <w:rPr>
          <w:rFonts w:hint="eastAsia"/>
          <w:highlight w:val="none"/>
          <w:shd w:val="clear" w:color="auto" w:fill="FFFFFF"/>
        </w:rPr>
        <w:t>支持</w:t>
      </w:r>
      <w:r>
        <w:rPr>
          <w:highlight w:val="none"/>
          <w:shd w:val="clear" w:color="auto" w:fill="FFFFFF"/>
        </w:rPr>
        <w:t>保存每一次对话的上下文、用户问题、智能体回答以及时间戳等信息。支持按用户、时间、问题类型等维度进行分类查询和导出，为智能体的持续改进提供数据支持。</w:t>
      </w:r>
    </w:p>
    <w:p w14:paraId="204C55A4">
      <w:pPr>
        <w:pStyle w:val="5"/>
        <w:rPr>
          <w:rFonts w:hint="eastAsia"/>
          <w:highlight w:val="none"/>
        </w:rPr>
      </w:pPr>
      <w:r>
        <w:rPr>
          <w:highlight w:val="none"/>
        </w:rPr>
        <w:t>反馈处理</w:t>
      </w:r>
    </w:p>
    <w:p w14:paraId="2B7E2E46">
      <w:pPr>
        <w:rPr>
          <w:highlight w:val="none"/>
        </w:rPr>
      </w:pPr>
      <w:r>
        <w:rPr>
          <w:highlight w:val="none"/>
          <w:shd w:val="clear" w:color="auto" w:fill="FFFFFF"/>
        </w:rPr>
        <w:t>系统会自动收集智能体的反馈信息，并对用户不满意的回答进行调整，以提高回答准确性。</w:t>
      </w:r>
    </w:p>
    <w:p w14:paraId="22C20807">
      <w:pPr>
        <w:pStyle w:val="5"/>
        <w:rPr>
          <w:rFonts w:hint="eastAsia"/>
          <w:highlight w:val="none"/>
        </w:rPr>
      </w:pPr>
      <w:r>
        <w:rPr>
          <w:highlight w:val="none"/>
        </w:rPr>
        <w:t>智能体使用统计</w:t>
      </w:r>
    </w:p>
    <w:p w14:paraId="08BAAACB">
      <w:pPr>
        <w:rPr>
          <w:highlight w:val="none"/>
        </w:rPr>
      </w:pPr>
      <w:r>
        <w:rPr>
          <w:highlight w:val="none"/>
          <w:shd w:val="clear" w:color="auto" w:fill="FFFFFF"/>
        </w:rPr>
        <w:t>支持监控和分析智能体的使用情况，</w:t>
      </w:r>
      <w:r>
        <w:rPr>
          <w:rFonts w:hint="eastAsia"/>
          <w:highlight w:val="none"/>
          <w:shd w:val="clear" w:color="auto" w:fill="FFFFFF"/>
        </w:rPr>
        <w:t>支持</w:t>
      </w:r>
      <w:r>
        <w:rPr>
          <w:highlight w:val="none"/>
          <w:shd w:val="clear" w:color="auto" w:fill="FFFFFF"/>
        </w:rPr>
        <w:t>实时收集智能体的调用次数、响应时间、点赞、点踩等关键指标，并生成详细的统计报表。通过调用次数统计，可以了解智能体在不同时间段的使用频率；通过响应时间分析，可以发现性能瓶颈并优化。</w:t>
      </w:r>
    </w:p>
    <w:p w14:paraId="7C36F4B3">
      <w:pPr>
        <w:pStyle w:val="5"/>
        <w:rPr>
          <w:rFonts w:hint="eastAsia"/>
          <w:highlight w:val="none"/>
        </w:rPr>
      </w:pPr>
      <w:r>
        <w:rPr>
          <w:highlight w:val="none"/>
        </w:rPr>
        <w:t>智能体发布及停用</w:t>
      </w:r>
    </w:p>
    <w:p w14:paraId="635677C1">
      <w:pPr>
        <w:rPr>
          <w:highlight w:val="none"/>
        </w:rPr>
      </w:pPr>
      <w:r>
        <w:rPr>
          <w:highlight w:val="none"/>
        </w:rPr>
        <w:t>支持对智能体的发布及停用。</w:t>
      </w:r>
      <w:r>
        <w:rPr>
          <w:highlight w:val="none"/>
          <w:shd w:val="clear" w:color="auto" w:fill="FFFFFF"/>
        </w:rPr>
        <w:t>发布：用户将调试完成的智能体正式上线，确保智能体顺利运行。停用：用于下线不再需要或性能不佳的智能体。</w:t>
      </w:r>
    </w:p>
    <w:p w14:paraId="073D035B">
      <w:pPr>
        <w:pStyle w:val="4"/>
        <w:rPr>
          <w:highlight w:val="none"/>
        </w:rPr>
      </w:pPr>
      <w:bookmarkStart w:id="139" w:name="_Toc29621"/>
      <w:r>
        <w:rPr>
          <w:highlight w:val="none"/>
        </w:rPr>
        <w:t>自动化流程管理模块</w:t>
      </w:r>
      <w:bookmarkEnd w:id="139"/>
    </w:p>
    <w:p w14:paraId="4AB65E2C">
      <w:pPr>
        <w:pStyle w:val="5"/>
        <w:rPr>
          <w:rFonts w:hint="eastAsia"/>
          <w:highlight w:val="none"/>
        </w:rPr>
      </w:pPr>
      <w:r>
        <w:rPr>
          <w:highlight w:val="none"/>
        </w:rPr>
        <w:t>自动化设计器</w:t>
      </w:r>
    </w:p>
    <w:p w14:paraId="5147ACF4">
      <w:pPr>
        <w:pStyle w:val="6"/>
        <w:rPr>
          <w:highlight w:val="none"/>
        </w:rPr>
      </w:pPr>
      <w:r>
        <w:rPr>
          <w:highlight w:val="none"/>
        </w:rPr>
        <w:t>流程创建</w:t>
      </w:r>
      <w:r>
        <w:rPr>
          <w:highlight w:val="none"/>
        </w:rPr>
        <w:tab/>
      </w:r>
    </w:p>
    <w:p w14:paraId="45C2E6DB">
      <w:pPr>
        <w:rPr>
          <w:highlight w:val="none"/>
        </w:rPr>
      </w:pPr>
      <w:r>
        <w:rPr>
          <w:highlight w:val="none"/>
        </w:rPr>
        <w:t>支持机器人流程创建，填写流程信息包括流程id、流程名称、描述、创建人、创建时间等。</w:t>
      </w:r>
    </w:p>
    <w:p w14:paraId="611F2DB5">
      <w:pPr>
        <w:pStyle w:val="6"/>
        <w:rPr>
          <w:highlight w:val="none"/>
        </w:rPr>
      </w:pPr>
      <w:r>
        <w:rPr>
          <w:highlight w:val="none"/>
        </w:rPr>
        <w:t>流程设计</w:t>
      </w:r>
      <w:r>
        <w:rPr>
          <w:highlight w:val="none"/>
        </w:rPr>
        <w:tab/>
      </w:r>
    </w:p>
    <w:p w14:paraId="042963E8">
      <w:pPr>
        <w:rPr>
          <w:highlight w:val="none"/>
        </w:rPr>
      </w:pPr>
      <w:r>
        <w:rPr>
          <w:rFonts w:hint="eastAsia"/>
          <w:highlight w:val="none"/>
        </w:rPr>
        <w:t>支持</w:t>
      </w:r>
      <w:r>
        <w:rPr>
          <w:highlight w:val="none"/>
        </w:rPr>
        <w:t>采用可视化模式，通过拖拉拽组件及配置参数的方式实现机器人流程设计。可视化流程设计由功能组件、设计画布及属性设置三大部分组成。</w:t>
      </w:r>
    </w:p>
    <w:p w14:paraId="42EA6504">
      <w:pPr>
        <w:pStyle w:val="6"/>
        <w:rPr>
          <w:highlight w:val="none"/>
        </w:rPr>
      </w:pPr>
      <w:r>
        <w:rPr>
          <w:highlight w:val="none"/>
          <w:lang w:val="sv"/>
        </w:rPr>
        <w:t>流程发布</w:t>
      </w:r>
    </w:p>
    <w:p w14:paraId="35322AF6">
      <w:pPr>
        <w:rPr>
          <w:highlight w:val="none"/>
        </w:rPr>
      </w:pPr>
      <w:r>
        <w:rPr>
          <w:highlight w:val="none"/>
        </w:rPr>
        <w:t>业务流程设计完成后，需要将业务流程文件打包导出成机器人能够执行的包，支持发布到管理控制中心，记录流程版本号。</w:t>
      </w:r>
    </w:p>
    <w:p w14:paraId="60A6F768">
      <w:pPr>
        <w:pStyle w:val="6"/>
        <w:rPr>
          <w:highlight w:val="none"/>
          <w:lang w:val="sv"/>
        </w:rPr>
      </w:pPr>
      <w:r>
        <w:rPr>
          <w:highlight w:val="none"/>
          <w:lang w:val="sv"/>
        </w:rPr>
        <w:t>版本控制</w:t>
      </w:r>
      <w:r>
        <w:rPr>
          <w:highlight w:val="none"/>
          <w:lang w:val="sv"/>
        </w:rPr>
        <w:tab/>
      </w:r>
    </w:p>
    <w:p w14:paraId="006E3B09">
      <w:pPr>
        <w:rPr>
          <w:highlight w:val="none"/>
        </w:rPr>
      </w:pPr>
      <w:r>
        <w:rPr>
          <w:highlight w:val="none"/>
        </w:rPr>
        <w:t>通过版本控制记录流程文件内容的变化，查看版本的修订情况。可对修改的流程文件提交形成新的版本。</w:t>
      </w:r>
    </w:p>
    <w:p w14:paraId="1FDB6B1D">
      <w:pPr>
        <w:pStyle w:val="5"/>
        <w:rPr>
          <w:rFonts w:hint="eastAsia"/>
          <w:highlight w:val="none"/>
        </w:rPr>
      </w:pPr>
      <w:r>
        <w:rPr>
          <w:highlight w:val="none"/>
        </w:rPr>
        <w:t>自动化控制器</w:t>
      </w:r>
    </w:p>
    <w:p w14:paraId="3FA8FCC5">
      <w:pPr>
        <w:pStyle w:val="6"/>
        <w:rPr>
          <w:highlight w:val="none"/>
          <w:lang w:val="sv"/>
        </w:rPr>
      </w:pPr>
      <w:r>
        <w:rPr>
          <w:highlight w:val="none"/>
          <w:lang w:val="sv"/>
        </w:rPr>
        <w:t>机器人管理</w:t>
      </w:r>
    </w:p>
    <w:p w14:paraId="50F5F09D">
      <w:pPr>
        <w:rPr>
          <w:highlight w:val="none"/>
        </w:rPr>
      </w:pPr>
      <w:r>
        <w:rPr>
          <w:highlight w:val="none"/>
        </w:rPr>
        <w:t>实现机器人查询、新增、编辑及删除等操作，机器人信息包括编号、名称、用户名、设备名称、管理员、状态等。支持查看机器人部署的业务流程，并远程启动或者停止已连接至管理端的机器人上所部署的业务流程。</w:t>
      </w:r>
    </w:p>
    <w:p w14:paraId="061C8D82">
      <w:pPr>
        <w:pStyle w:val="6"/>
        <w:rPr>
          <w:highlight w:val="none"/>
          <w:lang w:val="sv"/>
        </w:rPr>
      </w:pPr>
      <w:r>
        <w:rPr>
          <w:highlight w:val="none"/>
          <w:lang w:val="sv"/>
        </w:rPr>
        <w:t>流程控制</w:t>
      </w:r>
    </w:p>
    <w:p w14:paraId="106D58DF">
      <w:pPr>
        <w:rPr>
          <w:highlight w:val="none"/>
        </w:rPr>
      </w:pPr>
      <w:r>
        <w:rPr>
          <w:highlight w:val="none"/>
        </w:rPr>
        <w:t>提供统一的流程管控中心，实现如下功能需求：1）接收和展示设计器上传发布的流程；2）流程分发到机器人；3）流程启用、停用、删除操作。</w:t>
      </w:r>
    </w:p>
    <w:p w14:paraId="4DF70FAB">
      <w:pPr>
        <w:pStyle w:val="6"/>
        <w:rPr>
          <w:highlight w:val="none"/>
          <w:lang w:val="sv"/>
        </w:rPr>
      </w:pPr>
      <w:r>
        <w:rPr>
          <w:highlight w:val="none"/>
          <w:lang w:val="sv"/>
        </w:rPr>
        <w:t>任务管理</w:t>
      </w:r>
      <w:r>
        <w:rPr>
          <w:highlight w:val="none"/>
          <w:lang w:val="sv"/>
        </w:rPr>
        <w:tab/>
      </w:r>
    </w:p>
    <w:p w14:paraId="1A20F6DA">
      <w:pPr>
        <w:rPr>
          <w:highlight w:val="none"/>
        </w:rPr>
      </w:pPr>
      <w:r>
        <w:rPr>
          <w:highlight w:val="none"/>
        </w:rPr>
        <w:t>支持通过配置定时任务实现自动化流程设定时间点自动运行相关流程，实现无人值守操作。定时任务信息包括任务名称、机器人数量、运行流程、定时方式、执行时间、任务状态等。</w:t>
      </w:r>
    </w:p>
    <w:p w14:paraId="7DAAD9F7">
      <w:pPr>
        <w:pStyle w:val="6"/>
        <w:rPr>
          <w:highlight w:val="none"/>
          <w:lang w:val="sv"/>
        </w:rPr>
      </w:pPr>
      <w:r>
        <w:rPr>
          <w:highlight w:val="none"/>
          <w:lang w:val="sv"/>
        </w:rPr>
        <w:t>运行监控</w:t>
      </w:r>
    </w:p>
    <w:p w14:paraId="1E78D198">
      <w:pPr>
        <w:rPr>
          <w:highlight w:val="none"/>
        </w:rPr>
      </w:pPr>
      <w:r>
        <w:rPr>
          <w:highlight w:val="none"/>
        </w:rPr>
        <w:t>提供机器人运行日志记录和查看功能。机器人日志主要用于记录执行机器人执行流程所反馈的信息或者是异常等，日志信息包括进程id、流程id、机器人id、状态、执行时间、描述等；</w:t>
      </w:r>
    </w:p>
    <w:p w14:paraId="1C0D673F">
      <w:pPr>
        <w:pStyle w:val="5"/>
        <w:rPr>
          <w:rFonts w:hint="eastAsia"/>
          <w:highlight w:val="none"/>
        </w:rPr>
      </w:pPr>
      <w:r>
        <w:rPr>
          <w:highlight w:val="none"/>
        </w:rPr>
        <w:t>自动化机器人</w:t>
      </w:r>
    </w:p>
    <w:p w14:paraId="493EAA1D">
      <w:pPr>
        <w:pStyle w:val="6"/>
        <w:rPr>
          <w:highlight w:val="none"/>
          <w:lang w:val="sv"/>
        </w:rPr>
      </w:pPr>
      <w:r>
        <w:rPr>
          <w:highlight w:val="none"/>
          <w:lang w:val="sv"/>
        </w:rPr>
        <w:t>流程触发</w:t>
      </w:r>
      <w:r>
        <w:rPr>
          <w:highlight w:val="none"/>
          <w:lang w:val="sv"/>
        </w:rPr>
        <w:tab/>
      </w:r>
    </w:p>
    <w:p w14:paraId="0410E64B">
      <w:pPr>
        <w:rPr>
          <w:highlight w:val="none"/>
        </w:rPr>
      </w:pPr>
      <w:r>
        <w:rPr>
          <w:highlight w:val="none"/>
        </w:rPr>
        <w:t>支持本地机器人流程信息展示，包括流程id、流程名称、来源、版本、描述等。支持人工直接执行、定时任务2种方式执行流程。</w:t>
      </w:r>
    </w:p>
    <w:p w14:paraId="175F70DD">
      <w:pPr>
        <w:pStyle w:val="6"/>
        <w:rPr>
          <w:highlight w:val="none"/>
          <w:lang w:val="sv"/>
        </w:rPr>
      </w:pPr>
      <w:r>
        <w:rPr>
          <w:highlight w:val="none"/>
          <w:lang w:val="sv"/>
        </w:rPr>
        <w:t>流程执行</w:t>
      </w:r>
      <w:r>
        <w:rPr>
          <w:highlight w:val="none"/>
          <w:lang w:val="sv"/>
        </w:rPr>
        <w:tab/>
      </w:r>
    </w:p>
    <w:p w14:paraId="437988CE">
      <w:pPr>
        <w:rPr>
          <w:highlight w:val="none"/>
        </w:rPr>
      </w:pPr>
      <w:r>
        <w:rPr>
          <w:highlight w:val="none"/>
        </w:rPr>
        <w:t>支持选中流程库中的某个流程进行手动执行和终止。</w:t>
      </w:r>
    </w:p>
    <w:p w14:paraId="28821B5B">
      <w:pPr>
        <w:pStyle w:val="6"/>
        <w:rPr>
          <w:highlight w:val="none"/>
          <w:lang w:val="sv"/>
        </w:rPr>
      </w:pPr>
      <w:r>
        <w:rPr>
          <w:highlight w:val="none"/>
          <w:lang w:val="sv"/>
        </w:rPr>
        <w:t>执行记录</w:t>
      </w:r>
      <w:r>
        <w:rPr>
          <w:highlight w:val="none"/>
          <w:lang w:val="sv"/>
        </w:rPr>
        <w:tab/>
      </w:r>
    </w:p>
    <w:p w14:paraId="226047B4">
      <w:pPr>
        <w:rPr>
          <w:highlight w:val="none"/>
        </w:rPr>
      </w:pPr>
      <w:r>
        <w:rPr>
          <w:highlight w:val="none"/>
        </w:rPr>
        <w:t>展示机器人所有流程执行记录，记录信息包括流程id、流程名称、版本、执行状态等。对已执行的流程可以查看详细的日志，日志信息包括执行时间、执行流程节点、总共耗时等。支持对机器人的操作进行录屏。</w:t>
      </w:r>
    </w:p>
    <w:p w14:paraId="62AB8F78">
      <w:pPr>
        <w:pStyle w:val="6"/>
        <w:rPr>
          <w:highlight w:val="none"/>
          <w:lang w:val="sv"/>
        </w:rPr>
      </w:pPr>
      <w:r>
        <w:rPr>
          <w:highlight w:val="none"/>
          <w:lang w:val="sv"/>
        </w:rPr>
        <w:t>机器人设置</w:t>
      </w:r>
      <w:r>
        <w:rPr>
          <w:highlight w:val="none"/>
          <w:lang w:val="sv"/>
        </w:rPr>
        <w:tab/>
      </w:r>
    </w:p>
    <w:p w14:paraId="6AABC895">
      <w:pPr>
        <w:rPr>
          <w:highlight w:val="none"/>
        </w:rPr>
      </w:pPr>
      <w:r>
        <w:rPr>
          <w:highlight w:val="none"/>
        </w:rPr>
        <w:t>提供机器人基础设置和版本信息展示。基本设置包括插件路径、本地流程路径等。</w:t>
      </w:r>
    </w:p>
    <w:p w14:paraId="5B3ADBBC">
      <w:pPr>
        <w:pStyle w:val="3"/>
        <w:rPr>
          <w:szCs w:val="22"/>
          <w:highlight w:val="none"/>
        </w:rPr>
      </w:pPr>
      <w:bookmarkStart w:id="140" w:name="_Toc31591"/>
      <w:bookmarkStart w:id="141" w:name="_Toc20145"/>
      <w:r>
        <w:rPr>
          <w:highlight w:val="none"/>
        </w:rPr>
        <w:t>计量</w:t>
      </w:r>
      <w:r>
        <w:rPr>
          <w:rFonts w:hint="eastAsia"/>
          <w:highlight w:val="none"/>
        </w:rPr>
        <w:t>API</w:t>
      </w:r>
      <w:r>
        <w:rPr>
          <w:highlight w:val="none"/>
        </w:rPr>
        <w:t>套件</w:t>
      </w:r>
      <w:bookmarkEnd w:id="140"/>
      <w:bookmarkEnd w:id="141"/>
    </w:p>
    <w:p w14:paraId="7C0CB2CE">
      <w:pPr>
        <w:rPr>
          <w:highlight w:val="none"/>
        </w:rPr>
      </w:pPr>
      <w:r>
        <w:rPr>
          <w:highlight w:val="none"/>
        </w:rPr>
        <w:t>开发不同场景下精确对答API能力建设，实现对计量业务的问数精确化能力建设，本次建设主要针对计量自动化召测设置业务场景的智能化执行，低压远程停复电、指标监测、停电研判、采集链路监控</w:t>
      </w:r>
      <w:r>
        <w:rPr>
          <w:rFonts w:hint="eastAsia"/>
          <w:highlight w:val="none"/>
        </w:rPr>
        <w:t>、计量装置差错识别</w:t>
      </w:r>
      <w:r>
        <w:rPr>
          <w:highlight w:val="none"/>
        </w:rPr>
        <w:t>等几个场景的智能化问数能力建设。</w:t>
      </w:r>
      <w:r>
        <w:rPr>
          <w:rFonts w:hint="eastAsia"/>
          <w:szCs w:val="22"/>
          <w:highlight w:val="none"/>
        </w:rPr>
        <w:t>以下功能应包含配套的数据库表建设</w:t>
      </w:r>
      <w:r>
        <w:rPr>
          <w:szCs w:val="22"/>
          <w:highlight w:val="none"/>
        </w:rPr>
        <w:t>。</w:t>
      </w:r>
    </w:p>
    <w:p w14:paraId="0E347E2D">
      <w:pPr>
        <w:pStyle w:val="4"/>
        <w:rPr>
          <w:highlight w:val="none"/>
        </w:rPr>
      </w:pPr>
      <w:bookmarkStart w:id="142" w:name="_Toc1218"/>
      <w:r>
        <w:rPr>
          <w:rFonts w:hint="eastAsia"/>
          <w:highlight w:val="none"/>
        </w:rPr>
        <w:t>交易结算前置信息校核API</w:t>
      </w:r>
      <w:bookmarkEnd w:id="142"/>
    </w:p>
    <w:p w14:paraId="0ED94936">
      <w:pPr>
        <w:rPr>
          <w:highlight w:val="none"/>
        </w:rPr>
      </w:pPr>
      <w:r>
        <w:rPr>
          <w:highlight w:val="none"/>
        </w:rPr>
        <w:t>为适应大模型实现对</w:t>
      </w:r>
      <w:r>
        <w:rPr>
          <w:rFonts w:hint="eastAsia"/>
          <w:highlight w:val="none"/>
        </w:rPr>
        <w:t>交易结算前置信息校核</w:t>
      </w:r>
      <w:r>
        <w:rPr>
          <w:highlight w:val="none"/>
        </w:rPr>
        <w:t>能力建设，开发</w:t>
      </w:r>
      <w:r>
        <w:rPr>
          <w:rFonts w:hint="eastAsia"/>
          <w:highlight w:val="none"/>
        </w:rPr>
        <w:t>交易结算前置信息校核</w:t>
      </w:r>
      <w:r>
        <w:rPr>
          <w:highlight w:val="none"/>
        </w:rPr>
        <w:t>API。</w:t>
      </w:r>
    </w:p>
    <w:p w14:paraId="40DA4D52">
      <w:pPr>
        <w:rPr>
          <w:highlight w:val="none"/>
        </w:rPr>
      </w:pPr>
      <w:r>
        <w:rPr>
          <w:highlight w:val="none"/>
        </w:rPr>
        <w:t>对于</w:t>
      </w:r>
      <w:r>
        <w:rPr>
          <w:rFonts w:hint="eastAsia"/>
          <w:highlight w:val="none"/>
        </w:rPr>
        <w:t>交易结算前置信息校核</w:t>
      </w:r>
      <w:r>
        <w:rPr>
          <w:highlight w:val="none"/>
        </w:rPr>
        <w:t>智能体，</w:t>
      </w:r>
      <w:r>
        <w:rPr>
          <w:rFonts w:hint="eastAsia"/>
          <w:highlight w:val="none"/>
        </w:rPr>
        <w:t>支持</w:t>
      </w:r>
      <w:r>
        <w:rPr>
          <w:highlight w:val="none"/>
        </w:rPr>
        <w:t>用户意图识别，在业务层进行关键词解析与动态关联、数据鉴权、数据安全及系统支撑能力鉴定等功能后进行API智能编排。</w:t>
      </w:r>
    </w:p>
    <w:p w14:paraId="11D51F2E">
      <w:pPr>
        <w:rPr>
          <w:highlight w:val="none"/>
        </w:rPr>
      </w:pPr>
      <w:r>
        <w:rPr>
          <w:rFonts w:hint="eastAsia"/>
          <w:highlight w:val="none"/>
        </w:rPr>
        <w:t>根据交易结算前置信息校核场景需求，实现业务API开发工作。</w:t>
      </w:r>
    </w:p>
    <w:p w14:paraId="3819D9C4">
      <w:pPr>
        <w:pStyle w:val="4"/>
        <w:rPr>
          <w:highlight w:val="none"/>
        </w:rPr>
      </w:pPr>
      <w:bookmarkStart w:id="143" w:name="_Toc908"/>
      <w:r>
        <w:rPr>
          <w:highlight w:val="none"/>
        </w:rPr>
        <w:t>低压远程复电API</w:t>
      </w:r>
      <w:bookmarkEnd w:id="143"/>
    </w:p>
    <w:p w14:paraId="52C3F491">
      <w:pPr>
        <w:rPr>
          <w:highlight w:val="none"/>
        </w:rPr>
      </w:pPr>
      <w:r>
        <w:rPr>
          <w:highlight w:val="none"/>
        </w:rPr>
        <w:t>开发对计量低压远程复电API能力建设</w:t>
      </w:r>
      <w:r>
        <w:rPr>
          <w:rFonts w:hint="eastAsia"/>
          <w:highlight w:val="none"/>
        </w:rPr>
        <w:t>,</w:t>
      </w:r>
      <w:r>
        <w:rPr>
          <w:highlight w:val="none"/>
        </w:rPr>
        <w:t xml:space="preserve"> 实现对低压远程复电场景精确化能力建设</w:t>
      </w:r>
      <w:r>
        <w:rPr>
          <w:rFonts w:hint="eastAsia"/>
          <w:highlight w:val="none"/>
        </w:rPr>
        <w:t>。</w:t>
      </w:r>
    </w:p>
    <w:p w14:paraId="428A39A4">
      <w:pPr>
        <w:rPr>
          <w:highlight w:val="none"/>
        </w:rPr>
      </w:pPr>
      <w:r>
        <w:rPr>
          <w:highlight w:val="none"/>
        </w:rPr>
        <w:t>对于低压远程复电智能体，通过用户意图识别后，在业务层进行关键词解析与动态关联、数据鉴权、数据安全及系统支撑能力鉴定等功能后进行</w:t>
      </w:r>
      <w:r>
        <w:rPr>
          <w:rFonts w:hint="eastAsia"/>
          <w:highlight w:val="none"/>
        </w:rPr>
        <w:t>API</w:t>
      </w:r>
      <w:r>
        <w:rPr>
          <w:highlight w:val="none"/>
        </w:rPr>
        <w:t>智能编排。</w:t>
      </w:r>
    </w:p>
    <w:p w14:paraId="4BD20FAF">
      <w:pPr>
        <w:rPr>
          <w:highlight w:val="none"/>
        </w:rPr>
      </w:pPr>
      <w:r>
        <w:rPr>
          <w:rFonts w:hint="eastAsia"/>
          <w:highlight w:val="none"/>
        </w:rPr>
        <w:t>根据低压远程复电场景需求，实现业务API开发工作。</w:t>
      </w:r>
    </w:p>
    <w:p w14:paraId="54B094E0">
      <w:pPr>
        <w:pStyle w:val="4"/>
        <w:rPr>
          <w:highlight w:val="none"/>
        </w:rPr>
      </w:pPr>
      <w:bookmarkStart w:id="144" w:name="_Toc522"/>
      <w:r>
        <w:rPr>
          <w:highlight w:val="none"/>
        </w:rPr>
        <w:t>指标监测API</w:t>
      </w:r>
      <w:bookmarkEnd w:id="144"/>
    </w:p>
    <w:p w14:paraId="154C2939">
      <w:pPr>
        <w:rPr>
          <w:highlight w:val="none"/>
        </w:rPr>
      </w:pPr>
      <w:r>
        <w:rPr>
          <w:highlight w:val="none"/>
        </w:rPr>
        <w:t>开发对指标监测业务场景精确对答API能力建设</w:t>
      </w:r>
      <w:r>
        <w:rPr>
          <w:rFonts w:hint="eastAsia"/>
          <w:highlight w:val="none"/>
        </w:rPr>
        <w:t>，</w:t>
      </w:r>
      <w:r>
        <w:rPr>
          <w:highlight w:val="none"/>
        </w:rPr>
        <w:t>实现对计量业务的指标监测业务场景能力建设</w:t>
      </w:r>
      <w:r>
        <w:rPr>
          <w:rFonts w:hint="eastAsia"/>
          <w:highlight w:val="none"/>
        </w:rPr>
        <w:t>。</w:t>
      </w:r>
    </w:p>
    <w:p w14:paraId="25D62D00">
      <w:pPr>
        <w:rPr>
          <w:highlight w:val="none"/>
        </w:rPr>
      </w:pPr>
      <w:r>
        <w:rPr>
          <w:highlight w:val="none"/>
        </w:rPr>
        <w:t>对于指标监测智能体，通过用户意图识别后，在业务层进行关键词解析与动态关联、数据鉴权、数据安全及系统支撑能力鉴定等功能后进行api智能编排。</w:t>
      </w:r>
    </w:p>
    <w:p w14:paraId="248922CE">
      <w:pPr>
        <w:rPr>
          <w:highlight w:val="none"/>
        </w:rPr>
      </w:pPr>
      <w:r>
        <w:rPr>
          <w:rFonts w:hint="eastAsia"/>
          <w:highlight w:val="none"/>
        </w:rPr>
        <w:t>根据</w:t>
      </w:r>
      <w:r>
        <w:rPr>
          <w:highlight w:val="none"/>
        </w:rPr>
        <w:t>指标监测</w:t>
      </w:r>
      <w:r>
        <w:rPr>
          <w:rFonts w:hint="eastAsia"/>
          <w:highlight w:val="none"/>
        </w:rPr>
        <w:t>场景需求，实现业务API开发工作。</w:t>
      </w:r>
    </w:p>
    <w:p w14:paraId="3C090F74">
      <w:pPr>
        <w:pStyle w:val="4"/>
        <w:rPr>
          <w:highlight w:val="none"/>
        </w:rPr>
      </w:pPr>
      <w:bookmarkStart w:id="145" w:name="_Toc29612"/>
      <w:r>
        <w:rPr>
          <w:highlight w:val="none"/>
        </w:rPr>
        <w:t>停电研判API</w:t>
      </w:r>
      <w:bookmarkEnd w:id="145"/>
    </w:p>
    <w:p w14:paraId="42A2AE15">
      <w:pPr>
        <w:rPr>
          <w:highlight w:val="none"/>
        </w:rPr>
      </w:pPr>
      <w:r>
        <w:rPr>
          <w:highlight w:val="none"/>
        </w:rPr>
        <w:t>开发对</w:t>
      </w:r>
      <w:r>
        <w:rPr>
          <w:szCs w:val="22"/>
          <w:highlight w:val="none"/>
        </w:rPr>
        <w:t>停电研判</w:t>
      </w:r>
      <w:r>
        <w:rPr>
          <w:highlight w:val="none"/>
        </w:rPr>
        <w:t>API能力建设</w:t>
      </w:r>
      <w:r>
        <w:rPr>
          <w:rFonts w:hint="eastAsia"/>
          <w:highlight w:val="none"/>
        </w:rPr>
        <w:t>，</w:t>
      </w:r>
      <w:r>
        <w:rPr>
          <w:highlight w:val="none"/>
        </w:rPr>
        <w:t>实现对计量业务的</w:t>
      </w:r>
      <w:r>
        <w:rPr>
          <w:szCs w:val="22"/>
          <w:highlight w:val="none"/>
        </w:rPr>
        <w:t>停电研判场景</w:t>
      </w:r>
      <w:r>
        <w:rPr>
          <w:highlight w:val="none"/>
        </w:rPr>
        <w:t>能力建设，</w:t>
      </w:r>
    </w:p>
    <w:p w14:paraId="75FD2668">
      <w:pPr>
        <w:rPr>
          <w:highlight w:val="none"/>
        </w:rPr>
      </w:pPr>
      <w:r>
        <w:rPr>
          <w:highlight w:val="none"/>
        </w:rPr>
        <w:t>对于停电智能体，</w:t>
      </w:r>
      <w:r>
        <w:rPr>
          <w:rFonts w:hint="eastAsia"/>
          <w:highlight w:val="none"/>
        </w:rPr>
        <w:t>支持</w:t>
      </w:r>
      <w:r>
        <w:rPr>
          <w:highlight w:val="none"/>
        </w:rPr>
        <w:t>用户意图识别，在业务层进行关键词解析与动态关联、数据鉴权、数据安全及系统支撑能力鉴定等功能后进行</w:t>
      </w:r>
      <w:r>
        <w:rPr>
          <w:rFonts w:hint="eastAsia"/>
          <w:highlight w:val="none"/>
        </w:rPr>
        <w:t>API</w:t>
      </w:r>
      <w:r>
        <w:rPr>
          <w:highlight w:val="none"/>
        </w:rPr>
        <w:t>智能编排。</w:t>
      </w:r>
    </w:p>
    <w:p w14:paraId="0BB74843">
      <w:pPr>
        <w:rPr>
          <w:highlight w:val="none"/>
        </w:rPr>
      </w:pPr>
      <w:r>
        <w:rPr>
          <w:rFonts w:hint="eastAsia"/>
          <w:highlight w:val="none"/>
        </w:rPr>
        <w:t>根据</w:t>
      </w:r>
      <w:r>
        <w:rPr>
          <w:szCs w:val="22"/>
          <w:highlight w:val="none"/>
        </w:rPr>
        <w:t>停电研判</w:t>
      </w:r>
      <w:r>
        <w:rPr>
          <w:rFonts w:hint="eastAsia"/>
          <w:highlight w:val="none"/>
        </w:rPr>
        <w:t>场景需求，实现业务API开发工作。</w:t>
      </w:r>
    </w:p>
    <w:p w14:paraId="115BFC26">
      <w:pPr>
        <w:pStyle w:val="4"/>
        <w:rPr>
          <w:highlight w:val="none"/>
        </w:rPr>
      </w:pPr>
      <w:bookmarkStart w:id="146" w:name="_Toc32351"/>
      <w:r>
        <w:rPr>
          <w:highlight w:val="none"/>
        </w:rPr>
        <w:t>采集链路监控API</w:t>
      </w:r>
      <w:bookmarkEnd w:id="146"/>
    </w:p>
    <w:p w14:paraId="10E4EE10">
      <w:pPr>
        <w:rPr>
          <w:highlight w:val="none"/>
          <w:lang w:bidi="ar"/>
        </w:rPr>
      </w:pPr>
      <w:r>
        <w:rPr>
          <w:highlight w:val="none"/>
          <w:lang w:bidi="ar"/>
        </w:rPr>
        <w:t>开发采集链路监控API，实现对计量采集链路的智能化监测与运维能力建设。</w:t>
      </w:r>
    </w:p>
    <w:p w14:paraId="398D8E64">
      <w:pPr>
        <w:rPr>
          <w:highlight w:val="none"/>
        </w:rPr>
      </w:pPr>
      <w:r>
        <w:rPr>
          <w:highlight w:val="none"/>
        </w:rPr>
        <w:t>对于采集链路监控智能体，</w:t>
      </w:r>
      <w:r>
        <w:rPr>
          <w:rFonts w:hint="eastAsia"/>
          <w:highlight w:val="none"/>
        </w:rPr>
        <w:t>支持</w:t>
      </w:r>
      <w:r>
        <w:rPr>
          <w:highlight w:val="none"/>
        </w:rPr>
        <w:t>用户意图识别，在业务层进行关键词解析与动态关联、数据鉴权、数据安全及系统支撑能力鉴定等功能后进行</w:t>
      </w:r>
      <w:r>
        <w:rPr>
          <w:rFonts w:hint="eastAsia"/>
          <w:highlight w:val="none"/>
        </w:rPr>
        <w:t>API</w:t>
      </w:r>
      <w:r>
        <w:rPr>
          <w:highlight w:val="none"/>
        </w:rPr>
        <w:t>智能编排。</w:t>
      </w:r>
    </w:p>
    <w:p w14:paraId="069C5D1C">
      <w:pPr>
        <w:rPr>
          <w:highlight w:val="none"/>
        </w:rPr>
      </w:pPr>
      <w:r>
        <w:rPr>
          <w:rFonts w:hint="eastAsia"/>
          <w:highlight w:val="none"/>
        </w:rPr>
        <w:t>根据</w:t>
      </w:r>
      <w:r>
        <w:rPr>
          <w:highlight w:val="none"/>
          <w:lang w:bidi="ar"/>
        </w:rPr>
        <w:t>采集链路监控</w:t>
      </w:r>
      <w:r>
        <w:rPr>
          <w:rFonts w:hint="eastAsia"/>
          <w:highlight w:val="none"/>
        </w:rPr>
        <w:t>场景需求，实现业务API开发工作。</w:t>
      </w:r>
    </w:p>
    <w:p w14:paraId="37ACB94A">
      <w:pPr>
        <w:pStyle w:val="4"/>
        <w:rPr>
          <w:highlight w:val="none"/>
        </w:rPr>
      </w:pPr>
      <w:bookmarkStart w:id="147" w:name="_Toc2732"/>
      <w:r>
        <w:rPr>
          <w:rFonts w:hint="eastAsia"/>
          <w:highlight w:val="none"/>
        </w:rPr>
        <w:t>计量装置差错识别智能体</w:t>
      </w:r>
      <w:bookmarkEnd w:id="147"/>
    </w:p>
    <w:p w14:paraId="784D159C">
      <w:pPr>
        <w:rPr>
          <w:highlight w:val="none"/>
        </w:rPr>
      </w:pPr>
      <w:r>
        <w:rPr>
          <w:highlight w:val="none"/>
        </w:rPr>
        <w:t>开发计量装置差错</w:t>
      </w:r>
      <w:r>
        <w:rPr>
          <w:rFonts w:hint="eastAsia" w:ascii="Calibri" w:hAnsi="Calibri"/>
          <w:highlight w:val="none"/>
        </w:rPr>
        <w:t>识别</w:t>
      </w:r>
      <w:r>
        <w:rPr>
          <w:highlight w:val="none"/>
        </w:rPr>
        <w:t>API，实现对计量装置差错</w:t>
      </w:r>
      <w:r>
        <w:rPr>
          <w:rFonts w:hint="eastAsia" w:ascii="Calibri" w:hAnsi="Calibri"/>
          <w:highlight w:val="none"/>
        </w:rPr>
        <w:t>识别</w:t>
      </w:r>
      <w:r>
        <w:rPr>
          <w:highlight w:val="none"/>
        </w:rPr>
        <w:t>能力建设</w:t>
      </w:r>
      <w:r>
        <w:rPr>
          <w:rFonts w:hint="eastAsia"/>
          <w:highlight w:val="none"/>
        </w:rPr>
        <w:t>。</w:t>
      </w:r>
      <w:r>
        <w:rPr>
          <w:highlight w:val="none"/>
        </w:rPr>
        <w:t xml:space="preserve"> </w:t>
      </w:r>
    </w:p>
    <w:p w14:paraId="4042F7AF">
      <w:pPr>
        <w:rPr>
          <w:highlight w:val="none"/>
        </w:rPr>
      </w:pPr>
      <w:r>
        <w:rPr>
          <w:highlight w:val="none"/>
        </w:rPr>
        <w:t>对于计量装置差错智能体，</w:t>
      </w:r>
      <w:r>
        <w:rPr>
          <w:rFonts w:hint="eastAsia"/>
          <w:highlight w:val="none"/>
        </w:rPr>
        <w:t>支持</w:t>
      </w:r>
      <w:r>
        <w:rPr>
          <w:highlight w:val="none"/>
        </w:rPr>
        <w:t>用户意图识别，在业务层进行关键词解析与动态关联、数据鉴权、数据安全及系统支撑能力鉴定等功能后进行API智能编排。</w:t>
      </w:r>
    </w:p>
    <w:p w14:paraId="6424D1B5">
      <w:pPr>
        <w:rPr>
          <w:highlight w:val="none"/>
        </w:rPr>
      </w:pPr>
      <w:r>
        <w:rPr>
          <w:rFonts w:hint="eastAsia"/>
          <w:highlight w:val="none"/>
        </w:rPr>
        <w:t>根据</w:t>
      </w:r>
      <w:r>
        <w:rPr>
          <w:highlight w:val="none"/>
        </w:rPr>
        <w:t>计量装置差错</w:t>
      </w:r>
      <w:r>
        <w:rPr>
          <w:rFonts w:hint="eastAsia" w:ascii="Calibri" w:hAnsi="Calibri"/>
          <w:highlight w:val="none"/>
        </w:rPr>
        <w:t>识别</w:t>
      </w:r>
      <w:r>
        <w:rPr>
          <w:rFonts w:hint="eastAsia"/>
          <w:highlight w:val="none"/>
        </w:rPr>
        <w:t>场景需求，实现业务API开发工作。</w:t>
      </w:r>
    </w:p>
    <w:p w14:paraId="738E047D">
      <w:pPr>
        <w:pStyle w:val="2"/>
        <w:rPr>
          <w:highlight w:val="none"/>
        </w:rPr>
      </w:pPr>
      <w:bookmarkStart w:id="148" w:name="_Toc16135"/>
      <w:r>
        <w:rPr>
          <w:rFonts w:hint="eastAsia"/>
          <w:highlight w:val="none"/>
        </w:rPr>
        <w:t>项目实施方案</w:t>
      </w:r>
      <w:bookmarkEnd w:id="148"/>
    </w:p>
    <w:p w14:paraId="2A4F134B">
      <w:pPr>
        <w:pStyle w:val="3"/>
        <w:rPr>
          <w:highlight w:val="none"/>
        </w:rPr>
      </w:pPr>
      <w:bookmarkStart w:id="149" w:name="_Toc13483"/>
      <w:bookmarkStart w:id="150" w:name="_Toc15073"/>
      <w:r>
        <w:rPr>
          <w:highlight w:val="none"/>
        </w:rPr>
        <w:t>场景智能体实施</w:t>
      </w:r>
      <w:bookmarkEnd w:id="149"/>
      <w:bookmarkEnd w:id="150"/>
    </w:p>
    <w:p w14:paraId="36A3DCAB">
      <w:pPr>
        <w:pStyle w:val="4"/>
        <w:rPr>
          <w:highlight w:val="none"/>
        </w:rPr>
      </w:pPr>
      <w:bookmarkStart w:id="151" w:name="_Toc20097"/>
      <w:r>
        <w:rPr>
          <w:rFonts w:hint="eastAsia"/>
          <w:highlight w:val="none"/>
        </w:rPr>
        <w:t>交易结算前置信息校核智能体实施</w:t>
      </w:r>
      <w:bookmarkEnd w:id="151"/>
    </w:p>
    <w:p w14:paraId="47555D58">
      <w:pPr>
        <w:rPr>
          <w:highlight w:val="none"/>
        </w:rPr>
      </w:pPr>
      <w:r>
        <w:rPr>
          <w:highlight w:val="none"/>
        </w:rPr>
        <w:t>构建</w:t>
      </w:r>
      <w:r>
        <w:rPr>
          <w:rFonts w:hint="eastAsia"/>
          <w:highlight w:val="none"/>
        </w:rPr>
        <w:t>交易结算前置信息校核智能体</w:t>
      </w:r>
      <w:r>
        <w:rPr>
          <w:highlight w:val="none"/>
        </w:rPr>
        <w:t>，利用数据挖掘与分析技术，自动识别电费全过程中的异常数据</w:t>
      </w:r>
      <w:r>
        <w:rPr>
          <w:rFonts w:hint="eastAsia"/>
          <w:highlight w:val="none"/>
        </w:rPr>
        <w:t>，提高异常识别效率</w:t>
      </w:r>
      <w:r>
        <w:rPr>
          <w:highlight w:val="none"/>
        </w:rPr>
        <w:t>。通过数据分析和智能推理技术，智能识别异常并预警，</w:t>
      </w:r>
      <w:r>
        <w:rPr>
          <w:rFonts w:hint="eastAsia"/>
          <w:highlight w:val="none"/>
        </w:rPr>
        <w:t>自动发起整改</w:t>
      </w:r>
      <w:r>
        <w:rPr>
          <w:highlight w:val="none"/>
        </w:rPr>
        <w:t>流程，提升核查时效性和准确性，确保电费准确无误</w:t>
      </w:r>
      <w:r>
        <w:rPr>
          <w:rFonts w:hint="eastAsia"/>
          <w:highlight w:val="none"/>
        </w:rPr>
        <w:t>。</w:t>
      </w:r>
    </w:p>
    <w:p w14:paraId="30EACEEA">
      <w:pPr>
        <w:pStyle w:val="5"/>
        <w:rPr>
          <w:rFonts w:hint="eastAsia"/>
          <w:highlight w:val="none"/>
        </w:rPr>
      </w:pPr>
      <w:r>
        <w:rPr>
          <w:highlight w:val="none"/>
        </w:rPr>
        <w:t>规则配置及模型构建</w:t>
      </w:r>
    </w:p>
    <w:p w14:paraId="3B10A799">
      <w:pPr>
        <w:rPr>
          <w:highlight w:val="none"/>
        </w:rPr>
      </w:pPr>
      <w:r>
        <w:rPr>
          <w:rFonts w:hint="eastAsia"/>
          <w:highlight w:val="none"/>
        </w:rPr>
        <w:t>归集</w:t>
      </w:r>
      <w:r>
        <w:rPr>
          <w:highlight w:val="none"/>
        </w:rPr>
        <w:t>历史电费数据</w:t>
      </w:r>
      <w:r>
        <w:rPr>
          <w:rFonts w:hint="eastAsia"/>
          <w:highlight w:val="none"/>
        </w:rPr>
        <w:t>（</w:t>
      </w:r>
      <w:r>
        <w:rPr>
          <w:highlight w:val="none"/>
        </w:rPr>
        <w:t>包括用电量、抄表数据、业扩工单信息等</w:t>
      </w:r>
      <w:r>
        <w:rPr>
          <w:rFonts w:hint="eastAsia"/>
          <w:highlight w:val="none"/>
        </w:rPr>
        <w:t>）、异常数据（包括</w:t>
      </w:r>
      <w:r>
        <w:rPr>
          <w:highlight w:val="none"/>
        </w:rPr>
        <w:t>计量用电量突增、业扩工单档案录入错误、数据录入失误</w:t>
      </w:r>
      <w:r>
        <w:rPr>
          <w:rFonts w:hint="eastAsia"/>
          <w:highlight w:val="none"/>
        </w:rPr>
        <w:t>等）等，</w:t>
      </w:r>
      <w:r>
        <w:rPr>
          <w:highlight w:val="none"/>
        </w:rPr>
        <w:t>归纳总结各类</w:t>
      </w:r>
      <w:r>
        <w:rPr>
          <w:rFonts w:hint="eastAsia"/>
          <w:highlight w:val="none"/>
        </w:rPr>
        <w:t>异常识别</w:t>
      </w:r>
      <w:r>
        <w:rPr>
          <w:highlight w:val="none"/>
        </w:rPr>
        <w:t>规则，</w:t>
      </w:r>
      <w:r>
        <w:rPr>
          <w:rFonts w:hint="eastAsia"/>
          <w:highlight w:val="none"/>
        </w:rPr>
        <w:t>汇总</w:t>
      </w:r>
      <w:r>
        <w:rPr>
          <w:highlight w:val="none"/>
        </w:rPr>
        <w:t>全面的</w:t>
      </w:r>
      <w:r>
        <w:rPr>
          <w:rFonts w:hint="eastAsia"/>
          <w:highlight w:val="none"/>
        </w:rPr>
        <w:t>异常识别</w:t>
      </w:r>
      <w:r>
        <w:rPr>
          <w:highlight w:val="none"/>
        </w:rPr>
        <w:t>规则库。</w:t>
      </w:r>
    </w:p>
    <w:p w14:paraId="08FA6217">
      <w:pPr>
        <w:pStyle w:val="5"/>
        <w:rPr>
          <w:rFonts w:hint="eastAsia"/>
          <w:highlight w:val="none"/>
        </w:rPr>
      </w:pPr>
      <w:r>
        <w:rPr>
          <w:rFonts w:hint="eastAsia"/>
          <w:highlight w:val="none"/>
        </w:rPr>
        <w:t>异常研判</w:t>
      </w:r>
    </w:p>
    <w:p w14:paraId="0891C71A">
      <w:pPr>
        <w:pStyle w:val="6"/>
        <w:rPr>
          <w:highlight w:val="none"/>
        </w:rPr>
      </w:pPr>
      <w:r>
        <w:rPr>
          <w:rFonts w:hint="eastAsia"/>
          <w:highlight w:val="none"/>
        </w:rPr>
        <w:t>异常数据识别</w:t>
      </w:r>
    </w:p>
    <w:p w14:paraId="5B8FF381">
      <w:pPr>
        <w:rPr>
          <w:highlight w:val="none"/>
        </w:rPr>
      </w:pPr>
      <w:r>
        <w:rPr>
          <w:rFonts w:hint="eastAsia"/>
          <w:highlight w:val="none"/>
        </w:rPr>
        <w:t>利用交易结算前置信息校核智能体调用异常识别API，对监测到的电费数据进行深度分析，自动判断电费数据是否存在异常，实现对电费异常数据的快速精准研判。</w:t>
      </w:r>
    </w:p>
    <w:p w14:paraId="3C7D8B82">
      <w:pPr>
        <w:pStyle w:val="5"/>
        <w:rPr>
          <w:rFonts w:hint="eastAsia"/>
          <w:highlight w:val="none"/>
        </w:rPr>
      </w:pPr>
      <w:r>
        <w:rPr>
          <w:rFonts w:hint="eastAsia"/>
          <w:highlight w:val="none"/>
        </w:rPr>
        <w:t>异常数据整改</w:t>
      </w:r>
    </w:p>
    <w:p w14:paraId="375DC66E">
      <w:pPr>
        <w:pStyle w:val="6"/>
        <w:rPr>
          <w:highlight w:val="none"/>
        </w:rPr>
      </w:pPr>
      <w:r>
        <w:rPr>
          <w:rFonts w:hint="eastAsia"/>
          <w:highlight w:val="none"/>
        </w:rPr>
        <w:t>风险等级评定</w:t>
      </w:r>
    </w:p>
    <w:p w14:paraId="23923963">
      <w:pPr>
        <w:rPr>
          <w:highlight w:val="none"/>
        </w:rPr>
      </w:pPr>
      <w:r>
        <w:rPr>
          <w:highlight w:val="none"/>
        </w:rPr>
        <w:t>通过交易结算前置信息校核智能体接口识别出异常数据时，自动触发整改流程，确保电费数据的准确性和及时性。</w:t>
      </w:r>
      <w:r>
        <w:rPr>
          <w:rFonts w:hint="eastAsia"/>
          <w:highlight w:val="none"/>
        </w:rPr>
        <w:t>根据风险研判规则</w:t>
      </w:r>
      <w:r>
        <w:rPr>
          <w:highlight w:val="none"/>
        </w:rPr>
        <w:t>对异常数据进行</w:t>
      </w:r>
      <w:r>
        <w:rPr>
          <w:rFonts w:hint="eastAsia"/>
          <w:highlight w:val="none"/>
        </w:rPr>
        <w:t>智能</w:t>
      </w:r>
      <w:r>
        <w:rPr>
          <w:highlight w:val="none"/>
        </w:rPr>
        <w:t>风险分级</w:t>
      </w:r>
      <w:r>
        <w:rPr>
          <w:rFonts w:hint="eastAsia"/>
          <w:highlight w:val="none"/>
        </w:rPr>
        <w:t>。</w:t>
      </w:r>
    </w:p>
    <w:p w14:paraId="3BB0531F">
      <w:pPr>
        <w:pStyle w:val="6"/>
        <w:rPr>
          <w:highlight w:val="none"/>
        </w:rPr>
      </w:pPr>
      <w:r>
        <w:rPr>
          <w:rFonts w:hint="eastAsia"/>
          <w:highlight w:val="none"/>
        </w:rPr>
        <w:t>异常预警及整改</w:t>
      </w:r>
    </w:p>
    <w:p w14:paraId="7671A307">
      <w:pPr>
        <w:rPr>
          <w:highlight w:val="none"/>
        </w:rPr>
      </w:pPr>
      <w:r>
        <w:rPr>
          <w:rFonts w:hint="eastAsia"/>
          <w:highlight w:val="none"/>
        </w:rPr>
        <w:t>通过API调用，根据异常结果启动自动触发整改流程，</w:t>
      </w:r>
      <w:r>
        <w:rPr>
          <w:highlight w:val="none"/>
        </w:rPr>
        <w:t>将异常信息发送给相关部门进行处理。</w:t>
      </w:r>
      <w:r>
        <w:rPr>
          <w:rFonts w:hint="eastAsia"/>
          <w:highlight w:val="none"/>
        </w:rPr>
        <w:t>具体流程</w:t>
      </w:r>
      <w:r>
        <w:rPr>
          <w:highlight w:val="none"/>
        </w:rPr>
        <w:t>根据</w:t>
      </w:r>
      <w:r>
        <w:rPr>
          <w:rFonts w:hint="eastAsia"/>
          <w:highlight w:val="none"/>
        </w:rPr>
        <w:t>风险</w:t>
      </w:r>
      <w:r>
        <w:rPr>
          <w:highlight w:val="none"/>
        </w:rPr>
        <w:t>等级判断是否需要人工确认，风险等级低的可自动进行数据处理</w:t>
      </w:r>
      <w:r>
        <w:rPr>
          <w:rFonts w:hint="eastAsia"/>
          <w:highlight w:val="none"/>
        </w:rPr>
        <w:t>并推送处理消息</w:t>
      </w:r>
      <w:r>
        <w:rPr>
          <w:highlight w:val="none"/>
        </w:rPr>
        <w:t>，风险等级高则</w:t>
      </w:r>
      <w:r>
        <w:rPr>
          <w:rFonts w:hint="eastAsia"/>
          <w:highlight w:val="none"/>
        </w:rPr>
        <w:t>发送预警并发起生成异常工单</w:t>
      </w:r>
      <w:r>
        <w:rPr>
          <w:highlight w:val="none"/>
        </w:rPr>
        <w:t>。</w:t>
      </w:r>
    </w:p>
    <w:p w14:paraId="00882A6C">
      <w:pPr>
        <w:pStyle w:val="4"/>
        <w:rPr>
          <w:highlight w:val="none"/>
        </w:rPr>
      </w:pPr>
      <w:bookmarkStart w:id="152" w:name="_Toc18505"/>
      <w:r>
        <w:rPr>
          <w:highlight w:val="none"/>
        </w:rPr>
        <w:t>低压远程复电智能体实施</w:t>
      </w:r>
      <w:bookmarkEnd w:id="152"/>
    </w:p>
    <w:p w14:paraId="02D033DA">
      <w:pPr>
        <w:rPr>
          <w:highlight w:val="none"/>
        </w:rPr>
      </w:pPr>
      <w:r>
        <w:rPr>
          <w:highlight w:val="none"/>
        </w:rPr>
        <w:t>通过建设低压远程复电智能体，实现对低压远程复电的智能自主决策能力；提高复电失败原因定位准确率，并智能判断重试策略或人工介入需求，减少人工干预；形成从执行到追踪、从分析到反馈的闭环管理，提升服务响应效率和异常处置精准度。</w:t>
      </w:r>
    </w:p>
    <w:p w14:paraId="0861D1AC">
      <w:pPr>
        <w:pStyle w:val="5"/>
        <w:rPr>
          <w:rFonts w:hint="eastAsia"/>
          <w:highlight w:val="none"/>
        </w:rPr>
      </w:pPr>
      <w:r>
        <w:rPr>
          <w:highlight w:val="none"/>
        </w:rPr>
        <w:t>智能体搭建与数据对接</w:t>
      </w:r>
    </w:p>
    <w:p w14:paraId="2BB55730">
      <w:pPr>
        <w:rPr>
          <w:highlight w:val="none"/>
        </w:rPr>
      </w:pPr>
      <w:r>
        <w:rPr>
          <w:highlight w:val="none"/>
        </w:rPr>
        <w:t>完成低压远程复电智能体的建设与部署，确保其具备智能自主决策能力以及对各节点的智能处理、决策功能。将智能体与电表系统进行有效对接，实现电表现场数据的实时采集，包括电表状态字、电流、表码等数据，为后续分析提供数据基础。</w:t>
      </w:r>
    </w:p>
    <w:p w14:paraId="66DE9144">
      <w:pPr>
        <w:pStyle w:val="5"/>
        <w:rPr>
          <w:rFonts w:hint="eastAsia"/>
          <w:highlight w:val="none"/>
        </w:rPr>
      </w:pPr>
      <w:r>
        <w:rPr>
          <w:highlight w:val="none"/>
        </w:rPr>
        <w:t>规则配置及模型构建</w:t>
      </w:r>
    </w:p>
    <w:p w14:paraId="0377D3B8">
      <w:pPr>
        <w:rPr>
          <w:highlight w:val="none"/>
        </w:rPr>
      </w:pPr>
      <w:r>
        <w:rPr>
          <w:highlight w:val="none"/>
        </w:rPr>
        <w:t>对复电规则进行细致梳理，进而构建复电规则库。复电规则库涵盖了各类复电场景下的判断条件与操作流程，确保智能体在面对不同情况时能够准确快速地调用并做出决策，确保停电发生后能迅速、准确地恢复供电。基于复电规则库构建复电专业模型，该模型将依托规则库中的数据与信息，助力预测并解决复电过程中可能遇到的问题。</w:t>
      </w:r>
    </w:p>
    <w:p w14:paraId="2701F08B">
      <w:pPr>
        <w:pStyle w:val="5"/>
        <w:rPr>
          <w:rFonts w:hint="eastAsia"/>
          <w:highlight w:val="none"/>
        </w:rPr>
      </w:pPr>
      <w:r>
        <w:rPr>
          <w:highlight w:val="none"/>
        </w:rPr>
        <w:t>复电决策与执行</w:t>
      </w:r>
    </w:p>
    <w:p w14:paraId="1075CEE7">
      <w:pPr>
        <w:rPr>
          <w:highlight w:val="none"/>
        </w:rPr>
      </w:pPr>
      <w:r>
        <w:rPr>
          <w:highlight w:val="none"/>
        </w:rPr>
        <w:t>调用复电指令执行API，复电结果研判API，依据数据分析快速判断复电指令执行结果是否成功，推送给审核专员确认。对于复电失败的用户，利用大模型优化调整重试调度策略，合理安排重试时间和次数，提高复电成功率。通过智能体对电表自动进行现场数据多轮会话，对复电失败的电表进行综合研判，经研判后进行智能多轮复电操作。</w:t>
      </w:r>
    </w:p>
    <w:p w14:paraId="128F358F">
      <w:pPr>
        <w:pStyle w:val="5"/>
        <w:rPr>
          <w:rFonts w:hint="eastAsia"/>
          <w:highlight w:val="none"/>
        </w:rPr>
      </w:pPr>
      <w:r>
        <w:rPr>
          <w:highlight w:val="none"/>
        </w:rPr>
        <w:t>模型研判分析</w:t>
      </w:r>
    </w:p>
    <w:p w14:paraId="1B0666EC">
      <w:pPr>
        <w:pStyle w:val="6"/>
        <w:rPr>
          <w:highlight w:val="none"/>
        </w:rPr>
      </w:pPr>
      <w:r>
        <w:rPr>
          <w:highlight w:val="none"/>
        </w:rPr>
        <w:t>实时监控与异常预警</w:t>
      </w:r>
    </w:p>
    <w:p w14:paraId="5FA73982">
      <w:pPr>
        <w:rPr>
          <w:highlight w:val="none"/>
        </w:rPr>
      </w:pPr>
      <w:r>
        <w:rPr>
          <w:highlight w:val="none"/>
        </w:rPr>
        <w:t>借助智能体和预测模型，对远程复电过程中的各个环节进行在线监控，实时掌握复电进度和状态。利用模型的模式识别和特征提取能力，对采集的数据进行分析和比对，智能识别复电过程中存在的异常情况，并提前预测可能出现的问题，及时发出预警。</w:t>
      </w:r>
    </w:p>
    <w:p w14:paraId="2D561EE6">
      <w:pPr>
        <w:pStyle w:val="6"/>
        <w:rPr>
          <w:highlight w:val="none"/>
        </w:rPr>
      </w:pPr>
      <w:r>
        <w:rPr>
          <w:highlight w:val="none"/>
        </w:rPr>
        <w:t>故障定位与原因分析</w:t>
      </w:r>
    </w:p>
    <w:p w14:paraId="5BEC1BE5">
      <w:pPr>
        <w:rPr>
          <w:highlight w:val="none"/>
        </w:rPr>
      </w:pPr>
      <w:r>
        <w:rPr>
          <w:highlight w:val="none"/>
        </w:rPr>
        <w:t>借助智能体和复电模型，对复电失败的全链路数据进行深度分析，精准定位故障点。通过对全链路数据的分析，研判复电失败的原因，并利用</w:t>
      </w:r>
      <w:r>
        <w:rPr>
          <w:rFonts w:hint="eastAsia"/>
          <w:highlight w:val="none"/>
        </w:rPr>
        <w:t>大模型能力</w:t>
      </w:r>
      <w:r>
        <w:rPr>
          <w:highlight w:val="none"/>
        </w:rPr>
        <w:t>自主输出异常处理建议。</w:t>
      </w:r>
    </w:p>
    <w:p w14:paraId="0BF6FED4">
      <w:pPr>
        <w:pStyle w:val="5"/>
        <w:rPr>
          <w:rFonts w:hint="eastAsia"/>
          <w:highlight w:val="none"/>
        </w:rPr>
      </w:pPr>
      <w:r>
        <w:rPr>
          <w:highlight w:val="none"/>
        </w:rPr>
        <w:t>异常预警推送</w:t>
      </w:r>
    </w:p>
    <w:p w14:paraId="1D9ACE4E">
      <w:pPr>
        <w:rPr>
          <w:highlight w:val="none"/>
        </w:rPr>
      </w:pPr>
      <w:r>
        <w:rPr>
          <w:highlight w:val="none"/>
        </w:rPr>
        <w:t>对于远程无法解决的电表，通过 elink 对复电结果进行实时推送，提醒相关人员及时处理。根据复电失败原因，构建用户远程停复电能力模型，对用户的复电失败原因进行分类和分级，将能力标签推送至营销部门。</w:t>
      </w:r>
    </w:p>
    <w:p w14:paraId="56E93E28">
      <w:pPr>
        <w:pStyle w:val="5"/>
        <w:rPr>
          <w:rFonts w:hint="eastAsia"/>
          <w:highlight w:val="none"/>
        </w:rPr>
      </w:pPr>
      <w:r>
        <w:rPr>
          <w:highlight w:val="none"/>
        </w:rPr>
        <w:t>分析建议生成</w:t>
      </w:r>
    </w:p>
    <w:p w14:paraId="4D026ABC">
      <w:pPr>
        <w:rPr>
          <w:highlight w:val="none"/>
        </w:rPr>
      </w:pPr>
      <w:r>
        <w:rPr>
          <w:highlight w:val="none"/>
        </w:rPr>
        <w:t>调用大模型的推理分析及内容生成能力，快速分析召测数据，复电指令数据，复电结果数据等数据生成影响因素分析报告，并提出提升复电能力的建议。利用智能体调用</w:t>
      </w:r>
      <w:r>
        <w:rPr>
          <w:rFonts w:eastAsiaTheme="minorEastAsia"/>
          <w:highlight w:val="none"/>
        </w:rPr>
        <w:t>用户复电数据问答API</w:t>
      </w:r>
      <w:r>
        <w:rPr>
          <w:highlight w:val="none"/>
        </w:rPr>
        <w:t>实现对复电结果的智能问答，包括复电指令数据、复电成功或失败等统计数据及复电情况分析。</w:t>
      </w:r>
    </w:p>
    <w:p w14:paraId="70C57ED8">
      <w:pPr>
        <w:pStyle w:val="4"/>
        <w:rPr>
          <w:highlight w:val="none"/>
        </w:rPr>
      </w:pPr>
      <w:bookmarkStart w:id="153" w:name="_Toc7780"/>
      <w:r>
        <w:rPr>
          <w:highlight w:val="none"/>
        </w:rPr>
        <w:t>指标监测智能体实施</w:t>
      </w:r>
      <w:bookmarkEnd w:id="153"/>
    </w:p>
    <w:p w14:paraId="63A0086C">
      <w:pPr>
        <w:rPr>
          <w:highlight w:val="none"/>
        </w:rPr>
      </w:pPr>
      <w:r>
        <w:rPr>
          <w:highlight w:val="none"/>
        </w:rPr>
        <w:t>通过建设指标监测智能体，快速响应各部门的综合业务汇报及数据分析需求，切实推动基层减负提升工作效率。基于智能推理生成预警成因分析及处置建议，形成从数据整合、智能分析到决策支撑的闭环管理体系，全面提升业务响应速度与监测管理效能。</w:t>
      </w:r>
      <w:r>
        <w:rPr>
          <w:rFonts w:hint="eastAsia"/>
          <w:highlight w:val="none"/>
        </w:rPr>
        <w:t xml:space="preserve">    </w:t>
      </w:r>
    </w:p>
    <w:p w14:paraId="0D6FFD11">
      <w:pPr>
        <w:pStyle w:val="5"/>
        <w:rPr>
          <w:rFonts w:hint="eastAsia"/>
          <w:highlight w:val="none"/>
        </w:rPr>
      </w:pPr>
      <w:r>
        <w:rPr>
          <w:highlight w:val="none"/>
        </w:rPr>
        <w:t>报表数据查询</w:t>
      </w:r>
    </w:p>
    <w:p w14:paraId="1C4C22E2">
      <w:pPr>
        <w:rPr>
          <w:rFonts w:eastAsiaTheme="minorEastAsia"/>
          <w:highlight w:val="none"/>
        </w:rPr>
      </w:pPr>
      <w:r>
        <w:rPr>
          <w:highlight w:val="none"/>
        </w:rPr>
        <w:t>通过自然语言处理技术，对用户输入的查询语句进行语义分析，提取关键信息，调用意图识别模型能力，判断用户查询的意图，实现对所监测指标的数据查询。</w:t>
      </w:r>
    </w:p>
    <w:p w14:paraId="2FE30A4D">
      <w:pPr>
        <w:pStyle w:val="5"/>
        <w:rPr>
          <w:rFonts w:hint="eastAsia"/>
          <w:highlight w:val="none"/>
        </w:rPr>
      </w:pPr>
      <w:r>
        <w:rPr>
          <w:highlight w:val="none"/>
        </w:rPr>
        <w:t>报表设计</w:t>
      </w:r>
    </w:p>
    <w:p w14:paraId="340EE96A">
      <w:pPr>
        <w:rPr>
          <w:rFonts w:eastAsiaTheme="minorEastAsia"/>
          <w:highlight w:val="none"/>
        </w:rPr>
      </w:pPr>
      <w:r>
        <w:rPr>
          <w:highlight w:val="none"/>
        </w:rPr>
        <w:t>通过对所监测指标的数据查询，智能化辅助对现有标准计量月报、周报以及其他各类报表的填写工作。通过深入分析各部门的综合业务汇报以及其对数据分析的具体需求，进一步生成符合各部门特定需求的自定义报表。</w:t>
      </w:r>
    </w:p>
    <w:p w14:paraId="3B1D5F40">
      <w:pPr>
        <w:pStyle w:val="5"/>
        <w:rPr>
          <w:rFonts w:hint="eastAsia"/>
          <w:highlight w:val="none"/>
        </w:rPr>
      </w:pPr>
      <w:r>
        <w:rPr>
          <w:highlight w:val="none"/>
        </w:rPr>
        <w:t>指标问答</w:t>
      </w:r>
    </w:p>
    <w:p w14:paraId="70DBE89F">
      <w:pPr>
        <w:pStyle w:val="6"/>
        <w:rPr>
          <w:highlight w:val="none"/>
        </w:rPr>
      </w:pPr>
      <w:r>
        <w:rPr>
          <w:highlight w:val="none"/>
        </w:rPr>
        <w:t>查数意图识别</w:t>
      </w:r>
    </w:p>
    <w:p w14:paraId="3F781BD1">
      <w:pPr>
        <w:rPr>
          <w:highlight w:val="none"/>
        </w:rPr>
      </w:pPr>
      <w:r>
        <w:rPr>
          <w:highlight w:val="none"/>
        </w:rPr>
        <w:t>通过指标监测API自然语言处理技术，对用户输入的查询语句进行语义分析，提取关键信息，调用意图识别模型能力，判断用户查询的意图。结合计量自动化系统和电能量数据平台的数据特点，识别用户是否正在进行指标数据的查询。</w:t>
      </w:r>
    </w:p>
    <w:p w14:paraId="7DCFE4BC">
      <w:pPr>
        <w:pStyle w:val="6"/>
        <w:rPr>
          <w:highlight w:val="none"/>
        </w:rPr>
      </w:pPr>
      <w:r>
        <w:rPr>
          <w:highlight w:val="none"/>
        </w:rPr>
        <w:t>查询改写</w:t>
      </w:r>
    </w:p>
    <w:p w14:paraId="2B86E8E6">
      <w:pPr>
        <w:rPr>
          <w:highlight w:val="none"/>
        </w:rPr>
      </w:pPr>
      <w:r>
        <w:rPr>
          <w:highlight w:val="none"/>
        </w:rPr>
        <w:t>根据查数意图识别的结果，对用户输入的自然语言查询进行改写，使其更符合模型的输入要求。通过语义理解和文本生成技术，将模糊或不规范的查询语句转化为清晰、准确的表达形式。</w:t>
      </w:r>
    </w:p>
    <w:p w14:paraId="71A188E8">
      <w:pPr>
        <w:pStyle w:val="6"/>
        <w:rPr>
          <w:highlight w:val="none"/>
        </w:rPr>
      </w:pPr>
      <w:r>
        <w:rPr>
          <w:highlight w:val="none"/>
        </w:rPr>
        <w:t>场景识别</w:t>
      </w:r>
    </w:p>
    <w:p w14:paraId="5D0E25D0">
      <w:pPr>
        <w:rPr>
          <w:highlight w:val="none"/>
        </w:rPr>
      </w:pPr>
      <w:r>
        <w:rPr>
          <w:highlight w:val="none"/>
        </w:rPr>
        <w:t>识别用户查询的场景，判断是可视化报表问数、明细问数还是指标问数。通过分析查询语句中的关键词和语义结构，确定用户的需求场景。</w:t>
      </w:r>
    </w:p>
    <w:p w14:paraId="02CD8E62">
      <w:pPr>
        <w:pStyle w:val="6"/>
        <w:rPr>
          <w:highlight w:val="none"/>
        </w:rPr>
      </w:pPr>
      <w:r>
        <w:rPr>
          <w:highlight w:val="none"/>
        </w:rPr>
        <w:t>NL2API/NL2SQL</w:t>
      </w:r>
    </w:p>
    <w:p w14:paraId="22DBF5B5">
      <w:pPr>
        <w:rPr>
          <w:highlight w:val="none"/>
        </w:rPr>
      </w:pPr>
      <w:r>
        <w:rPr>
          <w:highlight w:val="none"/>
        </w:rPr>
        <w:t>根据识别的场景和查询意图，从预设的查询样例库中召回与之匹配的查询样例。这些样例可以作为NL2API/NL2SQL的输入模板，帮助生成更准确的API/SQL调用。将改写后的查询语句和召回的样例输入NL2API/NL2SQL模型，生成对应的API调用或SQL语句。</w:t>
      </w:r>
    </w:p>
    <w:p w14:paraId="6B6DEBC2">
      <w:pPr>
        <w:pStyle w:val="6"/>
        <w:rPr>
          <w:highlight w:val="none"/>
        </w:rPr>
      </w:pPr>
      <w:r>
        <w:rPr>
          <w:highlight w:val="none"/>
        </w:rPr>
        <w:t>数据权限校验</w:t>
      </w:r>
    </w:p>
    <w:p w14:paraId="72FA5B7F">
      <w:pPr>
        <w:rPr>
          <w:highlight w:val="none"/>
        </w:rPr>
      </w:pPr>
      <w:r>
        <w:rPr>
          <w:highlight w:val="none"/>
        </w:rPr>
        <w:t>在执行API/SQL调用获取数据之前，对用户的数据访问权限进行校验。根据用户的权限级别和所属角色，检查其是否有权查询指定的数据。确保数据的安全性和合规性，防止未经授权的数据访问。</w:t>
      </w:r>
    </w:p>
    <w:p w14:paraId="0995183E">
      <w:pPr>
        <w:pStyle w:val="6"/>
        <w:rPr>
          <w:highlight w:val="none"/>
        </w:rPr>
      </w:pPr>
      <w:r>
        <w:rPr>
          <w:highlight w:val="none"/>
        </w:rPr>
        <w:t>可视化图表生成</w:t>
      </w:r>
    </w:p>
    <w:p w14:paraId="37CFB4CD">
      <w:pPr>
        <w:rPr>
          <w:highlight w:val="none"/>
        </w:rPr>
      </w:pPr>
      <w:r>
        <w:rPr>
          <w:highlight w:val="none"/>
        </w:rPr>
        <w:t>根据用户的需求场景和分析结果，生成相应的可视化图表如柱状图、折线图等，直观展示数据的变化趋势和分布情况。</w:t>
      </w:r>
    </w:p>
    <w:p w14:paraId="3657F1BE">
      <w:pPr>
        <w:pStyle w:val="6"/>
        <w:rPr>
          <w:highlight w:val="none"/>
        </w:rPr>
      </w:pPr>
      <w:r>
        <w:rPr>
          <w:highlight w:val="none"/>
        </w:rPr>
        <w:t>结论生成及文本润色</w:t>
      </w:r>
    </w:p>
    <w:p w14:paraId="66E1D49F">
      <w:pPr>
        <w:rPr>
          <w:highlight w:val="none"/>
        </w:rPr>
      </w:pPr>
      <w:r>
        <w:rPr>
          <w:highlight w:val="none"/>
        </w:rPr>
        <w:t>对获取到的数据进行分析，生成相应的结论和处理建议。利用大模型将分析结果转化为自然流畅的文本描述。</w:t>
      </w:r>
    </w:p>
    <w:p w14:paraId="00A6C65C">
      <w:pPr>
        <w:pStyle w:val="6"/>
        <w:rPr>
          <w:highlight w:val="none"/>
        </w:rPr>
      </w:pPr>
      <w:r>
        <w:rPr>
          <w:highlight w:val="none"/>
        </w:rPr>
        <w:t>智能问答</w:t>
      </w:r>
    </w:p>
    <w:p w14:paraId="19146ECC">
      <w:pPr>
        <w:rPr>
          <w:highlight w:val="none"/>
        </w:rPr>
      </w:pPr>
      <w:r>
        <w:rPr>
          <w:highlight w:val="none"/>
        </w:rPr>
        <w:t>智能体通过应用智能问答、知识服务等能力，开展数据分析结果、指标相关的智能问答。</w:t>
      </w:r>
    </w:p>
    <w:p w14:paraId="3FEB4481">
      <w:pPr>
        <w:pStyle w:val="4"/>
        <w:rPr>
          <w:highlight w:val="none"/>
        </w:rPr>
      </w:pPr>
      <w:bookmarkStart w:id="154" w:name="_Toc28010"/>
      <w:r>
        <w:rPr>
          <w:highlight w:val="none"/>
        </w:rPr>
        <w:t>停电研判智能体实施</w:t>
      </w:r>
      <w:bookmarkEnd w:id="154"/>
    </w:p>
    <w:p w14:paraId="3FAFD747">
      <w:pPr>
        <w:rPr>
          <w:highlight w:val="none"/>
        </w:rPr>
      </w:pPr>
      <w:r>
        <w:rPr>
          <w:highlight w:val="none"/>
        </w:rPr>
        <w:t>通过建设停电研判智能体，借助负荷数据，提升停电事件及时性、提升停电准确率、降低停电误报率、降低停电漏报率；实现停电归集与故障精准定位，实现停电精准推送，支撑复电抢修及时性。借助户变关系识别，实现停电用户精确定位，支撑客服有效安抚，降低客户投诉。</w:t>
      </w:r>
    </w:p>
    <w:p w14:paraId="57E288D2">
      <w:pPr>
        <w:pStyle w:val="5"/>
        <w:rPr>
          <w:rFonts w:hint="eastAsia"/>
          <w:highlight w:val="none"/>
        </w:rPr>
      </w:pPr>
      <w:r>
        <w:rPr>
          <w:highlight w:val="none"/>
        </w:rPr>
        <w:t>规则配置及模型构建</w:t>
      </w:r>
    </w:p>
    <w:p w14:paraId="28A7CBD0">
      <w:pPr>
        <w:rPr>
          <w:highlight w:val="none"/>
        </w:rPr>
      </w:pPr>
      <w:r>
        <w:rPr>
          <w:highlight w:val="none"/>
        </w:rPr>
        <w:t>梳理并详细分析停电研判、停电处理等关键流程，归集历史停电事件数据，归纳总结各类停电研判规则，进而生成出一套全面的停电规则库。</w:t>
      </w:r>
    </w:p>
    <w:p w14:paraId="4842B724">
      <w:pPr>
        <w:pStyle w:val="5"/>
        <w:rPr>
          <w:rFonts w:hint="eastAsia"/>
          <w:highlight w:val="none"/>
        </w:rPr>
      </w:pPr>
      <w:r>
        <w:rPr>
          <w:highlight w:val="none"/>
        </w:rPr>
        <w:t>停电研判</w:t>
      </w:r>
    </w:p>
    <w:p w14:paraId="4278ABFB">
      <w:pPr>
        <w:pStyle w:val="6"/>
        <w:rPr>
          <w:highlight w:val="none"/>
        </w:rPr>
      </w:pPr>
      <w:r>
        <w:rPr>
          <w:highlight w:val="none"/>
        </w:rPr>
        <w:t>停电结果校验过滤</w:t>
      </w:r>
    </w:p>
    <w:p w14:paraId="2A6A9619">
      <w:pPr>
        <w:rPr>
          <w:highlight w:val="none"/>
        </w:rPr>
      </w:pPr>
      <w:r>
        <w:rPr>
          <w:highlight w:val="none"/>
        </w:rPr>
        <w:t>采用Transformer模型对告警文本和数值型数据进行联合语义分析，提取关联特征。结合实时环境因素，计算告警可信度，低于阈值的告警加入黑名单并抑制。输出标准化告警集，包含时间、位置、设备ID及可信度评分，为后续分析提供准确数据。</w:t>
      </w:r>
    </w:p>
    <w:p w14:paraId="560D15B9">
      <w:pPr>
        <w:pStyle w:val="6"/>
        <w:rPr>
          <w:highlight w:val="none"/>
        </w:rPr>
      </w:pPr>
      <w:r>
        <w:rPr>
          <w:highlight w:val="none"/>
        </w:rPr>
        <w:t>停电事件研判</w:t>
      </w:r>
    </w:p>
    <w:p w14:paraId="4F072F7A">
      <w:pPr>
        <w:rPr>
          <w:highlight w:val="none"/>
        </w:rPr>
      </w:pPr>
      <w:r>
        <w:rPr>
          <w:highlight w:val="none"/>
        </w:rPr>
        <w:t>将研判结果与客服工单、计划停电库比对，检测逻辑冲突。构建以设备-用户-事件为节点的动态知识图谱，标注停电原因链，支持故障溯源与责任划分。通过误报案例反向标注，更新设备误报权重库及环境干扰因子，优化模型鲁棒性。</w:t>
      </w:r>
    </w:p>
    <w:p w14:paraId="61B529EB">
      <w:pPr>
        <w:pStyle w:val="5"/>
        <w:rPr>
          <w:rFonts w:hint="eastAsia"/>
          <w:highlight w:val="none"/>
        </w:rPr>
      </w:pPr>
      <w:r>
        <w:rPr>
          <w:highlight w:val="none"/>
        </w:rPr>
        <w:t>分析报告及建议</w:t>
      </w:r>
    </w:p>
    <w:p w14:paraId="7E160AF6">
      <w:pPr>
        <w:pStyle w:val="6"/>
        <w:rPr>
          <w:highlight w:val="none"/>
        </w:rPr>
      </w:pPr>
      <w:r>
        <w:rPr>
          <w:highlight w:val="none"/>
        </w:rPr>
        <w:t>结果溯源分析</w:t>
      </w:r>
    </w:p>
    <w:p w14:paraId="2EAF8378">
      <w:pPr>
        <w:rPr>
          <w:highlight w:val="none"/>
        </w:rPr>
      </w:pPr>
      <w:r>
        <w:rPr>
          <w:highlight w:val="none"/>
        </w:rPr>
        <w:t>调用停电研判API进行结果溯源分析。分析负荷曲线，识别负荷归零、断崖式下降和波动异常模式。基于电网GIS拓扑，模拟故障扩散路径，修正推演参数，输出故障源头坐标。同时，区分故障类型并标记紧急等级，为精准抢修提供依据。</w:t>
      </w:r>
    </w:p>
    <w:p w14:paraId="1E534F10">
      <w:pPr>
        <w:pStyle w:val="6"/>
        <w:rPr>
          <w:highlight w:val="none"/>
        </w:rPr>
      </w:pPr>
      <w:r>
        <w:rPr>
          <w:highlight w:val="none"/>
        </w:rPr>
        <w:t>处理建议及预警推送</w:t>
      </w:r>
    </w:p>
    <w:p w14:paraId="7D0CE2B0">
      <w:pPr>
        <w:rPr>
          <w:rFonts w:eastAsiaTheme="minorEastAsia"/>
          <w:highlight w:val="none"/>
        </w:rPr>
      </w:pPr>
      <w:r>
        <w:rPr>
          <w:highlight w:val="none"/>
        </w:rPr>
        <w:t>调用停电研判API，实现</w:t>
      </w:r>
      <w:r>
        <w:rPr>
          <w:rFonts w:eastAsiaTheme="minorEastAsia"/>
          <w:highlight w:val="none"/>
        </w:rPr>
        <w:t>停电问答能力建设。</w:t>
      </w:r>
      <w:r>
        <w:rPr>
          <w:highlight w:val="none"/>
        </w:rPr>
        <w:t>进行停电预测与预警推送，根据故障位置和电网拓扑，结合户变关系图谱，生成受影响用户清单（含VIP客户标记）。利用大模型生成差异化通知文本，并通过API将研判结果同步至Elink，实现多系统协同推送，提升服务效率。</w:t>
      </w:r>
    </w:p>
    <w:p w14:paraId="72617DE2">
      <w:pPr>
        <w:rPr>
          <w:highlight w:val="none"/>
        </w:rPr>
      </w:pPr>
      <w:r>
        <w:rPr>
          <w:highlight w:val="none"/>
        </w:rPr>
        <w:t>接收抢修系统反馈的现场确认信息，与研判结果对比生成准确率报告。关联客户投诉与停电事件，迭代用户画像，提升安抚策略精准性，实现系统持续优化。</w:t>
      </w:r>
    </w:p>
    <w:p w14:paraId="2127425C">
      <w:pPr>
        <w:pStyle w:val="4"/>
        <w:rPr>
          <w:highlight w:val="none"/>
        </w:rPr>
      </w:pPr>
      <w:bookmarkStart w:id="155" w:name="_Toc31046"/>
      <w:r>
        <w:rPr>
          <w:highlight w:val="none"/>
        </w:rPr>
        <w:t>采集链路监控智能体实施</w:t>
      </w:r>
      <w:bookmarkEnd w:id="155"/>
    </w:p>
    <w:p w14:paraId="7A29959D">
      <w:pPr>
        <w:rPr>
          <w:highlight w:val="none"/>
        </w:rPr>
      </w:pPr>
      <w:r>
        <w:rPr>
          <w:highlight w:val="none"/>
        </w:rPr>
        <w:t>通过建设采集链路监控智能体，实现计量采集链路智能监测、自动识别、实时预警，实现计量采集链路态势感知，包括设备链路运行状态、采集通道状态、采集服务状态、软件运行环境状态、数据同步工具运行状态、数据存储监测等，全链路运行状态分析、异常原因分析等，建设智能化、自动化、高效化的现代运维模式。有效提升运维效率、降低故障风险，提升主站运行稳定性。</w:t>
      </w:r>
    </w:p>
    <w:p w14:paraId="285DB234">
      <w:pPr>
        <w:pStyle w:val="5"/>
        <w:rPr>
          <w:rFonts w:hint="eastAsia"/>
          <w:highlight w:val="none"/>
        </w:rPr>
      </w:pPr>
      <w:r>
        <w:rPr>
          <w:highlight w:val="none"/>
        </w:rPr>
        <w:t>实时监测与埋点信息获取</w:t>
      </w:r>
    </w:p>
    <w:p w14:paraId="2D8A4CA2">
      <w:pPr>
        <w:rPr>
          <w:highlight w:val="none"/>
        </w:rPr>
      </w:pPr>
      <w:r>
        <w:rPr>
          <w:highlight w:val="none"/>
        </w:rPr>
        <w:t>构建计量采集链路智能体，实时监测设备链路、采集通道、服务状态等运行情况。调用设备链路运行状态监测API，运用埋点技术采集全链路关键节点程序运行信息，包括启动、停止、重启状态，检查日志中的异常警告或错误信息，如系统崩溃等，全面掌握运行状态。</w:t>
      </w:r>
    </w:p>
    <w:p w14:paraId="2DAAB13A">
      <w:pPr>
        <w:pStyle w:val="5"/>
        <w:rPr>
          <w:rFonts w:hint="eastAsia"/>
          <w:highlight w:val="none"/>
        </w:rPr>
      </w:pPr>
      <w:r>
        <w:rPr>
          <w:highlight w:val="none"/>
        </w:rPr>
        <w:t>风险分析</w:t>
      </w:r>
    </w:p>
    <w:p w14:paraId="085DD7C3">
      <w:pPr>
        <w:pStyle w:val="6"/>
        <w:rPr>
          <w:highlight w:val="none"/>
        </w:rPr>
      </w:pPr>
      <w:r>
        <w:rPr>
          <w:highlight w:val="none"/>
        </w:rPr>
        <w:t>流量监测分析及风险预测分析</w:t>
      </w:r>
    </w:p>
    <w:p w14:paraId="132B1794">
      <w:pPr>
        <w:rPr>
          <w:highlight w:val="none"/>
        </w:rPr>
      </w:pPr>
      <w:r>
        <w:rPr>
          <w:highlight w:val="none"/>
        </w:rPr>
        <w:t>记录采集节点报文流量，建立流量监测规则，设置警报阈值，监测流量异动并及时预警。通过埋点技术获取报文处理时间，计算采集处理时延，结合异常监测算法识别时延异常，调用全量链路运行状态分析API，快速定位问题节点或链路</w:t>
      </w:r>
      <w:r>
        <w:rPr>
          <w:rFonts w:eastAsiaTheme="minorEastAsia"/>
          <w:highlight w:val="none"/>
          <w:lang w:bidi="ar"/>
        </w:rPr>
        <w:t>，同时</w:t>
      </w:r>
      <w:r>
        <w:rPr>
          <w:highlight w:val="none"/>
        </w:rPr>
        <w:t>预测采集故障进行风险预测分析。</w:t>
      </w:r>
    </w:p>
    <w:p w14:paraId="77344408">
      <w:pPr>
        <w:pStyle w:val="6"/>
        <w:rPr>
          <w:highlight w:val="none"/>
        </w:rPr>
      </w:pPr>
      <w:r>
        <w:rPr>
          <w:highlight w:val="none"/>
        </w:rPr>
        <w:t>异常分析及建议生成</w:t>
      </w:r>
    </w:p>
    <w:p w14:paraId="2B22DABF">
      <w:pPr>
        <w:rPr>
          <w:highlight w:val="none"/>
        </w:rPr>
      </w:pPr>
      <w:r>
        <w:rPr>
          <w:highlight w:val="none"/>
        </w:rPr>
        <w:t>利用大模型语义识别和推演分析能力，调用异常原因分析API，实现异常研判及归因能力建设，分析异常原因，提供故障诊断信息及推送处理建议。</w:t>
      </w:r>
    </w:p>
    <w:p w14:paraId="732EA454">
      <w:pPr>
        <w:pStyle w:val="6"/>
        <w:rPr>
          <w:highlight w:val="none"/>
        </w:rPr>
      </w:pPr>
      <w:r>
        <w:rPr>
          <w:highlight w:val="none"/>
        </w:rPr>
        <w:t>预警推送</w:t>
      </w:r>
    </w:p>
    <w:p w14:paraId="5F632DA3">
      <w:pPr>
        <w:rPr>
          <w:highlight w:val="none"/>
        </w:rPr>
      </w:pPr>
      <w:r>
        <w:rPr>
          <w:highlight w:val="none"/>
        </w:rPr>
        <w:t>利用大模型语义识别和推演分析能力，调用实时预警API，实现实时预警能力建设，监测异常并发出预警，并通过API将预警结果推送至相关运维人员，为运维人员提供准确的故障诊断信息。同时借助大模型推理、内容生成、RAG等能力针对采集异常情况向管理员提供推荐建议。</w:t>
      </w:r>
    </w:p>
    <w:p w14:paraId="7ADAC19E">
      <w:pPr>
        <w:pStyle w:val="5"/>
        <w:rPr>
          <w:rFonts w:hint="eastAsia"/>
          <w:highlight w:val="none"/>
        </w:rPr>
      </w:pPr>
      <w:r>
        <w:rPr>
          <w:highlight w:val="none"/>
        </w:rPr>
        <w:t>智能决策</w:t>
      </w:r>
    </w:p>
    <w:p w14:paraId="3542D0D2">
      <w:pPr>
        <w:rPr>
          <w:highlight w:val="none"/>
        </w:rPr>
      </w:pPr>
      <w:r>
        <w:rPr>
          <w:highlight w:val="none"/>
        </w:rPr>
        <w:t>借助大模型数据分析能力，快速处理监测数据，生成运行状态分析表单和异常原因分析报告，智能化推送处理建议，为运维决策提供支持，助力高效运维。借助大模型自然语言处理，调用智能问答API，实现停电问答能力建设，理解运维人员问题并提供准确答案和建议。</w:t>
      </w:r>
    </w:p>
    <w:p w14:paraId="5F51DD08">
      <w:pPr>
        <w:pStyle w:val="4"/>
        <w:rPr>
          <w:highlight w:val="none"/>
        </w:rPr>
      </w:pPr>
      <w:bookmarkStart w:id="156" w:name="_Toc25627"/>
      <w:r>
        <w:rPr>
          <w:rFonts w:hint="eastAsia"/>
          <w:highlight w:val="none"/>
        </w:rPr>
        <w:t>计量装置差错</w:t>
      </w:r>
      <w:r>
        <w:rPr>
          <w:rFonts w:hint="eastAsia"/>
          <w:highlight w:val="none"/>
          <w:lang w:val="en-US"/>
        </w:rPr>
        <w:t>识别</w:t>
      </w:r>
      <w:r>
        <w:rPr>
          <w:rFonts w:hint="eastAsia"/>
          <w:highlight w:val="none"/>
        </w:rPr>
        <w:t>智能体实施</w:t>
      </w:r>
      <w:bookmarkEnd w:id="156"/>
    </w:p>
    <w:p w14:paraId="62996674">
      <w:pPr>
        <w:rPr>
          <w:highlight w:val="none"/>
        </w:rPr>
      </w:pPr>
      <w:r>
        <w:rPr>
          <w:highlight w:val="none"/>
        </w:rPr>
        <w:t>通过建设</w:t>
      </w:r>
      <w:r>
        <w:rPr>
          <w:rFonts w:hint="eastAsia"/>
          <w:highlight w:val="none"/>
        </w:rPr>
        <w:t>计量装置差错识别</w:t>
      </w:r>
      <w:r>
        <w:rPr>
          <w:highlight w:val="none"/>
        </w:rPr>
        <w:t>智能体，</w:t>
      </w:r>
      <w:r>
        <w:rPr>
          <w:rFonts w:hint="eastAsia"/>
          <w:highlight w:val="none"/>
        </w:rPr>
        <w:t>基于计量采集数据实现</w:t>
      </w:r>
      <w:r>
        <w:rPr>
          <w:highlight w:val="none"/>
        </w:rPr>
        <w:t>计量</w:t>
      </w:r>
      <w:r>
        <w:rPr>
          <w:rFonts w:hint="eastAsia"/>
          <w:highlight w:val="none"/>
        </w:rPr>
        <w:t>装置的智能差错识别与研判，</w:t>
      </w:r>
      <w:r>
        <w:rPr>
          <w:highlight w:val="none"/>
        </w:rPr>
        <w:t>提升</w:t>
      </w:r>
      <w:r>
        <w:rPr>
          <w:rFonts w:hint="eastAsia"/>
          <w:highlight w:val="none"/>
        </w:rPr>
        <w:t>计量装置异常识别</w:t>
      </w:r>
      <w:r>
        <w:rPr>
          <w:highlight w:val="none"/>
        </w:rPr>
        <w:t>及时性、提升</w:t>
      </w:r>
      <w:r>
        <w:rPr>
          <w:rFonts w:hint="eastAsia"/>
          <w:highlight w:val="none"/>
        </w:rPr>
        <w:t>装置差错研判</w:t>
      </w:r>
      <w:r>
        <w:rPr>
          <w:highlight w:val="none"/>
        </w:rPr>
        <w:t>准确率</w:t>
      </w:r>
      <w:r>
        <w:rPr>
          <w:rFonts w:hint="eastAsia"/>
          <w:highlight w:val="none"/>
        </w:rPr>
        <w:t>，实现计量装置的快速差错诊断；</w:t>
      </w:r>
      <w:r>
        <w:rPr>
          <w:highlight w:val="none"/>
        </w:rPr>
        <w:t>实现</w:t>
      </w:r>
      <w:r>
        <w:rPr>
          <w:rFonts w:hint="eastAsia"/>
          <w:highlight w:val="none"/>
        </w:rPr>
        <w:t>差错报表自动生成与异常数据智能查询，有效</w:t>
      </w:r>
      <w:r>
        <w:rPr>
          <w:highlight w:val="none"/>
        </w:rPr>
        <w:t>增强计量装置可靠性</w:t>
      </w:r>
      <w:r>
        <w:rPr>
          <w:rFonts w:hint="eastAsia"/>
          <w:highlight w:val="none"/>
        </w:rPr>
        <w:t>，提升电网运行稳定性。</w:t>
      </w:r>
    </w:p>
    <w:p w14:paraId="31FC5538">
      <w:pPr>
        <w:pStyle w:val="5"/>
        <w:rPr>
          <w:rFonts w:hint="eastAsia"/>
          <w:highlight w:val="none"/>
        </w:rPr>
      </w:pPr>
      <w:r>
        <w:rPr>
          <w:highlight w:val="none"/>
        </w:rPr>
        <w:t>规则配置及模型构建</w:t>
      </w:r>
    </w:p>
    <w:p w14:paraId="385E2075">
      <w:pPr>
        <w:rPr>
          <w:highlight w:val="none"/>
        </w:rPr>
      </w:pPr>
      <w:r>
        <w:rPr>
          <w:rFonts w:hint="eastAsia"/>
          <w:highlight w:val="none"/>
        </w:rPr>
        <w:t>归集计量档案数据、电能表数据、抄表数据、电费数据等计量装置采集数据，</w:t>
      </w:r>
      <w:r>
        <w:rPr>
          <w:highlight w:val="none"/>
        </w:rPr>
        <w:t>梳理并详细分析</w:t>
      </w:r>
      <w:r>
        <w:rPr>
          <w:rFonts w:hint="eastAsia"/>
          <w:highlight w:val="none"/>
        </w:rPr>
        <w:t>差错</w:t>
      </w:r>
      <w:r>
        <w:rPr>
          <w:highlight w:val="none"/>
        </w:rPr>
        <w:t>研判等关键流程，归集历史停电事件数据，归纳总结各类</w:t>
      </w:r>
      <w:r>
        <w:rPr>
          <w:rFonts w:hint="eastAsia"/>
          <w:highlight w:val="none"/>
        </w:rPr>
        <w:t>差错</w:t>
      </w:r>
      <w:r>
        <w:rPr>
          <w:highlight w:val="none"/>
        </w:rPr>
        <w:t>研判规则，进而生成出一套全面的</w:t>
      </w:r>
      <w:r>
        <w:rPr>
          <w:rFonts w:hint="eastAsia"/>
          <w:highlight w:val="none"/>
        </w:rPr>
        <w:t>差错识别</w:t>
      </w:r>
      <w:r>
        <w:rPr>
          <w:highlight w:val="none"/>
        </w:rPr>
        <w:t>规则库。</w:t>
      </w:r>
    </w:p>
    <w:p w14:paraId="0E0FFD8D">
      <w:pPr>
        <w:pStyle w:val="5"/>
        <w:rPr>
          <w:rFonts w:hint="eastAsia"/>
          <w:highlight w:val="none"/>
        </w:rPr>
      </w:pPr>
      <w:r>
        <w:rPr>
          <w:rFonts w:hint="eastAsia"/>
          <w:highlight w:val="none"/>
        </w:rPr>
        <w:t>差错智能</w:t>
      </w:r>
      <w:r>
        <w:rPr>
          <w:highlight w:val="none"/>
        </w:rPr>
        <w:t>研判</w:t>
      </w:r>
    </w:p>
    <w:p w14:paraId="167EC3EC">
      <w:pPr>
        <w:rPr>
          <w:highlight w:val="none"/>
        </w:rPr>
      </w:pPr>
      <w:r>
        <w:rPr>
          <w:rFonts w:hint="eastAsia"/>
          <w:highlight w:val="none"/>
        </w:rPr>
        <w:t>利用计量装置差错识别</w:t>
      </w:r>
      <w:r>
        <w:rPr>
          <w:highlight w:val="none"/>
        </w:rPr>
        <w:t>智能体</w:t>
      </w:r>
      <w:r>
        <w:rPr>
          <w:rFonts w:hint="eastAsia"/>
          <w:highlight w:val="none"/>
        </w:rPr>
        <w:t>调用</w:t>
      </w:r>
      <w:r>
        <w:rPr>
          <w:highlight w:val="none"/>
        </w:rPr>
        <w:t>电能表通信状态检测API、</w:t>
      </w:r>
      <w:r>
        <w:rPr>
          <w:rFonts w:hint="eastAsia"/>
          <w:highlight w:val="none"/>
        </w:rPr>
        <w:t>计量自动化终端</w:t>
      </w:r>
      <w:r>
        <w:rPr>
          <w:highlight w:val="none"/>
        </w:rPr>
        <w:t>在线诊断API、终端电压采集异常分析API、终端</w:t>
      </w:r>
      <w:r>
        <w:rPr>
          <w:rFonts w:hint="eastAsia"/>
          <w:highlight w:val="none"/>
        </w:rPr>
        <w:t>电流</w:t>
      </w:r>
      <w:r>
        <w:rPr>
          <w:highlight w:val="none"/>
        </w:rPr>
        <w:t>采集异常分析API</w:t>
      </w:r>
      <w:r>
        <w:rPr>
          <w:rFonts w:hint="eastAsia"/>
          <w:highlight w:val="none"/>
        </w:rPr>
        <w:t>、电能表</w:t>
      </w:r>
      <w:r>
        <w:rPr>
          <w:highlight w:val="none"/>
        </w:rPr>
        <w:t>表码突变识别API</w:t>
      </w:r>
      <w:r>
        <w:rPr>
          <w:rFonts w:hint="eastAsia"/>
          <w:highlight w:val="none"/>
        </w:rPr>
        <w:t>等研判识别API，对采集到的计量数据进行深度分析，自动判断计量装置是否存在异常。通过算法模型，智能识别电能表通信状态是否稳定、计量自动化终端是否在线、电压电流采集数据是否准确、电能表表码是否存在突变等关键指标，从而实现对计量装置差错的快速精准研判。</w:t>
      </w:r>
    </w:p>
    <w:p w14:paraId="182EE2F8">
      <w:pPr>
        <w:pStyle w:val="5"/>
        <w:rPr>
          <w:rFonts w:hint="eastAsia"/>
          <w:highlight w:val="none"/>
        </w:rPr>
      </w:pPr>
      <w:r>
        <w:rPr>
          <w:rFonts w:hint="eastAsia"/>
          <w:highlight w:val="none"/>
        </w:rPr>
        <w:t>结果分析</w:t>
      </w:r>
    </w:p>
    <w:p w14:paraId="59C5FA57">
      <w:pPr>
        <w:pStyle w:val="6"/>
        <w:rPr>
          <w:highlight w:val="none"/>
        </w:rPr>
      </w:pPr>
      <w:r>
        <w:rPr>
          <w:rFonts w:hint="eastAsia"/>
          <w:highlight w:val="none"/>
        </w:rPr>
        <w:t>差错报表生成</w:t>
      </w:r>
    </w:p>
    <w:p w14:paraId="1B21C8EE">
      <w:pPr>
        <w:rPr>
          <w:highlight w:val="none"/>
        </w:rPr>
      </w:pPr>
      <w:r>
        <w:rPr>
          <w:rFonts w:hint="eastAsia"/>
          <w:highlight w:val="none"/>
        </w:rPr>
        <w:t>基于研判结果，通过智能体</w:t>
      </w:r>
      <w:r>
        <w:rPr>
          <w:highlight w:val="none"/>
        </w:rPr>
        <w:t>调用计量装置差错识别API自</w:t>
      </w:r>
      <w:r>
        <w:rPr>
          <w:rFonts w:hint="eastAsia"/>
          <w:highlight w:val="none"/>
        </w:rPr>
        <w:t>动</w:t>
      </w:r>
      <w:r>
        <w:rPr>
          <w:highlight w:val="none"/>
        </w:rPr>
        <w:t>生成</w:t>
      </w:r>
      <w:r>
        <w:rPr>
          <w:rFonts w:hint="eastAsia"/>
          <w:highlight w:val="none"/>
        </w:rPr>
        <w:t>差错报表，包括档案一致性报表、完整率报表、终端异常报表等。有效</w:t>
      </w:r>
      <w:r>
        <w:rPr>
          <w:highlight w:val="none"/>
        </w:rPr>
        <w:t>提高计量装置差错识别和处理的效率，为计量装置的日常管理和维护提供了有力支持，有助于及时发现和解决潜在问题，保障计量装置的准确运行，提升整个计量系统的可靠性和管理水平。</w:t>
      </w:r>
    </w:p>
    <w:p w14:paraId="7A260675">
      <w:pPr>
        <w:pStyle w:val="6"/>
        <w:rPr>
          <w:highlight w:val="none"/>
        </w:rPr>
      </w:pPr>
      <w:r>
        <w:rPr>
          <w:rFonts w:hint="eastAsia"/>
          <w:highlight w:val="none"/>
        </w:rPr>
        <w:t>异常回溯</w:t>
      </w:r>
    </w:p>
    <w:p w14:paraId="1FD2B8F5">
      <w:pPr>
        <w:rPr>
          <w:highlight w:val="none"/>
        </w:rPr>
      </w:pPr>
      <w:r>
        <w:rPr>
          <w:highlight w:val="none"/>
        </w:rPr>
        <w:t>调用计量装置差错识别API进行</w:t>
      </w:r>
      <w:r>
        <w:rPr>
          <w:rFonts w:hint="eastAsia"/>
          <w:highlight w:val="none"/>
        </w:rPr>
        <w:t>异常回溯，</w:t>
      </w:r>
      <w:r>
        <w:rPr>
          <w:highlight w:val="none"/>
        </w:rPr>
        <w:t>基于</w:t>
      </w:r>
      <w:r>
        <w:rPr>
          <w:rFonts w:hint="eastAsia"/>
          <w:highlight w:val="none"/>
        </w:rPr>
        <w:t>差错判断</w:t>
      </w:r>
      <w:r>
        <w:rPr>
          <w:highlight w:val="none"/>
        </w:rPr>
        <w:t>规则</w:t>
      </w:r>
      <w:r>
        <w:rPr>
          <w:rFonts w:hint="eastAsia"/>
          <w:highlight w:val="none"/>
        </w:rPr>
        <w:t>、历史数据、告警信息</w:t>
      </w:r>
      <w:r>
        <w:rPr>
          <w:highlight w:val="none"/>
        </w:rPr>
        <w:t>等知识数据，利用智能体实现对</w:t>
      </w:r>
      <w:r>
        <w:rPr>
          <w:rFonts w:hint="eastAsia"/>
          <w:highlight w:val="none"/>
        </w:rPr>
        <w:t>研判结果、生成工单等内容</w:t>
      </w:r>
      <w:r>
        <w:rPr>
          <w:highlight w:val="none"/>
        </w:rPr>
        <w:t>的智能问答</w:t>
      </w:r>
      <w:r>
        <w:rPr>
          <w:rFonts w:hint="eastAsia"/>
          <w:highlight w:val="none"/>
        </w:rPr>
        <w:t>，</w:t>
      </w:r>
      <w:r>
        <w:rPr>
          <w:highlight w:val="none"/>
        </w:rPr>
        <w:t>实现人机交互、智能问答</w:t>
      </w:r>
      <w:r>
        <w:rPr>
          <w:rFonts w:hint="eastAsia"/>
          <w:highlight w:val="none"/>
        </w:rPr>
        <w:t>。</w:t>
      </w:r>
    </w:p>
    <w:p w14:paraId="720E4B9E">
      <w:pPr>
        <w:pStyle w:val="3"/>
        <w:rPr>
          <w:highlight w:val="none"/>
        </w:rPr>
      </w:pPr>
      <w:bookmarkStart w:id="157" w:name="_Toc19661"/>
      <w:r>
        <w:rPr>
          <w:rFonts w:hint="eastAsia"/>
          <w:highlight w:val="none"/>
        </w:rPr>
        <w:t>项目实施要求</w:t>
      </w:r>
      <w:bookmarkEnd w:id="126"/>
      <w:bookmarkEnd w:id="157"/>
      <w:bookmarkStart w:id="158" w:name="_Toc556"/>
    </w:p>
    <w:p w14:paraId="2977EA94">
      <w:pPr>
        <w:rPr>
          <w:highlight w:val="none"/>
        </w:rPr>
      </w:pPr>
      <w:r>
        <w:rPr>
          <w:rFonts w:hint="eastAsia"/>
          <w:highlight w:val="none"/>
        </w:rPr>
        <w:t>（1）成立业主项目部，建立工作例会制度，对项目建设进度、质量进行严格管控，确保项目顺利完成。</w:t>
      </w:r>
    </w:p>
    <w:p w14:paraId="786F051B">
      <w:pPr>
        <w:rPr>
          <w:highlight w:val="none"/>
        </w:rPr>
      </w:pPr>
      <w:r>
        <w:rPr>
          <w:rFonts w:hint="eastAsia"/>
          <w:highlight w:val="none"/>
        </w:rPr>
        <w:t>（2）充分收集各业务部门对系统使用的功能和数据需求。</w:t>
      </w:r>
    </w:p>
    <w:p w14:paraId="5623D8BD">
      <w:pPr>
        <w:rPr>
          <w:highlight w:val="none"/>
        </w:rPr>
      </w:pPr>
      <w:r>
        <w:rPr>
          <w:rFonts w:hint="eastAsia"/>
          <w:highlight w:val="none"/>
        </w:rPr>
        <w:t>（3）明确工作目标与职责。</w:t>
      </w:r>
    </w:p>
    <w:p w14:paraId="383EB549">
      <w:pPr>
        <w:rPr>
          <w:highlight w:val="none"/>
        </w:rPr>
      </w:pPr>
      <w:r>
        <w:rPr>
          <w:rFonts w:hint="eastAsia"/>
          <w:highlight w:val="none"/>
        </w:rPr>
        <w:t>（4）制定严密的工作计划，按工作计划推进项目实施工作。</w:t>
      </w:r>
    </w:p>
    <w:p w14:paraId="58BD7734">
      <w:pPr>
        <w:pStyle w:val="3"/>
        <w:rPr>
          <w:highlight w:val="none"/>
        </w:rPr>
      </w:pPr>
      <w:bookmarkStart w:id="159" w:name="_Toc229"/>
      <w:bookmarkStart w:id="160" w:name="_Toc21849"/>
      <w:bookmarkStart w:id="161" w:name="_Toc15295"/>
      <w:r>
        <w:rPr>
          <w:rFonts w:hint="eastAsia"/>
          <w:highlight w:val="none"/>
        </w:rPr>
        <w:t>实施原则</w:t>
      </w:r>
      <w:bookmarkEnd w:id="159"/>
      <w:bookmarkEnd w:id="160"/>
      <w:bookmarkEnd w:id="161"/>
    </w:p>
    <w:p w14:paraId="7792DCE1">
      <w:pPr>
        <w:pStyle w:val="4"/>
        <w:rPr>
          <w:highlight w:val="none"/>
        </w:rPr>
      </w:pPr>
      <w:bookmarkStart w:id="162" w:name="_Toc21296"/>
      <w:r>
        <w:rPr>
          <w:rFonts w:hint="eastAsia"/>
          <w:highlight w:val="none"/>
        </w:rPr>
        <w:t>平稳性原则</w:t>
      </w:r>
      <w:bookmarkEnd w:id="162"/>
    </w:p>
    <w:p w14:paraId="58309F85">
      <w:pPr>
        <w:rPr>
          <w:highlight w:val="none"/>
        </w:rPr>
      </w:pPr>
      <w:r>
        <w:rPr>
          <w:rFonts w:hint="eastAsia" w:ascii="宋体" w:hAnsi="宋体" w:cs="宋体"/>
          <w:szCs w:val="21"/>
          <w:highlight w:val="none"/>
        </w:rPr>
        <w:t>广州计量自动化系统（广州局边缘节点）</w:t>
      </w:r>
      <w:r>
        <w:rPr>
          <w:rFonts w:hint="eastAsia"/>
          <w:highlight w:val="none"/>
        </w:rPr>
        <w:t>实用化程度高、业务依赖性强，在实施项目过程中，应尽可能保证系统的平稳运行，将实施过程中对计量自动化系统的业务使用影响降到最低。</w:t>
      </w:r>
    </w:p>
    <w:p w14:paraId="5C648DDA">
      <w:pPr>
        <w:pStyle w:val="4"/>
        <w:rPr>
          <w:highlight w:val="none"/>
        </w:rPr>
      </w:pPr>
      <w:bookmarkStart w:id="163" w:name="_Toc16358"/>
      <w:r>
        <w:rPr>
          <w:rFonts w:hint="eastAsia"/>
          <w:highlight w:val="none"/>
        </w:rPr>
        <w:t>安全性原则</w:t>
      </w:r>
      <w:bookmarkEnd w:id="163"/>
    </w:p>
    <w:p w14:paraId="18A2CA8D">
      <w:pPr>
        <w:rPr>
          <w:highlight w:val="none"/>
        </w:rPr>
      </w:pPr>
      <w:r>
        <w:rPr>
          <w:rFonts w:hint="eastAsia" w:ascii="宋体" w:hAnsi="宋体" w:cs="宋体"/>
          <w:szCs w:val="21"/>
          <w:highlight w:val="none"/>
        </w:rPr>
        <w:t>广州计量自动化系统（广州局边缘节点）</w:t>
      </w:r>
      <w:r>
        <w:rPr>
          <w:rFonts w:hint="eastAsia"/>
          <w:highlight w:val="none"/>
        </w:rPr>
        <w:t>系统接入的终端量庞大，在实施过程中，必须确保数据的安全性，避免数据丢失情况出现。</w:t>
      </w:r>
    </w:p>
    <w:p w14:paraId="38413B58">
      <w:pPr>
        <w:pStyle w:val="4"/>
        <w:rPr>
          <w:highlight w:val="none"/>
        </w:rPr>
      </w:pPr>
      <w:bookmarkStart w:id="164" w:name="_Toc24773"/>
      <w:r>
        <w:rPr>
          <w:rFonts w:hint="eastAsia"/>
          <w:highlight w:val="none"/>
        </w:rPr>
        <w:t>实用性原则</w:t>
      </w:r>
      <w:bookmarkEnd w:id="164"/>
    </w:p>
    <w:p w14:paraId="398E7AAF">
      <w:pPr>
        <w:rPr>
          <w:highlight w:val="none"/>
        </w:rPr>
      </w:pPr>
      <w:r>
        <w:rPr>
          <w:rFonts w:hint="eastAsia"/>
          <w:highlight w:val="none"/>
        </w:rPr>
        <w:t>以</w:t>
      </w:r>
      <w:r>
        <w:rPr>
          <w:rFonts w:hint="eastAsia" w:ascii="宋体" w:hAnsi="宋体" w:cs="宋体"/>
          <w:szCs w:val="21"/>
          <w:highlight w:val="none"/>
        </w:rPr>
        <w:t>广州计量自动化系统（广州局边缘节点）</w:t>
      </w:r>
      <w:r>
        <w:rPr>
          <w:rFonts w:hint="eastAsia"/>
          <w:highlight w:val="none"/>
        </w:rPr>
        <w:t>现有数据库为基础，确保技术实现的最佳实践。</w:t>
      </w:r>
    </w:p>
    <w:p w14:paraId="2A054BA4">
      <w:pPr>
        <w:pStyle w:val="4"/>
        <w:rPr>
          <w:highlight w:val="none"/>
        </w:rPr>
      </w:pPr>
      <w:bookmarkStart w:id="165" w:name="_Toc15382"/>
      <w:r>
        <w:rPr>
          <w:rFonts w:hint="eastAsia"/>
          <w:highlight w:val="none"/>
        </w:rPr>
        <w:t>操作性原则</w:t>
      </w:r>
      <w:bookmarkEnd w:id="165"/>
    </w:p>
    <w:p w14:paraId="283391AB">
      <w:pPr>
        <w:rPr>
          <w:highlight w:val="none"/>
        </w:rPr>
      </w:pPr>
      <w:r>
        <w:rPr>
          <w:rFonts w:hint="eastAsia"/>
          <w:highlight w:val="none"/>
        </w:rPr>
        <w:t>综合考虑目前</w:t>
      </w:r>
      <w:r>
        <w:rPr>
          <w:rFonts w:hint="eastAsia" w:ascii="宋体" w:hAnsi="宋体" w:cs="宋体"/>
          <w:szCs w:val="21"/>
          <w:highlight w:val="none"/>
        </w:rPr>
        <w:t>广州计量自动化系统（广州局边缘节点）</w:t>
      </w:r>
      <w:r>
        <w:rPr>
          <w:rFonts w:hint="eastAsia"/>
          <w:highlight w:val="none"/>
        </w:rPr>
        <w:t>建设的实际情况，将本项目建设内容部署到计量自动化系统环境中。</w:t>
      </w:r>
    </w:p>
    <w:p w14:paraId="5D6824B6">
      <w:pPr>
        <w:pStyle w:val="3"/>
        <w:rPr>
          <w:highlight w:val="none"/>
        </w:rPr>
      </w:pPr>
      <w:bookmarkStart w:id="166" w:name="_Toc20220"/>
      <w:bookmarkStart w:id="167" w:name="_Toc30849"/>
      <w:bookmarkStart w:id="168" w:name="_Toc180060089"/>
      <w:bookmarkStart w:id="169" w:name="_Toc25963"/>
      <w:bookmarkStart w:id="170" w:name="_Toc6199"/>
      <w:bookmarkStart w:id="171" w:name="_Toc8502"/>
      <w:bookmarkStart w:id="172" w:name="_Toc6473"/>
      <w:bookmarkStart w:id="173" w:name="_Toc22404"/>
      <w:r>
        <w:rPr>
          <w:highlight w:val="none"/>
        </w:rPr>
        <w:t>实施策略</w:t>
      </w:r>
      <w:bookmarkEnd w:id="166"/>
      <w:bookmarkEnd w:id="167"/>
      <w:bookmarkEnd w:id="168"/>
      <w:bookmarkEnd w:id="169"/>
      <w:bookmarkEnd w:id="170"/>
      <w:r>
        <w:rPr>
          <w:rFonts w:hint="eastAsia"/>
          <w:highlight w:val="none"/>
        </w:rPr>
        <w:t>组织保障措施</w:t>
      </w:r>
      <w:bookmarkEnd w:id="171"/>
      <w:bookmarkEnd w:id="172"/>
      <w:bookmarkEnd w:id="173"/>
    </w:p>
    <w:p w14:paraId="7F5540EA">
      <w:pPr>
        <w:rPr>
          <w:highlight w:val="none"/>
        </w:rPr>
      </w:pPr>
      <w:r>
        <w:rPr>
          <w:rFonts w:hint="eastAsia"/>
          <w:highlight w:val="none"/>
        </w:rPr>
        <w:t>1.成立本项目组织体系。</w:t>
      </w:r>
    </w:p>
    <w:p w14:paraId="04A8594E">
      <w:pPr>
        <w:rPr>
          <w:highlight w:val="none"/>
        </w:rPr>
      </w:pPr>
      <w:r>
        <w:rPr>
          <w:rFonts w:hint="eastAsia"/>
          <w:highlight w:val="none"/>
        </w:rPr>
        <w:t>（1）业主项目部：</w:t>
      </w:r>
    </w:p>
    <w:p w14:paraId="4976C866">
      <w:pPr>
        <w:rPr>
          <w:highlight w:val="none"/>
          <w:lang w:val="sv"/>
        </w:rPr>
      </w:pPr>
      <w:r>
        <w:rPr>
          <w:rFonts w:hint="eastAsia"/>
          <w:highlight w:val="none"/>
          <w:lang w:val="sv" w:bidi="ar"/>
        </w:rPr>
        <w:t>对项目重大里程碑，重大变更计划做出决定，根据项目建设需要协调相关资源；对项目的招标、采购以及建设全过程进行统筹管理；协调项目建设过程中出现的跨业务线协同等问题；</w:t>
      </w:r>
    </w:p>
    <w:p w14:paraId="6CF2BA55">
      <w:pPr>
        <w:rPr>
          <w:highlight w:val="none"/>
        </w:rPr>
      </w:pPr>
      <w:r>
        <w:rPr>
          <w:rFonts w:hint="eastAsia"/>
          <w:highlight w:val="none"/>
        </w:rPr>
        <w:t>（2）项目管理办公室：</w:t>
      </w:r>
    </w:p>
    <w:p w14:paraId="36E34172">
      <w:pPr>
        <w:rPr>
          <w:highlight w:val="none"/>
          <w:lang w:val="sv"/>
        </w:rPr>
      </w:pPr>
      <w:r>
        <w:rPr>
          <w:rFonts w:hint="eastAsia"/>
          <w:highlight w:val="none"/>
          <w:lang w:val="sv" w:bidi="ar"/>
        </w:rPr>
        <w:t>负责项目的招投标、物资采购、合同签订和结算管理；负责落实项目建设过程中的资源配置和项目进度管控，协调工作中出现的具体问题；负责组织和推动项目的具体实施工作，按照需求完成项目开发和部署工作；负责组织开展项目需求设计、功能测试、项目验收评审等工作。负责组织系统培训工作。</w:t>
      </w:r>
    </w:p>
    <w:p w14:paraId="475281EA">
      <w:pPr>
        <w:rPr>
          <w:highlight w:val="none"/>
        </w:rPr>
      </w:pPr>
      <w:r>
        <w:rPr>
          <w:rFonts w:hint="eastAsia"/>
          <w:highlight w:val="none"/>
        </w:rPr>
        <w:t>（3）技术组</w:t>
      </w:r>
    </w:p>
    <w:p w14:paraId="434EBD22">
      <w:pPr>
        <w:rPr>
          <w:highlight w:val="none"/>
          <w:lang w:val="sv"/>
        </w:rPr>
      </w:pPr>
      <w:r>
        <w:rPr>
          <w:rFonts w:hint="eastAsia"/>
          <w:highlight w:val="none"/>
          <w:lang w:val="sv" w:bidi="ar"/>
        </w:rPr>
        <w:t>负责对系统整体架构、数据结构、关键技术提出技术专业初步意见，对项目技术方案进行评审；负责组织数据整理、管理员培训、用户权限管理、上线试运行工作，进行质量管理；负责组织集成系统，负责系统测试及运行环境的</w:t>
      </w:r>
      <w:r>
        <w:rPr>
          <w:highlight w:val="none"/>
          <w:lang w:val="sv" w:bidi="ar"/>
        </w:rPr>
        <w:t>IT</w:t>
      </w:r>
      <w:r>
        <w:rPr>
          <w:rFonts w:hint="eastAsia"/>
          <w:highlight w:val="none"/>
          <w:lang w:val="sv" w:bidi="ar"/>
        </w:rPr>
        <w:t>资源准备及部署工作。</w:t>
      </w:r>
    </w:p>
    <w:p w14:paraId="3EBA93FF">
      <w:pPr>
        <w:rPr>
          <w:highlight w:val="none"/>
        </w:rPr>
      </w:pPr>
      <w:r>
        <w:rPr>
          <w:rFonts w:hint="eastAsia"/>
          <w:highlight w:val="none"/>
        </w:rPr>
        <w:t>（4）业务组</w:t>
      </w:r>
    </w:p>
    <w:p w14:paraId="16CC84E4">
      <w:pPr>
        <w:rPr>
          <w:highlight w:val="none"/>
          <w:lang w:val="sv"/>
        </w:rPr>
      </w:pPr>
      <w:r>
        <w:rPr>
          <w:rFonts w:hint="eastAsia"/>
          <w:highlight w:val="none"/>
          <w:lang w:val="sv" w:bidi="ar"/>
        </w:rPr>
        <w:t>负责落实业务管控要求，确保系统符合业务需求；负责编制功能验证方案、验证用例以及确定非功能测试的中的案例场景；分专业对系统功能进行初步测试与功能验证，并形成测试与验证初步意见；负责需求分析，需求变更的收集、内部审查和确认；负责统筹收集外部系统集成的业务相关要求；负责统筹协调与内部其他系统集成的业务相关要求；组织对关键用户培训；负责跨部门的业务协同的梳理；负责组织功能测试，配合技术组进行系统需求确认、数据整理、上线试运行工作。</w:t>
      </w:r>
    </w:p>
    <w:p w14:paraId="3F12DDD8">
      <w:pPr>
        <w:rPr>
          <w:highlight w:val="none"/>
        </w:rPr>
      </w:pPr>
      <w:r>
        <w:rPr>
          <w:rFonts w:hint="eastAsia"/>
          <w:highlight w:val="none"/>
        </w:rPr>
        <w:t>（5）实施厂家</w:t>
      </w:r>
    </w:p>
    <w:p w14:paraId="51D57817">
      <w:pPr>
        <w:rPr>
          <w:highlight w:val="none"/>
          <w:lang w:val="sv"/>
        </w:rPr>
      </w:pPr>
      <w:r>
        <w:rPr>
          <w:rFonts w:hint="eastAsia"/>
          <w:highlight w:val="none"/>
          <w:lang w:val="sv" w:bidi="ar"/>
        </w:rPr>
        <w:t>负责系统的详细设计、开发与测试工作；负责完成系统外部集成接口改造开发、数据准备及迁移、系统培训及试运行工作。</w:t>
      </w:r>
    </w:p>
    <w:p w14:paraId="056CF548">
      <w:pPr>
        <w:rPr>
          <w:highlight w:val="none"/>
        </w:rPr>
      </w:pPr>
      <w:r>
        <w:rPr>
          <w:rFonts w:hint="eastAsia"/>
          <w:highlight w:val="none"/>
        </w:rPr>
        <w:t>2.监理</w:t>
      </w:r>
    </w:p>
    <w:p w14:paraId="400A865A">
      <w:pPr>
        <w:rPr>
          <w:highlight w:val="none"/>
          <w:lang w:val="sv"/>
        </w:rPr>
      </w:pPr>
      <w:r>
        <w:rPr>
          <w:rFonts w:hint="eastAsia"/>
          <w:highlight w:val="none"/>
          <w:lang w:bidi="ar"/>
        </w:rPr>
        <w:t>负责协助业主项目部开展日常管理工作。</w:t>
      </w:r>
    </w:p>
    <w:p w14:paraId="6ED0F133">
      <w:pPr>
        <w:rPr>
          <w:highlight w:val="none"/>
          <w:lang w:val="sv" w:bidi="ar"/>
        </w:rPr>
      </w:pPr>
      <w:r>
        <w:rPr>
          <w:rFonts w:hint="eastAsia"/>
          <w:highlight w:val="none"/>
        </w:rPr>
        <w:t>（1）建立工作例会制度</w:t>
      </w:r>
    </w:p>
    <w:p w14:paraId="60C22ECE">
      <w:pPr>
        <w:rPr>
          <w:highlight w:val="none"/>
          <w:lang w:val="sv"/>
        </w:rPr>
      </w:pPr>
      <w:r>
        <w:rPr>
          <w:rFonts w:hint="eastAsia"/>
          <w:highlight w:val="none"/>
          <w:lang w:val="sv" w:bidi="ar"/>
        </w:rPr>
        <w:t>每周召开项目建设协调会，严格管控项目建设进度和质量，协调处理项目建设过程中遇到的问题。工作小组全体成员每月召开项目建设协调会，通报项目建设进度、讨论评审项目建设相关工作方案、开发文档等。</w:t>
      </w:r>
    </w:p>
    <w:p w14:paraId="148A89A7">
      <w:pPr>
        <w:pStyle w:val="2"/>
        <w:rPr>
          <w:highlight w:val="none"/>
        </w:rPr>
      </w:pPr>
      <w:bookmarkStart w:id="174" w:name="_Toc1931"/>
      <w:r>
        <w:rPr>
          <w:rFonts w:hint="eastAsia"/>
          <w:highlight w:val="none"/>
        </w:rPr>
        <w:t>项目</w:t>
      </w:r>
      <w:bookmarkEnd w:id="158"/>
      <w:r>
        <w:rPr>
          <w:rFonts w:hint="eastAsia"/>
          <w:highlight w:val="none"/>
        </w:rPr>
        <w:t>服务方案</w:t>
      </w:r>
      <w:bookmarkEnd w:id="174"/>
    </w:p>
    <w:p w14:paraId="21CF85F7">
      <w:pPr>
        <w:pStyle w:val="3"/>
        <w:rPr>
          <w:highlight w:val="none"/>
        </w:rPr>
      </w:pPr>
      <w:bookmarkStart w:id="175" w:name="_Toc4403"/>
      <w:r>
        <w:rPr>
          <w:rFonts w:hint="eastAsia"/>
          <w:highlight w:val="none"/>
        </w:rPr>
        <w:t>项目交付要求</w:t>
      </w:r>
      <w:bookmarkEnd w:id="175"/>
    </w:p>
    <w:p w14:paraId="31531459">
      <w:pPr>
        <w:rPr>
          <w:highlight w:val="none"/>
        </w:rPr>
      </w:pPr>
      <w:r>
        <w:rPr>
          <w:rFonts w:hint="eastAsia"/>
          <w:highlight w:val="none"/>
        </w:rPr>
        <w:t>投标方必须保证本系统在以下时间节点内完成目标任务：</w:t>
      </w:r>
    </w:p>
    <w:p w14:paraId="5B4055F9">
      <w:pPr>
        <w:rPr>
          <w:highlight w:val="none"/>
        </w:rPr>
      </w:pPr>
      <w:r>
        <w:rPr>
          <w:rFonts w:hint="eastAsia"/>
          <w:highlight w:val="none"/>
        </w:rPr>
        <w:t>1)</w:t>
      </w:r>
      <w:r>
        <w:rPr>
          <w:rFonts w:hint="eastAsia"/>
          <w:highlight w:val="none"/>
        </w:rPr>
        <w:tab/>
      </w:r>
      <w:r>
        <w:rPr>
          <w:rFonts w:hint="eastAsia"/>
          <w:highlight w:val="none"/>
        </w:rPr>
        <w:t>需求分析及详细设计：合同签订后完成需求分析和详细设计。</w:t>
      </w:r>
    </w:p>
    <w:p w14:paraId="4E2F21C6">
      <w:pPr>
        <w:rPr>
          <w:highlight w:val="none"/>
        </w:rPr>
      </w:pPr>
      <w:r>
        <w:rPr>
          <w:rFonts w:hint="eastAsia"/>
          <w:highlight w:val="none"/>
        </w:rPr>
        <w:t>2)</w:t>
      </w:r>
      <w:r>
        <w:rPr>
          <w:rFonts w:hint="eastAsia"/>
          <w:highlight w:val="none"/>
        </w:rPr>
        <w:tab/>
      </w:r>
      <w:r>
        <w:rPr>
          <w:rFonts w:hint="eastAsia"/>
          <w:highlight w:val="none"/>
        </w:rPr>
        <w:t>出厂验收：详细设计后，中标方完成</w:t>
      </w:r>
      <w:r>
        <w:rPr>
          <w:rFonts w:hint="eastAsia"/>
          <w:highlight w:val="none"/>
          <w:lang w:val="en-US" w:eastAsia="zh-CN"/>
        </w:rPr>
        <w:t>2</w:t>
      </w:r>
      <w:r>
        <w:rPr>
          <w:rFonts w:hint="eastAsia"/>
          <w:highlight w:val="none"/>
        </w:rPr>
        <w:t>025年广州供电局计量中心（基于大模型的智能体能力提升）计量自动化系统主站改造</w:t>
      </w:r>
      <w:bookmarkStart w:id="207" w:name="_GoBack"/>
      <w:bookmarkEnd w:id="207"/>
      <w:r>
        <w:rPr>
          <w:rFonts w:hint="eastAsia"/>
          <w:highlight w:val="none"/>
        </w:rPr>
        <w:t>计量自动化系统智能化改造的开发与测试工作，达到出厂验收要求。</w:t>
      </w:r>
    </w:p>
    <w:p w14:paraId="5F3F9F6A">
      <w:pPr>
        <w:rPr>
          <w:rFonts w:hint="eastAsia"/>
          <w:highlight w:val="none"/>
        </w:rPr>
      </w:pPr>
      <w:r>
        <w:rPr>
          <w:rFonts w:hint="eastAsia"/>
          <w:highlight w:val="none"/>
        </w:rPr>
        <w:t>3)</w:t>
      </w:r>
      <w:r>
        <w:rPr>
          <w:rFonts w:hint="eastAsia"/>
          <w:highlight w:val="none"/>
        </w:rPr>
        <w:tab/>
      </w:r>
      <w:r>
        <w:rPr>
          <w:rFonts w:hint="eastAsia"/>
          <w:highlight w:val="none"/>
        </w:rPr>
        <w:t>现场实施：在出厂验收后，准备好相关数据，现场进行部署等工作，开展上线前和系统上线相关工作。</w:t>
      </w:r>
    </w:p>
    <w:p w14:paraId="18539EBF">
      <w:pPr>
        <w:rPr>
          <w:highlight w:val="none"/>
        </w:rPr>
      </w:pPr>
      <w:r>
        <w:rPr>
          <w:rFonts w:hint="eastAsia"/>
          <w:highlight w:val="none"/>
        </w:rPr>
        <w:t>4)</w:t>
      </w:r>
      <w:r>
        <w:rPr>
          <w:rFonts w:hint="eastAsia"/>
          <w:highlight w:val="none"/>
        </w:rPr>
        <w:tab/>
      </w:r>
      <w:r>
        <w:rPr>
          <w:rFonts w:hint="eastAsia"/>
          <w:highlight w:val="none"/>
        </w:rPr>
        <w:t>现场验收：系统功能运行正常，数据满足系统运行需要后，达到现场验收要求，对系统开发实施进行现场验收。</w:t>
      </w:r>
    </w:p>
    <w:p w14:paraId="5AFDD0EA">
      <w:pPr>
        <w:rPr>
          <w:highlight w:val="none"/>
        </w:rPr>
      </w:pPr>
      <w:r>
        <w:rPr>
          <w:rFonts w:hint="eastAsia"/>
          <w:highlight w:val="none"/>
        </w:rPr>
        <w:t>5)</w:t>
      </w:r>
      <w:r>
        <w:rPr>
          <w:rFonts w:hint="eastAsia"/>
          <w:highlight w:val="none"/>
        </w:rPr>
        <w:tab/>
      </w:r>
      <w:r>
        <w:rPr>
          <w:rFonts w:hint="eastAsia"/>
          <w:highlight w:val="none"/>
        </w:rPr>
        <w:t>竣工验收：系统稳定运行不少于一月后，达到竣工验收要求，配合招标方组织系统竣工验收。</w:t>
      </w:r>
    </w:p>
    <w:p w14:paraId="564489F2">
      <w:pPr>
        <w:rPr>
          <w:highlight w:val="none"/>
        </w:rPr>
      </w:pPr>
      <w:r>
        <w:rPr>
          <w:rFonts w:hint="eastAsia"/>
          <w:highlight w:val="none"/>
        </w:rPr>
        <w:t>本项目要求在2026年12月31日前完成项目竣工验收。</w:t>
      </w:r>
    </w:p>
    <w:p w14:paraId="1E6CDE7C">
      <w:pPr>
        <w:rPr>
          <w:highlight w:val="none"/>
        </w:rPr>
      </w:pPr>
      <w:r>
        <w:rPr>
          <w:rFonts w:hint="eastAsia"/>
          <w:highlight w:val="none"/>
        </w:rPr>
        <w:t>投标方必须提供相应的工期保证措施、详细进度计划表，在实施过程中提供项目进度周报。</w:t>
      </w:r>
    </w:p>
    <w:p w14:paraId="519FFF28">
      <w:pPr>
        <w:pStyle w:val="3"/>
        <w:rPr>
          <w:highlight w:val="none"/>
        </w:rPr>
      </w:pPr>
      <w:bookmarkStart w:id="176" w:name="_Toc22020"/>
      <w:bookmarkStart w:id="177" w:name="_Toc1263"/>
      <w:r>
        <w:rPr>
          <w:rFonts w:hint="eastAsia"/>
          <w:highlight w:val="none"/>
        </w:rPr>
        <w:t>项目管理要求</w:t>
      </w:r>
      <w:bookmarkEnd w:id="176"/>
      <w:bookmarkEnd w:id="177"/>
    </w:p>
    <w:p w14:paraId="020C7FA5">
      <w:pPr>
        <w:rPr>
          <w:highlight w:val="none"/>
          <w:lang w:bidi="ar"/>
        </w:rPr>
      </w:pPr>
      <w:r>
        <w:rPr>
          <w:rFonts w:hint="eastAsia"/>
          <w:highlight w:val="none"/>
          <w:lang w:bidi="ar"/>
        </w:rPr>
        <w:t>投标人应详细介绍本次项目建设管理所采用的项目管理方法，包括项目管理的方式、策略、技术理论、适用的条件和范围，内容包括项目质量、安全、进度、综合等管理内容。</w:t>
      </w:r>
    </w:p>
    <w:p w14:paraId="348995D0">
      <w:pPr>
        <w:rPr>
          <w:highlight w:val="none"/>
        </w:rPr>
      </w:pPr>
      <w:r>
        <w:rPr>
          <w:rFonts w:hint="eastAsia"/>
          <w:highlight w:val="none"/>
        </w:rPr>
        <w:t>投标方应提出参与本项目的项目组织，投标方必须承诺向最终用户提供优秀的项目实施队伍，要求在投标文件中明确整个项目实施过程中投标方参与的人员、岗位、资质、项目中的相关工作任务等。</w:t>
      </w:r>
    </w:p>
    <w:p w14:paraId="1D45213C">
      <w:pPr>
        <w:pStyle w:val="3"/>
        <w:rPr>
          <w:highlight w:val="none"/>
        </w:rPr>
      </w:pPr>
      <w:bookmarkStart w:id="178" w:name="_Toc7633"/>
      <w:bookmarkStart w:id="179" w:name="_Toc27970"/>
      <w:r>
        <w:rPr>
          <w:rFonts w:hint="eastAsia"/>
          <w:highlight w:val="none"/>
        </w:rPr>
        <w:t>设计内容及要求</w:t>
      </w:r>
      <w:bookmarkEnd w:id="178"/>
      <w:bookmarkEnd w:id="179"/>
    </w:p>
    <w:p w14:paraId="0018CF05">
      <w:pPr>
        <w:rPr>
          <w:highlight w:val="none"/>
        </w:rPr>
      </w:pPr>
      <w:r>
        <w:rPr>
          <w:rFonts w:hint="eastAsia"/>
          <w:highlight w:val="none"/>
        </w:rPr>
        <w:t>1、中标方在本次招标建设内容范围内开发形成的代码、技术文件等成果的知识产权属于招标方，中标方需在项目验收时以移动存储介质的方式提交。</w:t>
      </w:r>
    </w:p>
    <w:p w14:paraId="52CAAC96">
      <w:pPr>
        <w:rPr>
          <w:highlight w:val="none"/>
        </w:rPr>
      </w:pPr>
      <w:r>
        <w:rPr>
          <w:rFonts w:hint="eastAsia"/>
          <w:highlight w:val="none"/>
        </w:rPr>
        <w:t>2、中标方应向招标方提供有关本项目的全套技术文件。技术文件至少包括以下：</w:t>
      </w:r>
    </w:p>
    <w:p w14:paraId="444BD20E">
      <w:pPr>
        <w:rPr>
          <w:highlight w:val="none"/>
        </w:rPr>
      </w:pPr>
      <w:r>
        <w:rPr>
          <w:rFonts w:hint="eastAsia"/>
          <w:highlight w:val="none"/>
        </w:rPr>
        <w:t>1）项目需求规格说明书</w:t>
      </w:r>
    </w:p>
    <w:p w14:paraId="2BC64937">
      <w:pPr>
        <w:rPr>
          <w:highlight w:val="none"/>
        </w:rPr>
      </w:pPr>
      <w:r>
        <w:rPr>
          <w:rFonts w:hint="eastAsia"/>
          <w:highlight w:val="none"/>
        </w:rPr>
        <w:t>2）项目设计说明书</w:t>
      </w:r>
    </w:p>
    <w:p w14:paraId="70F38C8F">
      <w:pPr>
        <w:rPr>
          <w:highlight w:val="none"/>
        </w:rPr>
      </w:pPr>
      <w:r>
        <w:rPr>
          <w:rFonts w:hint="eastAsia"/>
          <w:highlight w:val="none"/>
        </w:rPr>
        <w:t>3）项目开发的源代码及说明文档（源代码必须含有注释）</w:t>
      </w:r>
    </w:p>
    <w:p w14:paraId="4A643206">
      <w:pPr>
        <w:rPr>
          <w:highlight w:val="none"/>
        </w:rPr>
      </w:pPr>
      <w:r>
        <w:rPr>
          <w:rFonts w:hint="eastAsia"/>
          <w:highlight w:val="none"/>
        </w:rPr>
        <w:t>4）项目测试报告</w:t>
      </w:r>
    </w:p>
    <w:p w14:paraId="00DFF590">
      <w:pPr>
        <w:rPr>
          <w:highlight w:val="none"/>
        </w:rPr>
      </w:pPr>
      <w:r>
        <w:rPr>
          <w:rFonts w:hint="eastAsia"/>
          <w:highlight w:val="none"/>
        </w:rPr>
        <w:t>5）项目用户手册</w:t>
      </w:r>
    </w:p>
    <w:p w14:paraId="2ADC3F93">
      <w:pPr>
        <w:rPr>
          <w:highlight w:val="none"/>
        </w:rPr>
      </w:pPr>
      <w:r>
        <w:rPr>
          <w:rFonts w:hint="eastAsia"/>
          <w:highlight w:val="none"/>
        </w:rPr>
        <w:t>6）技术服务及技术培训等相关资料</w:t>
      </w:r>
    </w:p>
    <w:p w14:paraId="5E7FAEF6">
      <w:pPr>
        <w:rPr>
          <w:highlight w:val="none"/>
        </w:rPr>
      </w:pPr>
      <w:r>
        <w:rPr>
          <w:rFonts w:hint="eastAsia"/>
          <w:highlight w:val="none"/>
        </w:rPr>
        <w:t>以上相关资料要求提交电子版壹份（Word文档格式），纸质文档壹份。</w:t>
      </w:r>
    </w:p>
    <w:p w14:paraId="6368006C">
      <w:pPr>
        <w:pStyle w:val="3"/>
        <w:rPr>
          <w:highlight w:val="none"/>
        </w:rPr>
      </w:pPr>
      <w:bookmarkStart w:id="180" w:name="_Toc21203"/>
      <w:bookmarkStart w:id="181" w:name="_Toc17500"/>
      <w:r>
        <w:rPr>
          <w:rFonts w:hint="eastAsia"/>
          <w:highlight w:val="none"/>
        </w:rPr>
        <w:t>施工要求</w:t>
      </w:r>
      <w:bookmarkEnd w:id="180"/>
      <w:bookmarkEnd w:id="181"/>
    </w:p>
    <w:p w14:paraId="27E52AB8">
      <w:pPr>
        <w:rPr>
          <w:highlight w:val="none"/>
          <w:lang w:bidi="ar"/>
        </w:rPr>
      </w:pPr>
      <w:r>
        <w:rPr>
          <w:rFonts w:hint="eastAsia"/>
          <w:highlight w:val="none"/>
          <w:lang w:bidi="ar"/>
        </w:rPr>
        <w:t>1、按照南方电网公司管理规定的要求和标准布置施工现场的文明施工设施，创造良好和规范的安全文明施工环境。</w:t>
      </w:r>
    </w:p>
    <w:p w14:paraId="1DA49582">
      <w:pPr>
        <w:rPr>
          <w:highlight w:val="none"/>
          <w:lang w:bidi="ar"/>
        </w:rPr>
      </w:pPr>
      <w:r>
        <w:rPr>
          <w:rFonts w:hint="eastAsia"/>
          <w:highlight w:val="none"/>
          <w:lang w:bidi="ar"/>
        </w:rPr>
        <w:t>2、投标人对关键路线有清晰的认识，有详细的施工计划、关键管控节点及保证措施、安全措施、劳动力投入计划。</w:t>
      </w:r>
    </w:p>
    <w:p w14:paraId="4E086CB3">
      <w:pPr>
        <w:pStyle w:val="3"/>
        <w:rPr>
          <w:highlight w:val="none"/>
        </w:rPr>
      </w:pPr>
      <w:bookmarkStart w:id="182" w:name="_Toc17872"/>
      <w:bookmarkStart w:id="183" w:name="_Toc21717"/>
      <w:r>
        <w:rPr>
          <w:rFonts w:hint="eastAsia"/>
          <w:highlight w:val="none"/>
        </w:rPr>
        <w:t>质保</w:t>
      </w:r>
      <w:bookmarkEnd w:id="182"/>
      <w:r>
        <w:rPr>
          <w:rFonts w:hint="eastAsia"/>
          <w:highlight w:val="none"/>
        </w:rPr>
        <w:t>要求</w:t>
      </w:r>
      <w:bookmarkEnd w:id="183"/>
    </w:p>
    <w:p w14:paraId="343EEC04">
      <w:pPr>
        <w:rPr>
          <w:highlight w:val="none"/>
          <w:lang w:bidi="ar"/>
        </w:rPr>
      </w:pPr>
      <w:r>
        <w:rPr>
          <w:rFonts w:hint="eastAsia"/>
          <w:highlight w:val="none"/>
          <w:lang w:bidi="ar"/>
        </w:rPr>
        <w:t>质保期从项目竣工验收开始计算，系统开发及实施质保1年。</w:t>
      </w:r>
    </w:p>
    <w:p w14:paraId="6CF118E3">
      <w:pPr>
        <w:pStyle w:val="3"/>
        <w:rPr>
          <w:highlight w:val="none"/>
        </w:rPr>
      </w:pPr>
      <w:bookmarkStart w:id="184" w:name="_Toc17583"/>
      <w:bookmarkStart w:id="185" w:name="_Toc20494"/>
      <w:r>
        <w:rPr>
          <w:rFonts w:hint="eastAsia"/>
          <w:highlight w:val="none"/>
        </w:rPr>
        <w:t>项目验收标准</w:t>
      </w:r>
      <w:bookmarkEnd w:id="184"/>
      <w:bookmarkEnd w:id="185"/>
    </w:p>
    <w:p w14:paraId="7854A895">
      <w:pPr>
        <w:rPr>
          <w:highlight w:val="none"/>
          <w:lang w:bidi="ar"/>
        </w:rPr>
      </w:pPr>
      <w:r>
        <w:rPr>
          <w:rFonts w:hint="eastAsia"/>
          <w:highlight w:val="none"/>
          <w:lang w:bidi="ar"/>
        </w:rPr>
        <w:t>通过本项目的开发实施，完成</w:t>
      </w:r>
      <w:r>
        <w:rPr>
          <w:rFonts w:hint="eastAsia"/>
          <w:highlight w:val="none"/>
          <w:lang w:val="en-US" w:eastAsia="zh-CN"/>
        </w:rPr>
        <w:t>2</w:t>
      </w:r>
      <w:r>
        <w:rPr>
          <w:rFonts w:hint="eastAsia"/>
          <w:highlight w:val="none"/>
        </w:rPr>
        <w:t>025年广州供电局计量中心（基于大模型的智能体能力提升）计量自动化系统主站改造计量自动化系统智能化改造</w:t>
      </w:r>
      <w:r>
        <w:rPr>
          <w:rFonts w:hint="eastAsia"/>
          <w:highlight w:val="none"/>
          <w:lang w:bidi="ar"/>
        </w:rPr>
        <w:t>的建设内容。项目完成后，由甲方组织专家组对项目进行验收。</w:t>
      </w:r>
    </w:p>
    <w:p w14:paraId="62D46087">
      <w:pPr>
        <w:pStyle w:val="3"/>
        <w:rPr>
          <w:highlight w:val="none"/>
        </w:rPr>
      </w:pPr>
      <w:bookmarkStart w:id="186" w:name="_Toc8960"/>
      <w:bookmarkStart w:id="187" w:name="_Toc28072"/>
      <w:r>
        <w:rPr>
          <w:rFonts w:hint="eastAsia"/>
          <w:highlight w:val="none"/>
        </w:rPr>
        <w:t>技术服务要求</w:t>
      </w:r>
      <w:bookmarkEnd w:id="186"/>
      <w:bookmarkEnd w:id="187"/>
    </w:p>
    <w:p w14:paraId="0887F363">
      <w:pPr>
        <w:rPr>
          <w:highlight w:val="none"/>
          <w:lang w:bidi="ar"/>
        </w:rPr>
      </w:pPr>
      <w:r>
        <w:rPr>
          <w:rFonts w:hint="eastAsia"/>
          <w:highlight w:val="none"/>
          <w:lang w:bidi="ar"/>
        </w:rPr>
        <w:t>1、投标方必须具备良好的运行机制和研发条件，具有</w:t>
      </w:r>
      <w:r>
        <w:rPr>
          <w:rFonts w:hint="eastAsia"/>
          <w:highlight w:val="none"/>
        </w:rPr>
        <w:t>网络安全等级评测</w:t>
      </w:r>
      <w:r>
        <w:rPr>
          <w:rFonts w:hint="eastAsia"/>
          <w:highlight w:val="none"/>
          <w:lang w:bidi="ar"/>
        </w:rPr>
        <w:t>三级系统建设能力，在大型信息系统开发实施领域具有较强的技术基础。</w:t>
      </w:r>
      <w:r>
        <w:rPr>
          <w:rFonts w:hint="eastAsia"/>
          <w:highlight w:val="none"/>
        </w:rPr>
        <w:t>本项目</w:t>
      </w:r>
      <w:r>
        <w:rPr>
          <w:highlight w:val="none"/>
        </w:rPr>
        <w:t>软件功能</w:t>
      </w:r>
      <w:r>
        <w:rPr>
          <w:rFonts w:hint="eastAsia"/>
          <w:highlight w:val="none"/>
        </w:rPr>
        <w:t>需要基于</w:t>
      </w:r>
      <w:r>
        <w:rPr>
          <w:rFonts w:hint="eastAsia" w:ascii="宋体" w:hAnsi="宋体" w:cs="宋体"/>
          <w:szCs w:val="21"/>
          <w:highlight w:val="none"/>
        </w:rPr>
        <w:t>广州计量自动化系统（广州局边缘节点）</w:t>
      </w:r>
      <w:r>
        <w:rPr>
          <w:rFonts w:hint="eastAsia"/>
          <w:highlight w:val="none"/>
        </w:rPr>
        <w:t>进行升级改造，满足现有系统国产安全自主可控要求，投标方应</w:t>
      </w:r>
      <w:r>
        <w:rPr>
          <w:highlight w:val="none"/>
        </w:rPr>
        <w:t>提供有效</w:t>
      </w:r>
      <w:r>
        <w:rPr>
          <w:rFonts w:hint="eastAsia"/>
          <w:highlight w:val="none"/>
        </w:rPr>
        <w:t>可行</w:t>
      </w:r>
      <w:r>
        <w:rPr>
          <w:highlight w:val="none"/>
        </w:rPr>
        <w:t>的解决方案</w:t>
      </w:r>
      <w:r>
        <w:rPr>
          <w:rFonts w:hint="eastAsia"/>
          <w:highlight w:val="none"/>
        </w:rPr>
        <w:t>。</w:t>
      </w:r>
    </w:p>
    <w:p w14:paraId="6290D65C">
      <w:pPr>
        <w:rPr>
          <w:highlight w:val="none"/>
          <w:lang w:bidi="ar"/>
        </w:rPr>
      </w:pPr>
      <w:r>
        <w:rPr>
          <w:rFonts w:hint="eastAsia"/>
          <w:highlight w:val="none"/>
          <w:lang w:bidi="ar"/>
        </w:rPr>
        <w:t>2、投标方在大型信息系统开发实施领域具有丰富的经验和良好的业绩，</w:t>
      </w:r>
      <w:r>
        <w:rPr>
          <w:rFonts w:hint="eastAsia"/>
          <w:highlight w:val="none"/>
        </w:rPr>
        <w:t>需</w:t>
      </w:r>
      <w:r>
        <w:rPr>
          <w:highlight w:val="none"/>
        </w:rPr>
        <w:t>提供</w:t>
      </w:r>
      <w:r>
        <w:rPr>
          <w:rFonts w:hint="eastAsia"/>
          <w:highlight w:val="none"/>
        </w:rPr>
        <w:t>相关证明材料，包括</w:t>
      </w:r>
      <w:r>
        <w:rPr>
          <w:highlight w:val="none"/>
        </w:rPr>
        <w:t>以往电力计量自动化</w:t>
      </w:r>
      <w:r>
        <w:rPr>
          <w:rFonts w:hint="eastAsia"/>
          <w:highlight w:val="none"/>
        </w:rPr>
        <w:t>系统</w:t>
      </w:r>
      <w:r>
        <w:rPr>
          <w:highlight w:val="none"/>
        </w:rPr>
        <w:t>项目的</w:t>
      </w:r>
      <w:r>
        <w:rPr>
          <w:rFonts w:hint="eastAsia"/>
          <w:highlight w:val="none"/>
        </w:rPr>
        <w:t>合同、上线报告、验收报告等</w:t>
      </w:r>
      <w:r>
        <w:rPr>
          <w:rFonts w:hint="eastAsia"/>
          <w:highlight w:val="none"/>
          <w:lang w:bidi="ar"/>
        </w:rPr>
        <w:t>。</w:t>
      </w:r>
    </w:p>
    <w:p w14:paraId="697C6681">
      <w:pPr>
        <w:rPr>
          <w:highlight w:val="none"/>
          <w:lang w:bidi="ar"/>
        </w:rPr>
      </w:pPr>
      <w:r>
        <w:rPr>
          <w:rFonts w:hint="eastAsia"/>
          <w:highlight w:val="none"/>
          <w:lang w:bidi="ar"/>
        </w:rPr>
        <w:t>3、投标方必须拥有一支稳定的项目团队，</w:t>
      </w:r>
      <w:r>
        <w:rPr>
          <w:rFonts w:hint="eastAsia" w:ascii="宋体" w:hAnsi="宋体" w:cs="宋体"/>
          <w:szCs w:val="21"/>
          <w:highlight w:val="none"/>
        </w:rPr>
        <w:t>其中</w:t>
      </w:r>
      <w:r>
        <w:rPr>
          <w:rFonts w:hint="eastAsia"/>
          <w:highlight w:val="none"/>
          <w:lang w:bidi="ar"/>
        </w:rPr>
        <w:t>项目负责人必须具有5年以上计量信息系统项目的实施和管理经验，项目服务人员必须具有3年以上计量自动化系统开发实施经验。同时，本项目</w:t>
      </w:r>
      <w:r>
        <w:rPr>
          <w:rFonts w:hint="eastAsia"/>
          <w:highlight w:val="none"/>
        </w:rPr>
        <w:t>需要基于</w:t>
      </w:r>
      <w:r>
        <w:rPr>
          <w:rFonts w:hint="eastAsia" w:ascii="宋体" w:hAnsi="宋体" w:cs="宋体"/>
          <w:szCs w:val="21"/>
          <w:highlight w:val="none"/>
        </w:rPr>
        <w:t>广州计量自动化系统（广州局边缘节点）</w:t>
      </w:r>
      <w:r>
        <w:rPr>
          <w:rFonts w:hint="eastAsia"/>
          <w:highlight w:val="none"/>
        </w:rPr>
        <w:t>进行升级改造，为满足现有系统运行环境要求，要求参与项目人员需持有</w:t>
      </w:r>
      <w:r>
        <w:rPr>
          <w:highlight w:val="none"/>
        </w:rPr>
        <w:t>Gauss DB</w:t>
      </w:r>
      <w:r>
        <w:rPr>
          <w:rFonts w:hint="eastAsia"/>
          <w:highlight w:val="none"/>
        </w:rPr>
        <w:t xml:space="preserve"> </w:t>
      </w:r>
      <w:r>
        <w:rPr>
          <w:highlight w:val="none"/>
        </w:rPr>
        <w:t>for DWS</w:t>
      </w:r>
      <w:r>
        <w:rPr>
          <w:rFonts w:hint="eastAsia"/>
          <w:highlight w:val="none"/>
        </w:rPr>
        <w:t>认证证书和华为云计算认证证书。</w:t>
      </w:r>
    </w:p>
    <w:p w14:paraId="64754FF5">
      <w:pPr>
        <w:rPr>
          <w:highlight w:val="none"/>
          <w:lang w:bidi="ar"/>
        </w:rPr>
      </w:pPr>
      <w:r>
        <w:rPr>
          <w:rFonts w:hint="eastAsia"/>
          <w:highlight w:val="none"/>
          <w:lang w:bidi="ar"/>
        </w:rPr>
        <w:t>4、投标方负责人应和招标方负责人进行各种形式的沟通，以保证项目的顺利进行和圆满完成。</w:t>
      </w:r>
    </w:p>
    <w:p w14:paraId="038955D4">
      <w:pPr>
        <w:rPr>
          <w:highlight w:val="none"/>
          <w:lang w:bidi="ar"/>
        </w:rPr>
      </w:pPr>
      <w:r>
        <w:rPr>
          <w:rFonts w:hint="eastAsia"/>
          <w:highlight w:val="none"/>
          <w:lang w:bidi="ar"/>
        </w:rPr>
        <w:t>5、投标方应按合同约定在招标方指定的时间内负责招标方技术人员和管理人员的培训，包括对系统使用人员按不同岗位及管理层次进行相应的应用培训和对系统管理人员进行维护、开发本系统的技术培训。</w:t>
      </w:r>
    </w:p>
    <w:p w14:paraId="46AE681A">
      <w:pPr>
        <w:pStyle w:val="3"/>
        <w:rPr>
          <w:highlight w:val="none"/>
        </w:rPr>
      </w:pPr>
      <w:bookmarkStart w:id="188" w:name="_Toc4082"/>
      <w:bookmarkStart w:id="189" w:name="_Toc26489"/>
      <w:r>
        <w:rPr>
          <w:rFonts w:hint="eastAsia"/>
          <w:highlight w:val="none"/>
        </w:rPr>
        <w:t>信息安全与第三方测试要求</w:t>
      </w:r>
      <w:bookmarkEnd w:id="188"/>
      <w:bookmarkEnd w:id="189"/>
    </w:p>
    <w:p w14:paraId="2BDC8F3A">
      <w:pPr>
        <w:rPr>
          <w:color w:val="000000" w:themeColor="text1"/>
          <w:highlight w:val="none"/>
          <w14:textFill>
            <w14:solidFill>
              <w14:schemeClr w14:val="tx1"/>
            </w14:solidFill>
          </w14:textFill>
        </w:rPr>
      </w:pPr>
      <w:r>
        <w:rPr>
          <w:rFonts w:hint="eastAsia"/>
          <w:highlight w:val="none"/>
        </w:rPr>
        <w:t>本项目必须通过</w:t>
      </w:r>
      <w:r>
        <w:rPr>
          <w:rFonts w:hint="eastAsia"/>
          <w:b/>
          <w:bCs/>
          <w:highlight w:val="none"/>
        </w:rPr>
        <w:t>网络安全等级评测(系统)、第三方测试、入网安全评测、源代码安全审查、商用密码应用安全性评估等计量自动化系统所要求的全部安全测评内容，</w:t>
      </w:r>
      <w:r>
        <w:rPr>
          <w:rFonts w:cs="宋体"/>
          <w:b/>
          <w:bCs/>
          <w:highlight w:val="none"/>
        </w:rPr>
        <w:t>并</w:t>
      </w:r>
      <w:r>
        <w:rPr>
          <w:rFonts w:hint="eastAsia" w:cs="宋体"/>
          <w:b/>
          <w:bCs/>
          <w:highlight w:val="none"/>
        </w:rPr>
        <w:t>负责</w:t>
      </w:r>
      <w:r>
        <w:rPr>
          <w:rFonts w:cs="宋体"/>
          <w:b/>
          <w:bCs/>
          <w:highlight w:val="none"/>
        </w:rPr>
        <w:t>交付具备相关资质单位出具的测评报告</w:t>
      </w:r>
      <w:r>
        <w:rPr>
          <w:rFonts w:hint="eastAsia" w:cs="宋体"/>
          <w:highlight w:val="none"/>
        </w:rPr>
        <w:t>，</w:t>
      </w:r>
      <w:r>
        <w:rPr>
          <w:rFonts w:hint="eastAsia"/>
          <w:highlight w:val="none"/>
        </w:rPr>
        <w:t>不得具有信息安全漏洞，不得违反信息安全与二次设备安全相关规定。</w:t>
      </w:r>
      <w:r>
        <w:rPr>
          <w:rFonts w:hint="eastAsia"/>
          <w:color w:val="000000" w:themeColor="text1"/>
          <w:highlight w:val="none"/>
          <w14:textFill>
            <w14:solidFill>
              <w14:schemeClr w14:val="tx1"/>
            </w14:solidFill>
          </w14:textFill>
        </w:rPr>
        <w:t>按照国家《网络安全审查办法》采购管理方面的有关要求，需要向国家网络安全审查办公室申报网络安全审查的产品或服务，中标候选人/中标人有义务配合网络安全审查工作，所需申报材料应在接到招标人通知的3个工作日内提供。</w:t>
      </w:r>
    </w:p>
    <w:p w14:paraId="476F7F7C">
      <w:pPr>
        <w:rPr>
          <w:highlight w:val="none"/>
        </w:rPr>
      </w:pPr>
      <w:r>
        <w:rPr>
          <w:rFonts w:hint="eastAsia"/>
          <w:color w:val="000000" w:themeColor="text1"/>
          <w:highlight w:val="none"/>
          <w14:textFill>
            <w14:solidFill>
              <w14:schemeClr w14:val="tx1"/>
            </w14:solidFill>
          </w14:textFill>
        </w:rPr>
        <w:t>其中</w:t>
      </w:r>
      <w:r>
        <w:rPr>
          <w:rFonts w:hint="eastAsia"/>
          <w:highlight w:val="none"/>
        </w:rPr>
        <w:t>等保测评应为三级，等级测评结论判定为基本符合，且不存在重大风险隐患。</w:t>
      </w:r>
    </w:p>
    <w:p w14:paraId="1B7A829A">
      <w:pPr>
        <w:pStyle w:val="3"/>
        <w:rPr>
          <w:highlight w:val="none"/>
        </w:rPr>
      </w:pPr>
      <w:bookmarkStart w:id="190" w:name="_Toc15153"/>
      <w:bookmarkStart w:id="191" w:name="_Toc757"/>
      <w:bookmarkStart w:id="192" w:name="_Toc23808"/>
      <w:bookmarkStart w:id="193" w:name="_Toc16599"/>
      <w:r>
        <w:rPr>
          <w:rFonts w:hint="eastAsia"/>
          <w:highlight w:val="none"/>
        </w:rPr>
        <w:t>质量保证措施</w:t>
      </w:r>
      <w:bookmarkEnd w:id="190"/>
      <w:bookmarkEnd w:id="191"/>
      <w:bookmarkEnd w:id="192"/>
      <w:bookmarkEnd w:id="193"/>
    </w:p>
    <w:p w14:paraId="45F11D85">
      <w:pPr>
        <w:pStyle w:val="4"/>
        <w:rPr>
          <w:highlight w:val="none"/>
        </w:rPr>
      </w:pPr>
      <w:bookmarkStart w:id="194" w:name="_Toc24811"/>
      <w:bookmarkStart w:id="195" w:name="_Toc28520"/>
      <w:bookmarkStart w:id="196" w:name="_Toc24727"/>
      <w:bookmarkStart w:id="197" w:name="_Toc25659"/>
      <w:r>
        <w:rPr>
          <w:rFonts w:hint="eastAsia"/>
          <w:highlight w:val="none"/>
        </w:rPr>
        <w:t>组织保证</w:t>
      </w:r>
      <w:bookmarkEnd w:id="194"/>
      <w:bookmarkEnd w:id="195"/>
      <w:bookmarkEnd w:id="196"/>
      <w:bookmarkEnd w:id="197"/>
    </w:p>
    <w:p w14:paraId="4E064D69">
      <w:pPr>
        <w:rPr>
          <w:highlight w:val="none"/>
          <w:lang w:val="zh-CN"/>
        </w:rPr>
      </w:pPr>
      <w:r>
        <w:rPr>
          <w:rFonts w:hint="eastAsia"/>
          <w:highlight w:val="none"/>
          <w:lang w:val="zh-CN"/>
        </w:rPr>
        <w:t>投标人应标时，必须向招标人提供拟派参加本项目的人员名单以及参加人员的资料，参加本项目的人员必须有项目实施经验。投标人必须向招标人保证项目人员组织的稳定性，在本项目工程结束前，参加本项目的人员变动必须取得招标人同意。</w:t>
      </w:r>
    </w:p>
    <w:p w14:paraId="62D483AB">
      <w:pPr>
        <w:pStyle w:val="4"/>
        <w:rPr>
          <w:highlight w:val="none"/>
        </w:rPr>
      </w:pPr>
      <w:bookmarkStart w:id="198" w:name="_Toc1246"/>
      <w:bookmarkStart w:id="199" w:name="_Toc8129"/>
      <w:bookmarkStart w:id="200" w:name="_Toc22800"/>
      <w:bookmarkStart w:id="201" w:name="_Toc152"/>
      <w:r>
        <w:rPr>
          <w:rFonts w:hint="eastAsia"/>
          <w:highlight w:val="none"/>
        </w:rPr>
        <w:t>质量保证</w:t>
      </w:r>
      <w:bookmarkEnd w:id="198"/>
      <w:bookmarkEnd w:id="199"/>
      <w:bookmarkEnd w:id="200"/>
      <w:bookmarkEnd w:id="201"/>
    </w:p>
    <w:p w14:paraId="0DCC1EC0">
      <w:pPr>
        <w:rPr>
          <w:highlight w:val="none"/>
          <w:lang w:val="zh-CN"/>
        </w:rPr>
      </w:pPr>
      <w:r>
        <w:rPr>
          <w:rFonts w:hint="eastAsia"/>
          <w:highlight w:val="none"/>
          <w:lang w:val="zh-CN"/>
        </w:rPr>
        <w:t>投标人应保证项目建设内容和项目质量均能满足本招标文件要求。相关内容应遵循并满足相关南网标准和广东电网标准。</w:t>
      </w:r>
    </w:p>
    <w:p w14:paraId="6AC4673E">
      <w:pPr>
        <w:pStyle w:val="3"/>
        <w:rPr>
          <w:highlight w:val="none"/>
        </w:rPr>
      </w:pPr>
      <w:bookmarkStart w:id="202" w:name="_Toc8074"/>
      <w:r>
        <w:rPr>
          <w:rFonts w:hint="eastAsia"/>
          <w:highlight w:val="none"/>
        </w:rPr>
        <w:t>源代码管理</w:t>
      </w:r>
      <w:bookmarkEnd w:id="202"/>
    </w:p>
    <w:p w14:paraId="0BB997E8">
      <w:pPr>
        <w:rPr>
          <w:highlight w:val="none"/>
        </w:rPr>
      </w:pPr>
      <w:r>
        <w:rPr>
          <w:rFonts w:hint="eastAsia"/>
          <w:highlight w:val="none"/>
        </w:rPr>
        <w:t>对源代码进行包括代码审查、源代码备份与恢复等等内容，中标方应在项目竣工前，通过招标人指定的形式向招标人交付源代码。</w:t>
      </w:r>
    </w:p>
    <w:p w14:paraId="6A0565C9">
      <w:pPr>
        <w:pStyle w:val="3"/>
        <w:rPr>
          <w:highlight w:val="none"/>
        </w:rPr>
      </w:pPr>
      <w:bookmarkStart w:id="203" w:name="_Toc12790"/>
      <w:bookmarkStart w:id="204" w:name="_Toc31970"/>
      <w:bookmarkStart w:id="205" w:name="_Toc24274"/>
      <w:bookmarkStart w:id="206" w:name="_Toc29050"/>
      <w:r>
        <w:rPr>
          <w:highlight w:val="none"/>
        </w:rPr>
        <w:t>其他要求</w:t>
      </w:r>
      <w:bookmarkEnd w:id="203"/>
      <w:bookmarkEnd w:id="204"/>
      <w:bookmarkEnd w:id="205"/>
      <w:bookmarkEnd w:id="206"/>
    </w:p>
    <w:p w14:paraId="6C1ECD4C">
      <w:pPr>
        <w:rPr>
          <w:highlight w:val="none"/>
        </w:rPr>
      </w:pPr>
      <w:r>
        <w:rPr>
          <w:rFonts w:hint="eastAsia"/>
          <w:highlight w:val="none"/>
        </w:rPr>
        <w:t>本技术规范书的最终解释权归招标人。</w:t>
      </w:r>
    </w:p>
    <w:p w14:paraId="74B6D16B">
      <w:pPr>
        <w:rPr>
          <w:highlight w:val="none"/>
        </w:rPr>
      </w:pPr>
    </w:p>
    <w:sectPr>
      <w:footerReference r:id="rId9" w:type="default"/>
      <w:pgSz w:w="11906" w:h="16838"/>
      <w:pgMar w:top="1843" w:right="1418" w:bottom="1418" w:left="1418" w:header="1021" w:footer="1021" w:gutter="0"/>
      <w:cols w:space="425"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Sim Sun">
    <w:altName w:val="宋体"/>
    <w:panose1 w:val="00000000000000000000"/>
    <w:charset w:val="86"/>
    <w:family w:val="auto"/>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Book Antiqua">
    <w:panose1 w:val="02040602050305030304"/>
    <w:charset w:val="00"/>
    <w:family w:val="roman"/>
    <w:pitch w:val="default"/>
    <w:sig w:usb0="00000287" w:usb1="00000000" w:usb2="00000000" w:usb3="00000000" w:csb0="2000009F" w:csb1="DFD70000"/>
  </w:font>
  <w:font w:name="Tahoma">
    <w:panose1 w:val="020B0604030504040204"/>
    <w:charset w:val="00"/>
    <w:family w:val="swiss"/>
    <w:pitch w:val="default"/>
    <w:sig w:usb0="E1002EFF" w:usb1="C000605B" w:usb2="00000029" w:usb3="00000000" w:csb0="200101FF" w:csb1="20280000"/>
  </w:font>
  <w:font w:name="华文细黑">
    <w:panose1 w:val="02010600040101010101"/>
    <w:charset w:val="86"/>
    <w:family w:val="auto"/>
    <w:pitch w:val="default"/>
    <w:sig w:usb0="00000287" w:usb1="080F0000" w:usb2="00000000" w:usb3="00000000" w:csb0="0004009F" w:csb1="DFD70000"/>
  </w:font>
  <w:font w:name="微软雅黑">
    <w:panose1 w:val="020B0503020204020204"/>
    <w:charset w:val="86"/>
    <w:family w:val="swiss"/>
    <w:pitch w:val="default"/>
    <w:sig w:usb0="80000287" w:usb1="2ACF3C50" w:usb2="00000016" w:usb3="00000000" w:csb0="0004001F" w:csb1="00000000"/>
  </w:font>
  <w:font w:name="Abadi MT Condensed Light">
    <w:altName w:val="MS PGothic"/>
    <w:panose1 w:val="00000000000000000000"/>
    <w:charset w:val="00"/>
    <w:family w:val="swiss"/>
    <w:pitch w:val="default"/>
    <w:sig w:usb0="00000000" w:usb1="00000000" w:usb2="00000000" w:usb3="00000000" w:csb0="00000001" w:csb1="00000000"/>
  </w:font>
  <w:font w:name="MS PGothic">
    <w:panose1 w:val="020B0600070205080204"/>
    <w:charset w:val="80"/>
    <w:family w:val="auto"/>
    <w:pitch w:val="default"/>
    <w:sig w:usb0="E00002FF" w:usb1="6AC7FDFB" w:usb2="08000012" w:usb3="00000000" w:csb0="4002009F" w:csb1="DFD70000"/>
  </w:font>
  <w:font w:name="Verdana">
    <w:panose1 w:val="020B0604030504040204"/>
    <w:charset w:val="00"/>
    <w:family w:val="swiss"/>
    <w:pitch w:val="default"/>
    <w:sig w:usb0="A00006FF" w:usb1="4000205B" w:usb2="00000010" w:usb3="00000000" w:csb0="2000019F" w:csb1="00000000"/>
  </w:font>
  <w:font w:name="华文仿宋">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95571100"/>
    </w:sdtPr>
    <w:sdtContent>
      <w:p w14:paraId="0E3C2834">
        <w:pPr>
          <w:pStyle w:val="35"/>
        </w:pPr>
        <w:r>
          <w:fldChar w:fldCharType="begin"/>
        </w:r>
        <w:r>
          <w:instrText xml:space="preserve">PAGE   \* MERGEFORMAT</w:instrText>
        </w:r>
        <w:r>
          <w:fldChar w:fldCharType="separate"/>
        </w:r>
        <w:r>
          <w:rPr>
            <w:lang w:val="zh-CN"/>
          </w:rPr>
          <w:t>II</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17590796"/>
    </w:sdtPr>
    <w:sdtContent>
      <w:p w14:paraId="693DEA40">
        <w:pPr>
          <w:pStyle w:val="35"/>
        </w:pPr>
        <w:r>
          <w:fldChar w:fldCharType="begin"/>
        </w:r>
        <w:r>
          <w:instrText xml:space="preserve">PAGE   \* MERGEFORMAT</w:instrText>
        </w:r>
        <w:r>
          <w:fldChar w:fldCharType="separate"/>
        </w:r>
        <w:r>
          <w:rPr>
            <w:lang w:val="zh-CN"/>
          </w:rPr>
          <w:t>7</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DC40D2">
    <w:pPr>
      <w:pStyle w:val="37"/>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46D1D1">
    <w:pPr>
      <w:pStyle w:val="37"/>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6C45D8">
    <w:pPr>
      <w:pStyle w:val="37"/>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1F3354"/>
    <w:multiLevelType w:val="singleLevel"/>
    <w:tmpl w:val="B51F3354"/>
    <w:lvl w:ilvl="0" w:tentative="0">
      <w:start w:val="4"/>
      <w:numFmt w:val="decimal"/>
      <w:pStyle w:val="274"/>
      <w:suff w:val="nothing"/>
      <w:lvlText w:val="（%1）"/>
      <w:lvlJc w:val="left"/>
    </w:lvl>
  </w:abstractNum>
  <w:abstractNum w:abstractNumId="1">
    <w:nsid w:val="B8AD8A7A"/>
    <w:multiLevelType w:val="singleLevel"/>
    <w:tmpl w:val="B8AD8A7A"/>
    <w:lvl w:ilvl="0" w:tentative="0">
      <w:start w:val="1"/>
      <w:numFmt w:val="decimal"/>
      <w:pStyle w:val="368"/>
      <w:lvlText w:val="表%1. "/>
      <w:lvlJc w:val="left"/>
      <w:pPr>
        <w:tabs>
          <w:tab w:val="left" w:pos="420"/>
        </w:tabs>
        <w:ind w:left="425" w:hanging="425"/>
      </w:pPr>
      <w:rPr>
        <w:rFonts w:hint="default" w:ascii="宋体" w:hAnsi="宋体" w:eastAsia="宋体" w:cs="宋体"/>
      </w:rPr>
    </w:lvl>
  </w:abstractNum>
  <w:abstractNum w:abstractNumId="2">
    <w:nsid w:val="E6060D67"/>
    <w:multiLevelType w:val="singleLevel"/>
    <w:tmpl w:val="E6060D67"/>
    <w:lvl w:ilvl="0" w:tentative="0">
      <w:start w:val="1"/>
      <w:numFmt w:val="decimal"/>
      <w:pStyle w:val="367"/>
      <w:lvlText w:val="图%1. "/>
      <w:lvlJc w:val="left"/>
      <w:pPr>
        <w:tabs>
          <w:tab w:val="left" w:pos="0"/>
        </w:tabs>
        <w:ind w:left="0" w:firstLine="0"/>
      </w:pPr>
      <w:rPr>
        <w:rFonts w:hint="default" w:ascii="宋体" w:hAnsi="宋体" w:eastAsia="宋体" w:cs="宋体"/>
      </w:rPr>
    </w:lvl>
  </w:abstractNum>
  <w:abstractNum w:abstractNumId="3">
    <w:nsid w:val="F57D712E"/>
    <w:multiLevelType w:val="multilevel"/>
    <w:tmpl w:val="F57D712E"/>
    <w:lvl w:ilvl="0" w:tentative="0">
      <w:start w:val="1"/>
      <w:numFmt w:val="decimal"/>
      <w:pStyle w:val="2"/>
      <w:suff w:val="space"/>
      <w:lvlText w:val="%1"/>
      <w:lvlJc w:val="left"/>
      <w:pPr>
        <w:ind w:left="425" w:hanging="425"/>
      </w:pPr>
      <w:rPr>
        <w:rFonts w:hint="default" w:ascii="Times New Roman" w:hAnsi="Times New Roman" w:eastAsia="宋体" w:cs="Times New Roman"/>
      </w:rPr>
    </w:lvl>
    <w:lvl w:ilvl="1" w:tentative="0">
      <w:start w:val="1"/>
      <w:numFmt w:val="decimal"/>
      <w:pStyle w:val="3"/>
      <w:suff w:val="nothing"/>
      <w:lvlText w:val="%1.%2"/>
      <w:lvlJc w:val="left"/>
      <w:pPr>
        <w:ind w:left="510" w:hanging="567"/>
      </w:pPr>
      <w:rPr>
        <w:rFonts w:hint="default" w:ascii="Times New Roman" w:hAnsi="Times New Roman" w:eastAsia="宋体" w:cs="宋体"/>
      </w:rPr>
    </w:lvl>
    <w:lvl w:ilvl="2" w:tentative="0">
      <w:start w:val="1"/>
      <w:numFmt w:val="decimal"/>
      <w:pStyle w:val="4"/>
      <w:lvlText w:val="%1.%2.%3"/>
      <w:lvlJc w:val="left"/>
      <w:pPr>
        <w:ind w:left="567" w:hanging="567"/>
      </w:pPr>
      <w:rPr>
        <w:rFonts w:hint="default" w:ascii="Times New Roman" w:hAnsi="Times New Roman" w:eastAsia="宋体" w:cs="Times New Roman"/>
      </w:rPr>
    </w:lvl>
    <w:lvl w:ilvl="3" w:tentative="0">
      <w:start w:val="1"/>
      <w:numFmt w:val="decimal"/>
      <w:pStyle w:val="5"/>
      <w:lvlText w:val="%1.%2.%3.%4"/>
      <w:lvlJc w:val="left"/>
      <w:pPr>
        <w:ind w:left="708" w:hanging="708"/>
      </w:pPr>
      <w:rPr>
        <w:rFonts w:hint="default" w:ascii="Times New Roman" w:hAnsi="Times New Roman" w:eastAsia="宋体" w:cs="Times New Roman"/>
      </w:rPr>
    </w:lvl>
    <w:lvl w:ilvl="4" w:tentative="0">
      <w:start w:val="1"/>
      <w:numFmt w:val="decimal"/>
      <w:pStyle w:val="6"/>
      <w:lvlText w:val="%1.%2.%3.%4.%5"/>
      <w:lvlJc w:val="left"/>
      <w:pPr>
        <w:ind w:left="850" w:hanging="850"/>
      </w:pPr>
      <w:rPr>
        <w:rFonts w:hint="default" w:ascii="Times New Roman" w:hAnsi="Times New Roman" w:eastAsia="宋体" w:cs="Times New Roman"/>
        <w:b/>
        <w:bCs/>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5" w:tentative="0">
      <w:start w:val="1"/>
      <w:numFmt w:val="decimal"/>
      <w:pStyle w:val="7"/>
      <w:lvlText w:val="%1.%2.%3.%4.%5.%6"/>
      <w:lvlJc w:val="left"/>
      <w:pPr>
        <w:ind w:left="1134" w:hanging="1134"/>
      </w:pPr>
      <w:rPr>
        <w:rFonts w:hint="default" w:ascii="Times New Roman" w:hAnsi="Times New Roman" w:eastAsia="宋体" w:cs="Times New Roman"/>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B503345"/>
    <w:multiLevelType w:val="multilevel"/>
    <w:tmpl w:val="0B503345"/>
    <w:lvl w:ilvl="0" w:tentative="0">
      <w:start w:val="1"/>
      <w:numFmt w:val="decimal"/>
      <w:lvlText w:val="%1"/>
      <w:lvlJc w:val="left"/>
      <w:pPr>
        <w:ind w:left="425" w:hanging="425"/>
      </w:pPr>
      <w:rPr>
        <w:rFonts w:hint="eastAsia"/>
      </w:rPr>
    </w:lvl>
    <w:lvl w:ilvl="1" w:tentative="0">
      <w:start w:val="1"/>
      <w:numFmt w:val="decimal"/>
      <w:lvlText w:val="%1.%2"/>
      <w:lvlJc w:val="left"/>
      <w:pPr>
        <w:ind w:left="425" w:hanging="425"/>
      </w:pPr>
      <w:rPr>
        <w:rFonts w:hint="eastAsia"/>
      </w:rPr>
    </w:lvl>
    <w:lvl w:ilvl="2" w:tentative="0">
      <w:start w:val="1"/>
      <w:numFmt w:val="decimal"/>
      <w:pStyle w:val="341"/>
      <w:lvlText w:val="%1.%2.%3"/>
      <w:lvlJc w:val="left"/>
      <w:pPr>
        <w:ind w:left="425" w:hanging="425"/>
      </w:pPr>
      <w:rPr>
        <w:rFonts w:hint="eastAsia"/>
        <w:i w:val="0"/>
        <w:iCs w:val="0"/>
        <w:caps w:val="0"/>
        <w:smallCaps w:val="0"/>
        <w:strike w:val="0"/>
        <w:dstrike w:val="0"/>
        <w:vanish w:val="0"/>
        <w:color w:val="000000"/>
        <w:spacing w:val="0"/>
        <w:position w:val="0"/>
        <w:u w:val="none"/>
        <w:vertAlign w:val="baseline"/>
      </w:rPr>
    </w:lvl>
    <w:lvl w:ilvl="3" w:tentative="0">
      <w:start w:val="1"/>
      <w:numFmt w:val="decimal"/>
      <w:lvlText w:val="%1.%2.%3.%4"/>
      <w:lvlJc w:val="left"/>
      <w:pPr>
        <w:ind w:left="425" w:hanging="425"/>
      </w:pPr>
      <w:rPr>
        <w:rFonts w:hint="eastAsia"/>
      </w:rPr>
    </w:lvl>
    <w:lvl w:ilvl="4" w:tentative="0">
      <w:start w:val="1"/>
      <w:numFmt w:val="decimal"/>
      <w:lvlText w:val="%1.%2.%3.%4.%5"/>
      <w:lvlJc w:val="left"/>
      <w:pPr>
        <w:ind w:left="425" w:hanging="425"/>
      </w:pPr>
      <w:rPr>
        <w:rFonts w:hint="eastAsia"/>
      </w:rPr>
    </w:lvl>
    <w:lvl w:ilvl="5" w:tentative="0">
      <w:start w:val="1"/>
      <w:numFmt w:val="decimal"/>
      <w:lvlText w:val="%1.%2.%3.%4.%5.%6"/>
      <w:lvlJc w:val="left"/>
      <w:pPr>
        <w:ind w:left="425" w:hanging="425"/>
      </w:pPr>
      <w:rPr>
        <w:rFonts w:hint="eastAsia"/>
      </w:rPr>
    </w:lvl>
    <w:lvl w:ilvl="6" w:tentative="0">
      <w:start w:val="1"/>
      <w:numFmt w:val="decimal"/>
      <w:lvlText w:val="%1.%2.%3.%4.%5.%6.%7"/>
      <w:lvlJc w:val="left"/>
      <w:pPr>
        <w:ind w:left="425" w:hanging="425"/>
      </w:pPr>
      <w:rPr>
        <w:rFonts w:hint="eastAsia"/>
      </w:rPr>
    </w:lvl>
    <w:lvl w:ilvl="7" w:tentative="0">
      <w:start w:val="1"/>
      <w:numFmt w:val="decimal"/>
      <w:lvlText w:val="%1.%2.%3.%4.%5.%6.%7.%8"/>
      <w:lvlJc w:val="left"/>
      <w:pPr>
        <w:ind w:left="425" w:hanging="425"/>
      </w:pPr>
      <w:rPr>
        <w:rFonts w:hint="eastAsia"/>
      </w:rPr>
    </w:lvl>
    <w:lvl w:ilvl="8" w:tentative="0">
      <w:start w:val="1"/>
      <w:numFmt w:val="decimal"/>
      <w:lvlText w:val="%1.%2.%3.%4.%5.%6.%7.%8.%9"/>
      <w:lvlJc w:val="left"/>
      <w:pPr>
        <w:ind w:left="425" w:hanging="425"/>
      </w:pPr>
      <w:rPr>
        <w:rFonts w:hint="eastAsia"/>
      </w:rPr>
    </w:lvl>
  </w:abstractNum>
  <w:abstractNum w:abstractNumId="5">
    <w:nsid w:val="107D40AE"/>
    <w:multiLevelType w:val="multilevel"/>
    <w:tmpl w:val="107D40AE"/>
    <w:lvl w:ilvl="0" w:tentative="0">
      <w:start w:val="1"/>
      <w:numFmt w:val="bullet"/>
      <w:pStyle w:val="310"/>
      <w:lvlText w:val=""/>
      <w:lvlJc w:val="left"/>
      <w:pPr>
        <w:ind w:left="127"/>
      </w:pPr>
      <w:rPr>
        <w:rFonts w:hint="default" w:ascii="Wingdings" w:hAnsi="Wingdings"/>
        <w:b w:val="0"/>
        <w:i w:val="0"/>
        <w:strike w:val="0"/>
        <w:dstrike w:val="0"/>
        <w:color w:val="000000"/>
        <w:sz w:val="21"/>
        <w:szCs w:val="21"/>
        <w:u w:val="none" w:color="000000"/>
        <w:shd w:val="clear" w:color="auto" w:fill="auto"/>
        <w:vertAlign w:val="baseline"/>
      </w:rPr>
    </w:lvl>
    <w:lvl w:ilvl="1" w:tentative="0">
      <w:start w:val="1"/>
      <w:numFmt w:val="lowerLetter"/>
      <w:lvlText w:val="%2"/>
      <w:lvlJc w:val="left"/>
      <w:pPr>
        <w:ind w:left="1500"/>
      </w:pPr>
      <w:rPr>
        <w:rFonts w:ascii="宋体" w:hAnsi="宋体" w:eastAsia="宋体" w:cs="宋体"/>
        <w:b w:val="0"/>
        <w:i w:val="0"/>
        <w:strike w:val="0"/>
        <w:dstrike w:val="0"/>
        <w:color w:val="000000"/>
        <w:sz w:val="21"/>
        <w:szCs w:val="21"/>
        <w:u w:val="none" w:color="000000"/>
        <w:shd w:val="clear" w:color="auto" w:fill="auto"/>
        <w:vertAlign w:val="baseline"/>
      </w:rPr>
    </w:lvl>
    <w:lvl w:ilvl="2" w:tentative="0">
      <w:start w:val="1"/>
      <w:numFmt w:val="lowerRoman"/>
      <w:lvlText w:val="%3"/>
      <w:lvlJc w:val="left"/>
      <w:pPr>
        <w:ind w:left="2220"/>
      </w:pPr>
      <w:rPr>
        <w:rFonts w:ascii="宋体" w:hAnsi="宋体" w:eastAsia="宋体" w:cs="宋体"/>
        <w:b w:val="0"/>
        <w:i w:val="0"/>
        <w:strike w:val="0"/>
        <w:dstrike w:val="0"/>
        <w:color w:val="000000"/>
        <w:sz w:val="21"/>
        <w:szCs w:val="21"/>
        <w:u w:val="none" w:color="000000"/>
        <w:shd w:val="clear" w:color="auto" w:fill="auto"/>
        <w:vertAlign w:val="baseline"/>
      </w:rPr>
    </w:lvl>
    <w:lvl w:ilvl="3" w:tentative="0">
      <w:start w:val="1"/>
      <w:numFmt w:val="decimal"/>
      <w:lvlText w:val="%4"/>
      <w:lvlJc w:val="left"/>
      <w:pPr>
        <w:ind w:left="2940"/>
      </w:pPr>
      <w:rPr>
        <w:rFonts w:ascii="宋体" w:hAnsi="宋体" w:eastAsia="宋体" w:cs="宋体"/>
        <w:b w:val="0"/>
        <w:i w:val="0"/>
        <w:strike w:val="0"/>
        <w:dstrike w:val="0"/>
        <w:color w:val="000000"/>
        <w:sz w:val="21"/>
        <w:szCs w:val="21"/>
        <w:u w:val="none" w:color="000000"/>
        <w:shd w:val="clear" w:color="auto" w:fill="auto"/>
        <w:vertAlign w:val="baseline"/>
      </w:rPr>
    </w:lvl>
    <w:lvl w:ilvl="4" w:tentative="0">
      <w:start w:val="1"/>
      <w:numFmt w:val="lowerLetter"/>
      <w:lvlText w:val="%5"/>
      <w:lvlJc w:val="left"/>
      <w:pPr>
        <w:ind w:left="3660"/>
      </w:pPr>
      <w:rPr>
        <w:rFonts w:ascii="宋体" w:hAnsi="宋体" w:eastAsia="宋体" w:cs="宋体"/>
        <w:b w:val="0"/>
        <w:i w:val="0"/>
        <w:strike w:val="0"/>
        <w:dstrike w:val="0"/>
        <w:color w:val="000000"/>
        <w:sz w:val="21"/>
        <w:szCs w:val="21"/>
        <w:u w:val="none" w:color="000000"/>
        <w:shd w:val="clear" w:color="auto" w:fill="auto"/>
        <w:vertAlign w:val="baseline"/>
      </w:rPr>
    </w:lvl>
    <w:lvl w:ilvl="5" w:tentative="0">
      <w:start w:val="1"/>
      <w:numFmt w:val="lowerRoman"/>
      <w:lvlText w:val="%6"/>
      <w:lvlJc w:val="left"/>
      <w:pPr>
        <w:ind w:left="4380"/>
      </w:pPr>
      <w:rPr>
        <w:rFonts w:ascii="宋体" w:hAnsi="宋体" w:eastAsia="宋体" w:cs="宋体"/>
        <w:b w:val="0"/>
        <w:i w:val="0"/>
        <w:strike w:val="0"/>
        <w:dstrike w:val="0"/>
        <w:color w:val="000000"/>
        <w:sz w:val="21"/>
        <w:szCs w:val="21"/>
        <w:u w:val="none" w:color="000000"/>
        <w:shd w:val="clear" w:color="auto" w:fill="auto"/>
        <w:vertAlign w:val="baseline"/>
      </w:rPr>
    </w:lvl>
    <w:lvl w:ilvl="6" w:tentative="0">
      <w:start w:val="1"/>
      <w:numFmt w:val="decimal"/>
      <w:lvlText w:val="%7"/>
      <w:lvlJc w:val="left"/>
      <w:pPr>
        <w:ind w:left="5100"/>
      </w:pPr>
      <w:rPr>
        <w:rFonts w:ascii="宋体" w:hAnsi="宋体" w:eastAsia="宋体" w:cs="宋体"/>
        <w:b w:val="0"/>
        <w:i w:val="0"/>
        <w:strike w:val="0"/>
        <w:dstrike w:val="0"/>
        <w:color w:val="000000"/>
        <w:sz w:val="21"/>
        <w:szCs w:val="21"/>
        <w:u w:val="none" w:color="000000"/>
        <w:shd w:val="clear" w:color="auto" w:fill="auto"/>
        <w:vertAlign w:val="baseline"/>
      </w:rPr>
    </w:lvl>
    <w:lvl w:ilvl="7" w:tentative="0">
      <w:start w:val="1"/>
      <w:numFmt w:val="lowerLetter"/>
      <w:lvlText w:val="%8"/>
      <w:lvlJc w:val="left"/>
      <w:pPr>
        <w:ind w:left="5820"/>
      </w:pPr>
      <w:rPr>
        <w:rFonts w:ascii="宋体" w:hAnsi="宋体" w:eastAsia="宋体" w:cs="宋体"/>
        <w:b w:val="0"/>
        <w:i w:val="0"/>
        <w:strike w:val="0"/>
        <w:dstrike w:val="0"/>
        <w:color w:val="000000"/>
        <w:sz w:val="21"/>
        <w:szCs w:val="21"/>
        <w:u w:val="none" w:color="000000"/>
        <w:shd w:val="clear" w:color="auto" w:fill="auto"/>
        <w:vertAlign w:val="baseline"/>
      </w:rPr>
    </w:lvl>
    <w:lvl w:ilvl="8" w:tentative="0">
      <w:start w:val="1"/>
      <w:numFmt w:val="lowerRoman"/>
      <w:lvlText w:val="%9"/>
      <w:lvlJc w:val="left"/>
      <w:pPr>
        <w:ind w:left="6540"/>
      </w:pPr>
      <w:rPr>
        <w:rFonts w:ascii="宋体" w:hAnsi="宋体" w:eastAsia="宋体" w:cs="宋体"/>
        <w:b w:val="0"/>
        <w:i w:val="0"/>
        <w:strike w:val="0"/>
        <w:dstrike w:val="0"/>
        <w:color w:val="000000"/>
        <w:sz w:val="21"/>
        <w:szCs w:val="21"/>
        <w:u w:val="none" w:color="000000"/>
        <w:shd w:val="clear" w:color="auto" w:fill="auto"/>
        <w:vertAlign w:val="baseline"/>
      </w:rPr>
    </w:lvl>
  </w:abstractNum>
  <w:abstractNum w:abstractNumId="6">
    <w:nsid w:val="146F0B97"/>
    <w:multiLevelType w:val="multilevel"/>
    <w:tmpl w:val="146F0B97"/>
    <w:lvl w:ilvl="0" w:tentative="0">
      <w:start w:val="1"/>
      <w:numFmt w:val="bullet"/>
      <w:pStyle w:val="212"/>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pStyle w:val="259"/>
      <w:lvlText w:val=""/>
      <w:lvlJc w:val="left"/>
      <w:pPr>
        <w:ind w:left="2580" w:hanging="420"/>
      </w:pPr>
      <w:rPr>
        <w:rFonts w:hint="default" w:ascii="Wingdings" w:hAnsi="Wingdings"/>
      </w:rPr>
    </w:lvl>
    <w:lvl w:ilvl="5" w:tentative="0">
      <w:start w:val="1"/>
      <w:numFmt w:val="bullet"/>
      <w:pStyle w:val="260"/>
      <w:lvlText w:val=""/>
      <w:lvlJc w:val="left"/>
      <w:pPr>
        <w:ind w:left="3000" w:hanging="420"/>
      </w:pPr>
      <w:rPr>
        <w:rFonts w:hint="default" w:ascii="Wingdings" w:hAnsi="Wingdings"/>
      </w:rPr>
    </w:lvl>
    <w:lvl w:ilvl="6" w:tentative="0">
      <w:start w:val="1"/>
      <w:numFmt w:val="bullet"/>
      <w:pStyle w:val="261"/>
      <w:lvlText w:val=""/>
      <w:lvlJc w:val="left"/>
      <w:pPr>
        <w:ind w:left="3420" w:hanging="420"/>
      </w:pPr>
      <w:rPr>
        <w:rFonts w:hint="default" w:ascii="Wingdings" w:hAnsi="Wingdings"/>
      </w:rPr>
    </w:lvl>
    <w:lvl w:ilvl="7" w:tentative="0">
      <w:start w:val="1"/>
      <w:numFmt w:val="bullet"/>
      <w:pStyle w:val="262"/>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7">
    <w:nsid w:val="157DD10B"/>
    <w:multiLevelType w:val="singleLevel"/>
    <w:tmpl w:val="157DD10B"/>
    <w:lvl w:ilvl="0" w:tentative="0">
      <w:start w:val="1"/>
      <w:numFmt w:val="decimal"/>
      <w:suff w:val="nothing"/>
      <w:lvlText w:val="(%1)"/>
      <w:lvlJc w:val="left"/>
      <w:pPr>
        <w:ind w:left="425" w:hanging="425"/>
      </w:pPr>
      <w:rPr>
        <w:rFonts w:hint="default"/>
      </w:rPr>
    </w:lvl>
  </w:abstractNum>
  <w:abstractNum w:abstractNumId="8">
    <w:nsid w:val="27F947C9"/>
    <w:multiLevelType w:val="singleLevel"/>
    <w:tmpl w:val="27F947C9"/>
    <w:lvl w:ilvl="0" w:tentative="0">
      <w:start w:val="1"/>
      <w:numFmt w:val="decimal"/>
      <w:suff w:val="nothing"/>
      <w:lvlText w:val="(%1)"/>
      <w:lvlJc w:val="left"/>
      <w:pPr>
        <w:ind w:left="425" w:hanging="425"/>
      </w:pPr>
      <w:rPr>
        <w:rFonts w:hint="default"/>
      </w:rPr>
    </w:lvl>
  </w:abstractNum>
  <w:abstractNum w:abstractNumId="9">
    <w:nsid w:val="295A2461"/>
    <w:multiLevelType w:val="multilevel"/>
    <w:tmpl w:val="295A2461"/>
    <w:lvl w:ilvl="0" w:tentative="0">
      <w:start w:val="1"/>
      <w:numFmt w:val="decimal"/>
      <w:pStyle w:val="27"/>
      <w:lvlText w:val="%1)"/>
      <w:lvlJc w:val="left"/>
      <w:pPr>
        <w:tabs>
          <w:tab w:val="left" w:pos="845"/>
        </w:tabs>
        <w:ind w:left="845" w:hanging="420"/>
      </w:pPr>
      <w:rPr>
        <w:rFonts w:hint="eastAsia"/>
      </w:rPr>
    </w:lvl>
    <w:lvl w:ilvl="1" w:tentative="0">
      <w:start w:val="1"/>
      <w:numFmt w:val="decimal"/>
      <w:pStyle w:val="126"/>
      <w:lvlText w:val="%2)"/>
      <w:lvlJc w:val="left"/>
      <w:pPr>
        <w:tabs>
          <w:tab w:val="left" w:pos="845"/>
        </w:tabs>
        <w:ind w:left="845" w:hanging="420"/>
      </w:pPr>
      <w:rPr>
        <w:rFonts w:hint="eastAsia"/>
      </w:rPr>
    </w:lvl>
    <w:lvl w:ilvl="2" w:tentative="0">
      <w:start w:val="1"/>
      <w:numFmt w:val="lowerRoman"/>
      <w:lvlText w:val="%3."/>
      <w:lvlJc w:val="right"/>
      <w:pPr>
        <w:tabs>
          <w:tab w:val="left" w:pos="1265"/>
        </w:tabs>
        <w:ind w:left="1265" w:hanging="420"/>
      </w:pPr>
    </w:lvl>
    <w:lvl w:ilvl="3" w:tentative="0">
      <w:start w:val="1"/>
      <w:numFmt w:val="decimal"/>
      <w:lvlText w:val="%4."/>
      <w:lvlJc w:val="left"/>
      <w:pPr>
        <w:tabs>
          <w:tab w:val="left" w:pos="1685"/>
        </w:tabs>
        <w:ind w:left="1685" w:hanging="420"/>
      </w:pPr>
    </w:lvl>
    <w:lvl w:ilvl="4" w:tentative="0">
      <w:start w:val="1"/>
      <w:numFmt w:val="lowerLetter"/>
      <w:lvlText w:val="%5)"/>
      <w:lvlJc w:val="left"/>
      <w:pPr>
        <w:tabs>
          <w:tab w:val="left" w:pos="2105"/>
        </w:tabs>
        <w:ind w:left="2105" w:hanging="420"/>
      </w:pPr>
    </w:lvl>
    <w:lvl w:ilvl="5" w:tentative="0">
      <w:start w:val="1"/>
      <w:numFmt w:val="lowerRoman"/>
      <w:lvlText w:val="%6."/>
      <w:lvlJc w:val="right"/>
      <w:pPr>
        <w:tabs>
          <w:tab w:val="left" w:pos="2525"/>
        </w:tabs>
        <w:ind w:left="2525" w:hanging="420"/>
      </w:pPr>
    </w:lvl>
    <w:lvl w:ilvl="6" w:tentative="0">
      <w:start w:val="1"/>
      <w:numFmt w:val="decimal"/>
      <w:lvlText w:val="%7."/>
      <w:lvlJc w:val="left"/>
      <w:pPr>
        <w:tabs>
          <w:tab w:val="left" w:pos="2945"/>
        </w:tabs>
        <w:ind w:left="2945" w:hanging="420"/>
      </w:pPr>
    </w:lvl>
    <w:lvl w:ilvl="7" w:tentative="0">
      <w:start w:val="1"/>
      <w:numFmt w:val="lowerLetter"/>
      <w:lvlText w:val="%8)"/>
      <w:lvlJc w:val="left"/>
      <w:pPr>
        <w:tabs>
          <w:tab w:val="left" w:pos="3365"/>
        </w:tabs>
        <w:ind w:left="3365" w:hanging="420"/>
      </w:pPr>
    </w:lvl>
    <w:lvl w:ilvl="8" w:tentative="0">
      <w:start w:val="1"/>
      <w:numFmt w:val="lowerRoman"/>
      <w:lvlText w:val="%9."/>
      <w:lvlJc w:val="right"/>
      <w:pPr>
        <w:tabs>
          <w:tab w:val="left" w:pos="3785"/>
        </w:tabs>
        <w:ind w:left="3785" w:hanging="420"/>
      </w:pPr>
    </w:lvl>
  </w:abstractNum>
  <w:abstractNum w:abstractNumId="10">
    <w:nsid w:val="302251E3"/>
    <w:multiLevelType w:val="multilevel"/>
    <w:tmpl w:val="302251E3"/>
    <w:lvl w:ilvl="0" w:tentative="0">
      <w:start w:val="1"/>
      <w:numFmt w:val="decimal"/>
      <w:pStyle w:val="264"/>
      <w:suff w:val="space"/>
      <w:lvlText w:val="%1、"/>
      <w:lvlJc w:val="left"/>
      <w:pPr>
        <w:ind w:left="567" w:hanging="87"/>
      </w:pPr>
      <w:rPr>
        <w:rFonts w:hint="default" w:ascii="Times New Roman" w:hAnsi="Times New Roman" w:cs="Times New Roman"/>
      </w:rPr>
    </w:lvl>
    <w:lvl w:ilvl="1" w:tentative="0">
      <w:start w:val="1"/>
      <w:numFmt w:val="lowerLetter"/>
      <w:lvlText w:val="%2)"/>
      <w:lvlJc w:val="left"/>
      <w:pPr>
        <w:tabs>
          <w:tab w:val="left" w:pos="1320"/>
        </w:tabs>
        <w:ind w:left="1320" w:hanging="420"/>
      </w:pPr>
      <w:rPr>
        <w:rFonts w:hint="eastAsia"/>
      </w:rPr>
    </w:lvl>
    <w:lvl w:ilvl="2" w:tentative="0">
      <w:start w:val="1"/>
      <w:numFmt w:val="lowerRoman"/>
      <w:lvlText w:val="%3."/>
      <w:lvlJc w:val="right"/>
      <w:pPr>
        <w:tabs>
          <w:tab w:val="left" w:pos="1740"/>
        </w:tabs>
        <w:ind w:left="1740" w:hanging="420"/>
      </w:pPr>
      <w:rPr>
        <w:rFonts w:hint="eastAsia"/>
      </w:rPr>
    </w:lvl>
    <w:lvl w:ilvl="3" w:tentative="0">
      <w:start w:val="1"/>
      <w:numFmt w:val="decimal"/>
      <w:lvlText w:val="%4."/>
      <w:lvlJc w:val="left"/>
      <w:pPr>
        <w:tabs>
          <w:tab w:val="left" w:pos="2160"/>
        </w:tabs>
        <w:ind w:left="2160" w:hanging="420"/>
      </w:pPr>
      <w:rPr>
        <w:rFonts w:hint="eastAsia"/>
      </w:rPr>
    </w:lvl>
    <w:lvl w:ilvl="4" w:tentative="0">
      <w:start w:val="1"/>
      <w:numFmt w:val="lowerLetter"/>
      <w:lvlText w:val="%5)"/>
      <w:lvlJc w:val="left"/>
      <w:pPr>
        <w:tabs>
          <w:tab w:val="left" w:pos="2580"/>
        </w:tabs>
        <w:ind w:left="2580" w:hanging="420"/>
      </w:pPr>
      <w:rPr>
        <w:rFonts w:hint="eastAsia"/>
      </w:rPr>
    </w:lvl>
    <w:lvl w:ilvl="5" w:tentative="0">
      <w:start w:val="1"/>
      <w:numFmt w:val="lowerRoman"/>
      <w:lvlText w:val="%6."/>
      <w:lvlJc w:val="right"/>
      <w:pPr>
        <w:tabs>
          <w:tab w:val="left" w:pos="3000"/>
        </w:tabs>
        <w:ind w:left="3000" w:hanging="420"/>
      </w:pPr>
      <w:rPr>
        <w:rFonts w:hint="eastAsia"/>
      </w:rPr>
    </w:lvl>
    <w:lvl w:ilvl="6" w:tentative="0">
      <w:start w:val="1"/>
      <w:numFmt w:val="decimal"/>
      <w:lvlText w:val="%7."/>
      <w:lvlJc w:val="left"/>
      <w:pPr>
        <w:tabs>
          <w:tab w:val="left" w:pos="3420"/>
        </w:tabs>
        <w:ind w:left="3420" w:hanging="420"/>
      </w:pPr>
      <w:rPr>
        <w:rFonts w:hint="eastAsia"/>
      </w:rPr>
    </w:lvl>
    <w:lvl w:ilvl="7" w:tentative="0">
      <w:start w:val="1"/>
      <w:numFmt w:val="lowerLetter"/>
      <w:lvlText w:val="%8)"/>
      <w:lvlJc w:val="left"/>
      <w:pPr>
        <w:tabs>
          <w:tab w:val="left" w:pos="3840"/>
        </w:tabs>
        <w:ind w:left="3840" w:hanging="420"/>
      </w:pPr>
      <w:rPr>
        <w:rFonts w:hint="eastAsia"/>
      </w:rPr>
    </w:lvl>
    <w:lvl w:ilvl="8" w:tentative="0">
      <w:start w:val="1"/>
      <w:numFmt w:val="lowerRoman"/>
      <w:lvlText w:val="%9."/>
      <w:lvlJc w:val="right"/>
      <w:pPr>
        <w:tabs>
          <w:tab w:val="left" w:pos="4260"/>
        </w:tabs>
        <w:ind w:left="4260" w:hanging="420"/>
      </w:pPr>
      <w:rPr>
        <w:rFonts w:hint="eastAsia"/>
      </w:rPr>
    </w:lvl>
  </w:abstractNum>
  <w:abstractNum w:abstractNumId="11">
    <w:nsid w:val="32B801BE"/>
    <w:multiLevelType w:val="multilevel"/>
    <w:tmpl w:val="32B801BE"/>
    <w:lvl w:ilvl="0" w:tentative="0">
      <w:start w:val="1"/>
      <w:numFmt w:val="decimal"/>
      <w:pStyle w:val="90"/>
      <w:lvlText w:val="%1)"/>
      <w:lvlJc w:val="righ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2">
    <w:nsid w:val="35C21C21"/>
    <w:multiLevelType w:val="multilevel"/>
    <w:tmpl w:val="35C21C21"/>
    <w:lvl w:ilvl="0" w:tentative="0">
      <w:start w:val="1"/>
      <w:numFmt w:val="decimal"/>
      <w:pStyle w:val="98"/>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3">
    <w:nsid w:val="4BCD4CE7"/>
    <w:multiLevelType w:val="multilevel"/>
    <w:tmpl w:val="4BCD4CE7"/>
    <w:lvl w:ilvl="0" w:tentative="0">
      <w:start w:val="1"/>
      <w:numFmt w:val="lowerLetter"/>
      <w:pStyle w:val="209"/>
      <w:suff w:val="nothing"/>
      <w:lvlText w:val="%1)"/>
      <w:lvlJc w:val="left"/>
      <w:pPr>
        <w:ind w:left="839" w:hanging="419"/>
      </w:pPr>
      <w:rPr>
        <w:rFonts w:hint="default" w:ascii="Times New Roman" w:hAnsi="Times New Roman" w:eastAsia="宋体" w:cs="Times New Roman"/>
        <w:b w:val="0"/>
        <w:i w:val="0"/>
        <w:sz w:val="24"/>
        <w:szCs w:val="24"/>
      </w:rPr>
    </w:lvl>
    <w:lvl w:ilvl="1" w:tentative="0">
      <w:start w:val="1"/>
      <w:numFmt w:val="decimal"/>
      <w:lvlText w:val="%2)"/>
      <w:lvlJc w:val="left"/>
      <w:pPr>
        <w:tabs>
          <w:tab w:val="left" w:pos="1260"/>
        </w:tabs>
        <w:ind w:left="1259" w:hanging="419"/>
      </w:pPr>
      <w:rPr>
        <w:rFonts w:hint="eastAsia"/>
      </w:rPr>
    </w:lvl>
    <w:lvl w:ilvl="2" w:tentative="0">
      <w:start w:val="1"/>
      <w:numFmt w:val="decimal"/>
      <w:pStyle w:val="253"/>
      <w:lvlText w:val="(%3)"/>
      <w:lvlJc w:val="left"/>
      <w:pPr>
        <w:tabs>
          <w:tab w:val="left" w:pos="0"/>
        </w:tabs>
        <w:ind w:left="1679" w:hanging="420"/>
      </w:pPr>
      <w:rPr>
        <w:rFonts w:hint="eastAsia" w:ascii="宋体" w:eastAsia="宋体"/>
        <w:b w:val="0"/>
        <w:i w:val="0"/>
        <w:sz w:val="21"/>
        <w:szCs w:val="21"/>
      </w:rPr>
    </w:lvl>
    <w:lvl w:ilvl="3" w:tentative="0">
      <w:start w:val="1"/>
      <w:numFmt w:val="decimal"/>
      <w:pStyle w:val="251"/>
      <w:lvlText w:val="%4."/>
      <w:lvlJc w:val="left"/>
      <w:pPr>
        <w:tabs>
          <w:tab w:val="left" w:pos="2100"/>
        </w:tabs>
        <w:ind w:left="2099" w:hanging="419"/>
      </w:pPr>
      <w:rPr>
        <w:rFonts w:hint="eastAsia"/>
      </w:rPr>
    </w:lvl>
    <w:lvl w:ilvl="4" w:tentative="0">
      <w:start w:val="1"/>
      <w:numFmt w:val="lowerLetter"/>
      <w:pStyle w:val="252"/>
      <w:lvlText w:val="%5)"/>
      <w:lvlJc w:val="left"/>
      <w:pPr>
        <w:tabs>
          <w:tab w:val="left" w:pos="2520"/>
        </w:tabs>
        <w:ind w:left="2519" w:hanging="419"/>
      </w:pPr>
      <w:rPr>
        <w:rFonts w:hint="eastAsia"/>
      </w:rPr>
    </w:lvl>
    <w:lvl w:ilvl="5" w:tentative="0">
      <w:start w:val="1"/>
      <w:numFmt w:val="lowerRoman"/>
      <w:pStyle w:val="254"/>
      <w:lvlText w:val="%6."/>
      <w:lvlJc w:val="right"/>
      <w:pPr>
        <w:tabs>
          <w:tab w:val="left" w:pos="2940"/>
        </w:tabs>
        <w:ind w:left="2939" w:hanging="419"/>
      </w:pPr>
      <w:rPr>
        <w:rFonts w:hint="eastAsia"/>
      </w:rPr>
    </w:lvl>
    <w:lvl w:ilvl="6" w:tentative="0">
      <w:start w:val="1"/>
      <w:numFmt w:val="decimal"/>
      <w:pStyle w:val="255"/>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54352AB5"/>
    <w:multiLevelType w:val="singleLevel"/>
    <w:tmpl w:val="54352AB5"/>
    <w:lvl w:ilvl="0" w:tentative="0">
      <w:start w:val="1"/>
      <w:numFmt w:val="decimal"/>
      <w:suff w:val="nothing"/>
      <w:lvlText w:val="(%1)"/>
      <w:lvlJc w:val="left"/>
      <w:pPr>
        <w:ind w:left="425" w:hanging="425"/>
      </w:pPr>
      <w:rPr>
        <w:rFonts w:hint="default"/>
      </w:rPr>
    </w:lvl>
  </w:abstractNum>
  <w:abstractNum w:abstractNumId="15">
    <w:nsid w:val="573A1C41"/>
    <w:multiLevelType w:val="singleLevel"/>
    <w:tmpl w:val="573A1C41"/>
    <w:lvl w:ilvl="0" w:tentative="0">
      <w:start w:val="1"/>
      <w:numFmt w:val="decimal"/>
      <w:suff w:val="nothing"/>
      <w:lvlText w:val="(%1)"/>
      <w:lvlJc w:val="left"/>
      <w:pPr>
        <w:ind w:left="425" w:hanging="425"/>
      </w:pPr>
      <w:rPr>
        <w:rFonts w:hint="default"/>
      </w:rPr>
    </w:lvl>
  </w:abstractNum>
  <w:abstractNum w:abstractNumId="16">
    <w:nsid w:val="5B621A86"/>
    <w:multiLevelType w:val="multilevel"/>
    <w:tmpl w:val="5B621A86"/>
    <w:lvl w:ilvl="0" w:tentative="0">
      <w:start w:val="1"/>
      <w:numFmt w:val="bullet"/>
      <w:pStyle w:val="119"/>
      <w:lvlText w:val=""/>
      <w:lvlJc w:val="left"/>
      <w:pPr>
        <w:tabs>
          <w:tab w:val="left" w:pos="840"/>
        </w:tabs>
        <w:ind w:left="0" w:firstLine="420"/>
      </w:pPr>
      <w:rPr>
        <w:rFonts w:hint="default" w:ascii="Wingdings" w:hAnsi="Wingdings"/>
      </w:rPr>
    </w:lvl>
    <w:lvl w:ilvl="1" w:tentative="0">
      <w:start w:val="1"/>
      <w:numFmt w:val="none"/>
      <w:lvlRestart w:val="0"/>
      <w:lvlText w:val="%2"/>
      <w:lvlJc w:val="left"/>
      <w:pPr>
        <w:tabs>
          <w:tab w:val="left" w:pos="0"/>
        </w:tabs>
        <w:ind w:left="0" w:firstLine="0"/>
      </w:pPr>
      <w:rPr>
        <w:rFonts w:hint="eastAsia"/>
      </w:rPr>
    </w:lvl>
    <w:lvl w:ilvl="2" w:tentative="0">
      <w:start w:val="1"/>
      <w:numFmt w:val="none"/>
      <w:lvlRestart w:val="0"/>
      <w:lvlText w:val=""/>
      <w:lvlJc w:val="left"/>
      <w:pPr>
        <w:tabs>
          <w:tab w:val="left" w:pos="0"/>
        </w:tabs>
        <w:ind w:left="0" w:firstLine="0"/>
      </w:pPr>
      <w:rPr>
        <w:rFonts w:hint="eastAsia"/>
      </w:rPr>
    </w:lvl>
    <w:lvl w:ilvl="3" w:tentative="0">
      <w:start w:val="1"/>
      <w:numFmt w:val="none"/>
      <w:lvlRestart w:val="0"/>
      <w:lvlText w:val=""/>
      <w:lvlJc w:val="right"/>
      <w:pPr>
        <w:tabs>
          <w:tab w:val="left" w:pos="0"/>
        </w:tabs>
        <w:ind w:left="0" w:firstLine="0"/>
      </w:pPr>
      <w:rPr>
        <w:rFonts w:hint="eastAsia"/>
      </w:rPr>
    </w:lvl>
    <w:lvl w:ilvl="4" w:tentative="0">
      <w:start w:val="1"/>
      <w:numFmt w:val="none"/>
      <w:lvlRestart w:val="0"/>
      <w:lvlText w:val="%5"/>
      <w:lvlJc w:val="left"/>
      <w:pPr>
        <w:tabs>
          <w:tab w:val="left" w:pos="0"/>
        </w:tabs>
        <w:ind w:left="0" w:firstLine="0"/>
      </w:pPr>
      <w:rPr>
        <w:rFonts w:hint="eastAsia"/>
      </w:rPr>
    </w:lvl>
    <w:lvl w:ilvl="5" w:tentative="0">
      <w:start w:val="1"/>
      <w:numFmt w:val="none"/>
      <w:lvlRestart w:val="0"/>
      <w:lvlText w:val="%6"/>
      <w:lvlJc w:val="left"/>
      <w:pPr>
        <w:tabs>
          <w:tab w:val="left" w:pos="0"/>
        </w:tabs>
        <w:ind w:left="0" w:firstLine="0"/>
      </w:pPr>
      <w:rPr>
        <w:rFonts w:hint="eastAsia"/>
      </w:rPr>
    </w:lvl>
    <w:lvl w:ilvl="6" w:tentative="0">
      <w:start w:val="1"/>
      <w:numFmt w:val="none"/>
      <w:lvlRestart w:val="0"/>
      <w:lvlText w:val="%7"/>
      <w:lvlJc w:val="right"/>
      <w:pPr>
        <w:tabs>
          <w:tab w:val="left" w:pos="0"/>
        </w:tabs>
        <w:ind w:left="0" w:firstLine="0"/>
      </w:pPr>
      <w:rPr>
        <w:rFonts w:hint="eastAsia"/>
      </w:rPr>
    </w:lvl>
    <w:lvl w:ilvl="7" w:tentative="0">
      <w:start w:val="1"/>
      <w:numFmt w:val="none"/>
      <w:lvlRestart w:val="0"/>
      <w:lvlText w:val="%8"/>
      <w:lvlJc w:val="left"/>
      <w:pPr>
        <w:tabs>
          <w:tab w:val="left" w:pos="0"/>
        </w:tabs>
        <w:ind w:left="0" w:firstLine="0"/>
      </w:pPr>
      <w:rPr>
        <w:rFonts w:hint="eastAsia"/>
      </w:rPr>
    </w:lvl>
    <w:lvl w:ilvl="8" w:tentative="0">
      <w:start w:val="1"/>
      <w:numFmt w:val="none"/>
      <w:lvlRestart w:val="0"/>
      <w:lvlText w:val="%9"/>
      <w:lvlJc w:val="right"/>
      <w:pPr>
        <w:tabs>
          <w:tab w:val="left" w:pos="0"/>
        </w:tabs>
        <w:ind w:left="0" w:firstLine="0"/>
      </w:pPr>
      <w:rPr>
        <w:rFonts w:hint="eastAsia"/>
      </w:rPr>
    </w:lvl>
  </w:abstractNum>
  <w:abstractNum w:abstractNumId="17">
    <w:nsid w:val="5CA91C7E"/>
    <w:multiLevelType w:val="multilevel"/>
    <w:tmpl w:val="5CA91C7E"/>
    <w:lvl w:ilvl="0" w:tentative="0">
      <w:start w:val="1"/>
      <w:numFmt w:val="bullet"/>
      <w:pStyle w:val="141"/>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8">
    <w:nsid w:val="656E7BB8"/>
    <w:multiLevelType w:val="multilevel"/>
    <w:tmpl w:val="656E7BB8"/>
    <w:lvl w:ilvl="0" w:tentative="0">
      <w:start w:val="1"/>
      <w:numFmt w:val="none"/>
      <w:pStyle w:val="240"/>
      <w:suff w:val="nothing"/>
      <w:lvlText w:val=""/>
      <w:lvlJc w:val="left"/>
      <w:pPr>
        <w:ind w:left="0" w:firstLine="0"/>
      </w:pPr>
      <w:rPr>
        <w:rFonts w:hint="eastAsia" w:ascii="黑体" w:hAnsi="Times New Roman" w:eastAsia="黑体"/>
        <w:b/>
        <w:i w:val="0"/>
        <w:sz w:val="28"/>
      </w:rPr>
    </w:lvl>
    <w:lvl w:ilvl="1" w:tentative="0">
      <w:start w:val="1"/>
      <w:numFmt w:val="decimal"/>
      <w:pStyle w:val="162"/>
      <w:lvlText w:val="%1%2"/>
      <w:lvlJc w:val="left"/>
      <w:pPr>
        <w:tabs>
          <w:tab w:val="left" w:pos="360"/>
        </w:tabs>
        <w:ind w:left="0" w:firstLine="0"/>
      </w:pPr>
      <w:rPr>
        <w:rFonts w:hint="eastAsia" w:ascii="黑体" w:hAnsi="Times New Roman" w:eastAsia="黑体"/>
        <w:b/>
        <w:i w:val="0"/>
        <w:sz w:val="20"/>
      </w:rPr>
    </w:lvl>
    <w:lvl w:ilvl="2" w:tentative="0">
      <w:start w:val="1"/>
      <w:numFmt w:val="decimal"/>
      <w:pStyle w:val="163"/>
      <w:lvlText w:val="%1%2.%3"/>
      <w:lvlJc w:val="left"/>
      <w:pPr>
        <w:tabs>
          <w:tab w:val="left" w:pos="1359"/>
        </w:tabs>
        <w:ind w:left="639" w:firstLine="0"/>
      </w:pPr>
      <w:rPr>
        <w:rFonts w:ascii="Times New Roman" w:hAnsi="Times New Roman" w:cs="Times New Roman"/>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164"/>
      <w:lvlText w:val="%1%2.%3.%4"/>
      <w:lvlJc w:val="left"/>
      <w:pPr>
        <w:tabs>
          <w:tab w:val="left" w:pos="720"/>
        </w:tabs>
        <w:ind w:left="0" w:firstLine="0"/>
      </w:pPr>
      <w:rPr>
        <w:rFonts w:ascii="Times New Roman" w:hAnsi="Times New Roman" w:cs="Times New Roman"/>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4" w:tentative="0">
      <w:start w:val="1"/>
      <w:numFmt w:val="decimal"/>
      <w:pStyle w:val="165"/>
      <w:lvlText w:val="%2.%3.%4.%5"/>
      <w:lvlJc w:val="left"/>
      <w:pPr>
        <w:tabs>
          <w:tab w:val="left" w:pos="1080"/>
        </w:tabs>
        <w:ind w:left="0" w:firstLine="0"/>
      </w:pPr>
      <w:rPr>
        <w:rFonts w:ascii="Times New Roman" w:hAnsi="Times New Roman" w:cs="Times New Roman"/>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5" w:tentative="0">
      <w:start w:val="1"/>
      <w:numFmt w:val="decimal"/>
      <w:pStyle w:val="166"/>
      <w:lvlText w:val="%2.%3.%4.%5.%6"/>
      <w:lvlJc w:val="left"/>
      <w:pPr>
        <w:tabs>
          <w:tab w:val="left" w:pos="1021"/>
        </w:tabs>
        <w:ind w:left="1021" w:hanging="1021"/>
      </w:pPr>
      <w:rPr>
        <w:rFonts w:hint="eastAsia" w:ascii="黑体" w:hAnsi="Times New Roman" w:eastAsia="黑体"/>
        <w:b/>
        <w:i w:val="0"/>
        <w:sz w:val="21"/>
      </w:rPr>
    </w:lvl>
    <w:lvl w:ilvl="6" w:tentative="0">
      <w:start w:val="1"/>
      <w:numFmt w:val="decimal"/>
      <w:lvlRestart w:val="5"/>
      <w:pStyle w:val="167"/>
      <w:lvlText w:val="%2.%3.%4.%5.%6.%7"/>
      <w:lvlJc w:val="left"/>
      <w:pPr>
        <w:tabs>
          <w:tab w:val="left" w:pos="1440"/>
        </w:tabs>
        <w:ind w:left="0" w:firstLine="0"/>
      </w:pPr>
      <w:rPr>
        <w:rFonts w:hint="eastAsia" w:ascii="黑体" w:hAnsi="Times New Roman" w:eastAsia="黑体"/>
        <w:b/>
        <w:i w:val="0"/>
        <w:sz w:val="21"/>
      </w:rPr>
    </w:lvl>
    <w:lvl w:ilvl="7" w:tentative="0">
      <w:start w:val="1"/>
      <w:numFmt w:val="decimal"/>
      <w:lvlRestart w:val="5"/>
      <w:lvlText w:val="图 %2.0.%5 -%8"/>
      <w:lvlJc w:val="left"/>
      <w:pPr>
        <w:tabs>
          <w:tab w:val="left" w:pos="1440"/>
        </w:tabs>
        <w:ind w:left="0" w:firstLine="0"/>
      </w:pPr>
      <w:rPr>
        <w:rFonts w:hint="eastAsia" w:ascii="黑体" w:eastAsia="黑体"/>
        <w:b/>
        <w:i w:val="0"/>
        <w:sz w:val="21"/>
      </w:rPr>
    </w:lvl>
    <w:lvl w:ilvl="8" w:tentative="0">
      <w:start w:val="1"/>
      <w:numFmt w:val="decimal"/>
      <w:lvlRestart w:val="6"/>
      <w:lvlText w:val="      %9)"/>
      <w:lvlJc w:val="left"/>
      <w:pPr>
        <w:tabs>
          <w:tab w:val="left" w:pos="1080"/>
        </w:tabs>
        <w:ind w:left="0" w:firstLine="0"/>
      </w:pPr>
      <w:rPr>
        <w:rFonts w:hint="eastAsia" w:ascii="黑体" w:hAnsi="华文细黑" w:eastAsia="黑体"/>
        <w:b/>
        <w:i w:val="0"/>
        <w:sz w:val="21"/>
      </w:rPr>
    </w:lvl>
  </w:abstractNum>
  <w:abstractNum w:abstractNumId="19">
    <w:nsid w:val="67CBD2B6"/>
    <w:multiLevelType w:val="multilevel"/>
    <w:tmpl w:val="67CBD2B6"/>
    <w:lvl w:ilvl="0" w:tentative="0">
      <w:start w:val="1"/>
      <w:numFmt w:val="decimal"/>
      <w:pStyle w:val="61"/>
      <w:suff w:val="space"/>
      <w:lvlText w:val="(%1)"/>
      <w:lvlJc w:val="left"/>
      <w:pPr>
        <w:ind w:left="427" w:hanging="425"/>
      </w:pPr>
    </w:lvl>
    <w:lvl w:ilvl="1" w:tentative="0">
      <w:start w:val="1"/>
      <w:numFmt w:val="decimal"/>
      <w:lvlText w:val="%2."/>
      <w:lvlJc w:val="left"/>
      <w:pPr>
        <w:tabs>
          <w:tab w:val="left" w:pos="1442"/>
        </w:tabs>
        <w:ind w:left="1442" w:hanging="360"/>
      </w:pPr>
    </w:lvl>
    <w:lvl w:ilvl="2" w:tentative="0">
      <w:start w:val="1"/>
      <w:numFmt w:val="decimal"/>
      <w:lvlText w:val="%3."/>
      <w:lvlJc w:val="left"/>
      <w:pPr>
        <w:tabs>
          <w:tab w:val="left" w:pos="2162"/>
        </w:tabs>
        <w:ind w:left="2162" w:hanging="360"/>
      </w:pPr>
    </w:lvl>
    <w:lvl w:ilvl="3" w:tentative="0">
      <w:start w:val="1"/>
      <w:numFmt w:val="decimal"/>
      <w:lvlText w:val="%4."/>
      <w:lvlJc w:val="left"/>
      <w:pPr>
        <w:tabs>
          <w:tab w:val="left" w:pos="2882"/>
        </w:tabs>
        <w:ind w:left="2882" w:hanging="360"/>
      </w:pPr>
    </w:lvl>
    <w:lvl w:ilvl="4" w:tentative="0">
      <w:start w:val="1"/>
      <w:numFmt w:val="decimal"/>
      <w:lvlText w:val="%5."/>
      <w:lvlJc w:val="left"/>
      <w:pPr>
        <w:tabs>
          <w:tab w:val="left" w:pos="3602"/>
        </w:tabs>
        <w:ind w:left="3602" w:hanging="360"/>
      </w:pPr>
    </w:lvl>
    <w:lvl w:ilvl="5" w:tentative="0">
      <w:start w:val="1"/>
      <w:numFmt w:val="decimal"/>
      <w:lvlText w:val="%6."/>
      <w:lvlJc w:val="left"/>
      <w:pPr>
        <w:tabs>
          <w:tab w:val="left" w:pos="4322"/>
        </w:tabs>
        <w:ind w:left="4322" w:hanging="360"/>
      </w:pPr>
    </w:lvl>
    <w:lvl w:ilvl="6" w:tentative="0">
      <w:start w:val="1"/>
      <w:numFmt w:val="decimal"/>
      <w:lvlText w:val="%7."/>
      <w:lvlJc w:val="left"/>
      <w:pPr>
        <w:tabs>
          <w:tab w:val="left" w:pos="5042"/>
        </w:tabs>
        <w:ind w:left="5042" w:hanging="360"/>
      </w:pPr>
    </w:lvl>
    <w:lvl w:ilvl="7" w:tentative="0">
      <w:start w:val="1"/>
      <w:numFmt w:val="decimal"/>
      <w:lvlText w:val="%8."/>
      <w:lvlJc w:val="left"/>
      <w:pPr>
        <w:tabs>
          <w:tab w:val="left" w:pos="5762"/>
        </w:tabs>
        <w:ind w:left="5762" w:hanging="360"/>
      </w:pPr>
    </w:lvl>
    <w:lvl w:ilvl="8" w:tentative="0">
      <w:start w:val="1"/>
      <w:numFmt w:val="decimal"/>
      <w:lvlText w:val="%9."/>
      <w:lvlJc w:val="left"/>
      <w:pPr>
        <w:tabs>
          <w:tab w:val="left" w:pos="6482"/>
        </w:tabs>
        <w:ind w:left="6482" w:hanging="360"/>
      </w:pPr>
    </w:lvl>
  </w:abstractNum>
  <w:abstractNum w:abstractNumId="20">
    <w:nsid w:val="6883480C"/>
    <w:multiLevelType w:val="multilevel"/>
    <w:tmpl w:val="6883480C"/>
    <w:lvl w:ilvl="0" w:tentative="0">
      <w:start w:val="1"/>
      <w:numFmt w:val="decimal"/>
      <w:pStyle w:val="94"/>
      <w:lvlText w:val="%1)"/>
      <w:lvlJc w:val="left"/>
      <w:pPr>
        <w:tabs>
          <w:tab w:val="left" w:pos="839"/>
        </w:tabs>
        <w:ind w:left="0" w:firstLine="420"/>
      </w:pPr>
      <w:rPr>
        <w:rFonts w:hint="eastAsia"/>
      </w:rPr>
    </w:lvl>
    <w:lvl w:ilvl="1" w:tentative="0">
      <w:start w:val="1"/>
      <w:numFmt w:val="lowerLetter"/>
      <w:pStyle w:val="95"/>
      <w:lvlText w:val="%2."/>
      <w:lvlJc w:val="left"/>
      <w:pPr>
        <w:tabs>
          <w:tab w:val="left" w:pos="839"/>
        </w:tabs>
        <w:ind w:left="0" w:firstLine="420"/>
      </w:pPr>
      <w:rPr>
        <w:rFonts w:hint="eastAsia"/>
      </w:rPr>
    </w:lvl>
    <w:lvl w:ilvl="2" w:tentative="0">
      <w:start w:val="1"/>
      <w:numFmt w:val="none"/>
      <w:lvlRestart w:val="0"/>
      <w:lvlText w:val=""/>
      <w:lvlJc w:val="left"/>
      <w:pPr>
        <w:tabs>
          <w:tab w:val="left" w:pos="1140"/>
        </w:tabs>
        <w:ind w:left="1140" w:hanging="432"/>
      </w:pPr>
      <w:rPr>
        <w:rFonts w:hint="eastAsia"/>
      </w:rPr>
    </w:lvl>
    <w:lvl w:ilvl="3" w:tentative="0">
      <w:start w:val="1"/>
      <w:numFmt w:val="none"/>
      <w:lvlRestart w:val="0"/>
      <w:lvlText w:val=""/>
      <w:lvlJc w:val="right"/>
      <w:pPr>
        <w:tabs>
          <w:tab w:val="left" w:pos="1284"/>
        </w:tabs>
        <w:ind w:left="1284" w:hanging="144"/>
      </w:pPr>
      <w:rPr>
        <w:rFonts w:hint="eastAsia"/>
      </w:rPr>
    </w:lvl>
    <w:lvl w:ilvl="4" w:tentative="0">
      <w:start w:val="1"/>
      <w:numFmt w:val="none"/>
      <w:lvlRestart w:val="0"/>
      <w:lvlText w:val="%5"/>
      <w:lvlJc w:val="left"/>
      <w:pPr>
        <w:tabs>
          <w:tab w:val="left" w:pos="1428"/>
        </w:tabs>
        <w:ind w:left="1428" w:hanging="432"/>
      </w:pPr>
      <w:rPr>
        <w:rFonts w:hint="eastAsia"/>
      </w:rPr>
    </w:lvl>
    <w:lvl w:ilvl="5" w:tentative="0">
      <w:start w:val="1"/>
      <w:numFmt w:val="none"/>
      <w:lvlRestart w:val="0"/>
      <w:lvlText w:val="%6"/>
      <w:lvlJc w:val="left"/>
      <w:pPr>
        <w:tabs>
          <w:tab w:val="left" w:pos="1572"/>
        </w:tabs>
        <w:ind w:left="1572" w:hanging="432"/>
      </w:pPr>
      <w:rPr>
        <w:rFonts w:hint="eastAsia"/>
      </w:rPr>
    </w:lvl>
    <w:lvl w:ilvl="6" w:tentative="0">
      <w:start w:val="1"/>
      <w:numFmt w:val="none"/>
      <w:lvlRestart w:val="0"/>
      <w:lvlText w:val="%7"/>
      <w:lvlJc w:val="right"/>
      <w:pPr>
        <w:tabs>
          <w:tab w:val="left" w:pos="1716"/>
        </w:tabs>
        <w:ind w:left="1716" w:hanging="288"/>
      </w:pPr>
      <w:rPr>
        <w:rFonts w:hint="eastAsia"/>
      </w:rPr>
    </w:lvl>
    <w:lvl w:ilvl="7" w:tentative="0">
      <w:start w:val="1"/>
      <w:numFmt w:val="none"/>
      <w:lvlRestart w:val="0"/>
      <w:lvlText w:val="%8"/>
      <w:lvlJc w:val="left"/>
      <w:pPr>
        <w:tabs>
          <w:tab w:val="left" w:pos="1860"/>
        </w:tabs>
        <w:ind w:left="1860" w:hanging="432"/>
      </w:pPr>
      <w:rPr>
        <w:rFonts w:hint="eastAsia"/>
      </w:rPr>
    </w:lvl>
    <w:lvl w:ilvl="8" w:tentative="0">
      <w:start w:val="1"/>
      <w:numFmt w:val="none"/>
      <w:lvlRestart w:val="0"/>
      <w:lvlText w:val="%9"/>
      <w:lvlJc w:val="right"/>
      <w:pPr>
        <w:tabs>
          <w:tab w:val="left" w:pos="2004"/>
        </w:tabs>
        <w:ind w:left="2004" w:hanging="144"/>
      </w:pPr>
      <w:rPr>
        <w:rFonts w:hint="eastAsia"/>
      </w:rPr>
    </w:lvl>
  </w:abstractNum>
  <w:abstractNum w:abstractNumId="21">
    <w:nsid w:val="6BE61D45"/>
    <w:multiLevelType w:val="multilevel"/>
    <w:tmpl w:val="6BE61D45"/>
    <w:lvl w:ilvl="0" w:tentative="0">
      <w:start w:val="1"/>
      <w:numFmt w:val="lowerLetter"/>
      <w:pStyle w:val="13"/>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2">
    <w:nsid w:val="7BCD2EC4"/>
    <w:multiLevelType w:val="singleLevel"/>
    <w:tmpl w:val="7BCD2EC4"/>
    <w:lvl w:ilvl="0" w:tentative="0">
      <w:start w:val="1"/>
      <w:numFmt w:val="bullet"/>
      <w:pStyle w:val="12"/>
      <w:lvlText w:val=""/>
      <w:lvlJc w:val="left"/>
      <w:pPr>
        <w:tabs>
          <w:tab w:val="left" w:pos="835"/>
        </w:tabs>
        <w:ind w:left="835" w:hanging="420"/>
      </w:pPr>
      <w:rPr>
        <w:rFonts w:hint="default" w:ascii="Wingdings" w:hAnsi="Wingdings"/>
      </w:rPr>
    </w:lvl>
  </w:abstractNum>
  <w:abstractNum w:abstractNumId="23">
    <w:nsid w:val="7E386C08"/>
    <w:multiLevelType w:val="multilevel"/>
    <w:tmpl w:val="7E386C08"/>
    <w:lvl w:ilvl="0" w:tentative="0">
      <w:start w:val="1"/>
      <w:numFmt w:val="decimal"/>
      <w:pStyle w:val="316"/>
      <w:lvlText w:val="%1"/>
      <w:lvlJc w:val="left"/>
      <w:pPr>
        <w:tabs>
          <w:tab w:val="left" w:pos="425"/>
        </w:tabs>
        <w:ind w:left="425" w:hanging="425"/>
      </w:pPr>
      <w:rPr>
        <w:rFonts w:hint="eastAsia" w:eastAsia="宋体"/>
      </w:rPr>
    </w:lvl>
    <w:lvl w:ilvl="1" w:tentative="0">
      <w:start w:val="1"/>
      <w:numFmt w:val="decimal"/>
      <w:pStyle w:val="317"/>
      <w:lvlText w:val="%1.%2"/>
      <w:lvlJc w:val="left"/>
      <w:pPr>
        <w:tabs>
          <w:tab w:val="left" w:pos="0"/>
        </w:tabs>
        <w:ind w:left="0" w:firstLine="0"/>
      </w:pPr>
      <w:rPr>
        <w:rFonts w:hint="eastAsia" w:eastAsia="宋体"/>
      </w:rPr>
    </w:lvl>
    <w:lvl w:ilvl="2" w:tentative="0">
      <w:start w:val="1"/>
      <w:numFmt w:val="decimal"/>
      <w:pStyle w:val="318"/>
      <w:lvlText w:val="%1.%2.%3"/>
      <w:lvlJc w:val="left"/>
      <w:pPr>
        <w:ind w:left="0" w:firstLine="0"/>
      </w:pPr>
      <w:rPr>
        <w:rFonts w:hint="eastAsia" w:ascii="宋体" w:hAnsi="宋体" w:eastAsia="宋体"/>
        <w:b w:val="0"/>
      </w:rPr>
    </w:lvl>
    <w:lvl w:ilvl="3" w:tentative="0">
      <w:start w:val="1"/>
      <w:numFmt w:val="decimal"/>
      <w:pStyle w:val="320"/>
      <w:lvlText w:val="%1.%2.%3.%4"/>
      <w:lvlJc w:val="left"/>
      <w:pPr>
        <w:tabs>
          <w:tab w:val="left" w:pos="0"/>
        </w:tabs>
        <w:ind w:left="0" w:firstLine="0"/>
      </w:pPr>
      <w:rPr>
        <w:rFonts w:hint="eastAsia" w:ascii="宋体" w:hAnsi="宋体" w:eastAsia="宋体"/>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3926"/>
        </w:tabs>
        <w:ind w:left="3260" w:hanging="1134"/>
      </w:pPr>
      <w:rPr>
        <w:rFonts w:hint="eastAsia"/>
      </w:rPr>
    </w:lvl>
    <w:lvl w:ilvl="6" w:tentative="0">
      <w:start w:val="1"/>
      <w:numFmt w:val="decimal"/>
      <w:lvlText w:val="%1.%2.%3.%4.%5.%6.%7"/>
      <w:lvlJc w:val="left"/>
      <w:pPr>
        <w:tabs>
          <w:tab w:val="left" w:pos="4711"/>
        </w:tabs>
        <w:ind w:left="3827" w:hanging="1276"/>
      </w:pPr>
      <w:rPr>
        <w:rFonts w:hint="eastAsia"/>
      </w:rPr>
    </w:lvl>
    <w:lvl w:ilvl="7" w:tentative="0">
      <w:start w:val="1"/>
      <w:numFmt w:val="decimal"/>
      <w:lvlText w:val="%1.%2.%3.%4.%5.%6.%7.%8"/>
      <w:lvlJc w:val="left"/>
      <w:pPr>
        <w:tabs>
          <w:tab w:val="left" w:pos="5496"/>
        </w:tabs>
        <w:ind w:left="4394" w:hanging="1418"/>
      </w:pPr>
      <w:rPr>
        <w:rFonts w:hint="eastAsia"/>
      </w:rPr>
    </w:lvl>
    <w:lvl w:ilvl="8" w:tentative="0">
      <w:start w:val="1"/>
      <w:numFmt w:val="decimal"/>
      <w:lvlText w:val="%1.%2.%3.%4.%5.%6.%7.%8.%9"/>
      <w:lvlJc w:val="left"/>
      <w:pPr>
        <w:tabs>
          <w:tab w:val="left" w:pos="6282"/>
        </w:tabs>
        <w:ind w:left="5102" w:hanging="1700"/>
      </w:pPr>
      <w:rPr>
        <w:rFonts w:hint="eastAsia"/>
      </w:rPr>
    </w:lvl>
  </w:abstractNum>
  <w:num w:numId="1">
    <w:abstractNumId w:val="3"/>
  </w:num>
  <w:num w:numId="2">
    <w:abstractNumId w:val="22"/>
  </w:num>
  <w:num w:numId="3">
    <w:abstractNumId w:val="21"/>
  </w:num>
  <w:num w:numId="4">
    <w:abstractNumId w:val="9"/>
  </w:num>
  <w:num w:numId="5">
    <w:abstractNumId w:val="19"/>
  </w:num>
  <w:num w:numId="6">
    <w:abstractNumId w:val="11"/>
  </w:num>
  <w:num w:numId="7">
    <w:abstractNumId w:val="20"/>
  </w:num>
  <w:num w:numId="8">
    <w:abstractNumId w:val="12"/>
  </w:num>
  <w:num w:numId="9">
    <w:abstractNumId w:val="16"/>
  </w:num>
  <w:num w:numId="10">
    <w:abstractNumId w:val="17"/>
  </w:num>
  <w:num w:numId="11">
    <w:abstractNumId w:val="18"/>
  </w:num>
  <w:num w:numId="12">
    <w:abstractNumId w:val="13"/>
  </w:num>
  <w:num w:numId="13">
    <w:abstractNumId w:val="6"/>
  </w:num>
  <w:num w:numId="14">
    <w:abstractNumId w:val="10"/>
  </w:num>
  <w:num w:numId="15">
    <w:abstractNumId w:val="0"/>
  </w:num>
  <w:num w:numId="16">
    <w:abstractNumId w:val="5"/>
  </w:num>
  <w:num w:numId="17">
    <w:abstractNumId w:val="23"/>
  </w:num>
  <w:num w:numId="18">
    <w:abstractNumId w:val="4"/>
  </w:num>
  <w:num w:numId="19">
    <w:abstractNumId w:val="2"/>
  </w:num>
  <w:num w:numId="20">
    <w:abstractNumId w:val="1"/>
  </w:num>
  <w:num w:numId="21">
    <w:abstractNumId w:val="7"/>
  </w:num>
  <w:num w:numId="22">
    <w:abstractNumId w:val="14"/>
  </w:num>
  <w:num w:numId="23">
    <w:abstractNumId w:val="8"/>
  </w:num>
  <w:num w:numId="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doNotDisplayPageBoundaries w:val="1"/>
  <w:bordersDoNotSurroundHeader w:val="0"/>
  <w:bordersDoNotSurroundFooter w:val="0"/>
  <w:hideSpellingErrors/>
  <w:documentProtection w:enforcement="0"/>
  <w:defaultTabStop w:val="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k2Y2NjMTA2OGY2YzgxNDNlNTNhZjEzMjRhOTZiNTEifQ=="/>
  </w:docVars>
  <w:rsids>
    <w:rsidRoot w:val="002F0718"/>
    <w:rsid w:val="00000014"/>
    <w:rsid w:val="00001739"/>
    <w:rsid w:val="00002582"/>
    <w:rsid w:val="00005F97"/>
    <w:rsid w:val="00006ACD"/>
    <w:rsid w:val="00010C9F"/>
    <w:rsid w:val="00011617"/>
    <w:rsid w:val="0001524F"/>
    <w:rsid w:val="000156D3"/>
    <w:rsid w:val="00025BDA"/>
    <w:rsid w:val="00027A0F"/>
    <w:rsid w:val="00030E25"/>
    <w:rsid w:val="00032898"/>
    <w:rsid w:val="00033303"/>
    <w:rsid w:val="000334AF"/>
    <w:rsid w:val="000341A8"/>
    <w:rsid w:val="00035DDA"/>
    <w:rsid w:val="0003650B"/>
    <w:rsid w:val="00036B42"/>
    <w:rsid w:val="000475A1"/>
    <w:rsid w:val="000512CD"/>
    <w:rsid w:val="0005224F"/>
    <w:rsid w:val="000525BF"/>
    <w:rsid w:val="00052EFC"/>
    <w:rsid w:val="00055192"/>
    <w:rsid w:val="00057032"/>
    <w:rsid w:val="00061340"/>
    <w:rsid w:val="00063349"/>
    <w:rsid w:val="0006381C"/>
    <w:rsid w:val="00065F50"/>
    <w:rsid w:val="000669C9"/>
    <w:rsid w:val="00070DF1"/>
    <w:rsid w:val="00071D39"/>
    <w:rsid w:val="000721BF"/>
    <w:rsid w:val="0007771C"/>
    <w:rsid w:val="0007796A"/>
    <w:rsid w:val="0008459A"/>
    <w:rsid w:val="00091240"/>
    <w:rsid w:val="0009406D"/>
    <w:rsid w:val="00094D69"/>
    <w:rsid w:val="0009514D"/>
    <w:rsid w:val="000975CB"/>
    <w:rsid w:val="000A090B"/>
    <w:rsid w:val="000A129D"/>
    <w:rsid w:val="000A1EB7"/>
    <w:rsid w:val="000A2AAB"/>
    <w:rsid w:val="000A3E20"/>
    <w:rsid w:val="000A48E1"/>
    <w:rsid w:val="000A7E30"/>
    <w:rsid w:val="000B007D"/>
    <w:rsid w:val="000B13EA"/>
    <w:rsid w:val="000B1E85"/>
    <w:rsid w:val="000B3802"/>
    <w:rsid w:val="000B7DA2"/>
    <w:rsid w:val="000C17CD"/>
    <w:rsid w:val="000C2305"/>
    <w:rsid w:val="000C457A"/>
    <w:rsid w:val="000C4ABC"/>
    <w:rsid w:val="000C70FB"/>
    <w:rsid w:val="000D24A5"/>
    <w:rsid w:val="000D7D0F"/>
    <w:rsid w:val="000E6670"/>
    <w:rsid w:val="000F1A46"/>
    <w:rsid w:val="000F3D27"/>
    <w:rsid w:val="000F710C"/>
    <w:rsid w:val="00100FF8"/>
    <w:rsid w:val="00102F17"/>
    <w:rsid w:val="00103CE0"/>
    <w:rsid w:val="00103E18"/>
    <w:rsid w:val="001049D4"/>
    <w:rsid w:val="001072F0"/>
    <w:rsid w:val="00110652"/>
    <w:rsid w:val="001113C6"/>
    <w:rsid w:val="00111BBF"/>
    <w:rsid w:val="001168DD"/>
    <w:rsid w:val="0012426B"/>
    <w:rsid w:val="00125090"/>
    <w:rsid w:val="00127C5E"/>
    <w:rsid w:val="00132BD1"/>
    <w:rsid w:val="00132DA4"/>
    <w:rsid w:val="00134EC7"/>
    <w:rsid w:val="0013561E"/>
    <w:rsid w:val="00140201"/>
    <w:rsid w:val="001421C7"/>
    <w:rsid w:val="00142981"/>
    <w:rsid w:val="00142DD8"/>
    <w:rsid w:val="001432CE"/>
    <w:rsid w:val="0014492A"/>
    <w:rsid w:val="0014556F"/>
    <w:rsid w:val="00145846"/>
    <w:rsid w:val="001479B1"/>
    <w:rsid w:val="00151268"/>
    <w:rsid w:val="0015241B"/>
    <w:rsid w:val="00152FB0"/>
    <w:rsid w:val="001560FD"/>
    <w:rsid w:val="00157021"/>
    <w:rsid w:val="00157107"/>
    <w:rsid w:val="00160176"/>
    <w:rsid w:val="00161E13"/>
    <w:rsid w:val="0017347E"/>
    <w:rsid w:val="001749F8"/>
    <w:rsid w:val="00174A25"/>
    <w:rsid w:val="001752E6"/>
    <w:rsid w:val="00175636"/>
    <w:rsid w:val="00177B36"/>
    <w:rsid w:val="00180F60"/>
    <w:rsid w:val="00185442"/>
    <w:rsid w:val="00186ED6"/>
    <w:rsid w:val="00191940"/>
    <w:rsid w:val="00192CBF"/>
    <w:rsid w:val="00195D6D"/>
    <w:rsid w:val="0019687E"/>
    <w:rsid w:val="001A1E40"/>
    <w:rsid w:val="001A4144"/>
    <w:rsid w:val="001A4212"/>
    <w:rsid w:val="001A5C84"/>
    <w:rsid w:val="001A75CC"/>
    <w:rsid w:val="001A7CD8"/>
    <w:rsid w:val="001B4265"/>
    <w:rsid w:val="001C0907"/>
    <w:rsid w:val="001C3C3A"/>
    <w:rsid w:val="001C6B79"/>
    <w:rsid w:val="001C71CE"/>
    <w:rsid w:val="001D3821"/>
    <w:rsid w:val="001D5A86"/>
    <w:rsid w:val="001D5F04"/>
    <w:rsid w:val="001D6BB8"/>
    <w:rsid w:val="001E09BD"/>
    <w:rsid w:val="001E2FAA"/>
    <w:rsid w:val="001E56C7"/>
    <w:rsid w:val="001E60A5"/>
    <w:rsid w:val="001E6D3D"/>
    <w:rsid w:val="001F723D"/>
    <w:rsid w:val="00201D26"/>
    <w:rsid w:val="00202B32"/>
    <w:rsid w:val="0020339A"/>
    <w:rsid w:val="002039AA"/>
    <w:rsid w:val="00204C8C"/>
    <w:rsid w:val="00207178"/>
    <w:rsid w:val="00210718"/>
    <w:rsid w:val="00212B42"/>
    <w:rsid w:val="00213228"/>
    <w:rsid w:val="002138F4"/>
    <w:rsid w:val="00213F8E"/>
    <w:rsid w:val="002141CC"/>
    <w:rsid w:val="0021731C"/>
    <w:rsid w:val="002263D6"/>
    <w:rsid w:val="0022792D"/>
    <w:rsid w:val="00230DF2"/>
    <w:rsid w:val="00231348"/>
    <w:rsid w:val="00235CF0"/>
    <w:rsid w:val="00237072"/>
    <w:rsid w:val="00237380"/>
    <w:rsid w:val="002415B8"/>
    <w:rsid w:val="0024287E"/>
    <w:rsid w:val="00245334"/>
    <w:rsid w:val="0024573A"/>
    <w:rsid w:val="00247DBB"/>
    <w:rsid w:val="00251DDA"/>
    <w:rsid w:val="00252C06"/>
    <w:rsid w:val="0025300C"/>
    <w:rsid w:val="002544D0"/>
    <w:rsid w:val="002600F4"/>
    <w:rsid w:val="0026094B"/>
    <w:rsid w:val="00262147"/>
    <w:rsid w:val="00263C89"/>
    <w:rsid w:val="00264B21"/>
    <w:rsid w:val="002706AA"/>
    <w:rsid w:val="0027387F"/>
    <w:rsid w:val="00273AF6"/>
    <w:rsid w:val="00275719"/>
    <w:rsid w:val="00276980"/>
    <w:rsid w:val="00280D95"/>
    <w:rsid w:val="0028266E"/>
    <w:rsid w:val="00282C7A"/>
    <w:rsid w:val="00284D5B"/>
    <w:rsid w:val="00285FD7"/>
    <w:rsid w:val="00286543"/>
    <w:rsid w:val="00286CFC"/>
    <w:rsid w:val="00290588"/>
    <w:rsid w:val="00292327"/>
    <w:rsid w:val="002930C9"/>
    <w:rsid w:val="00296788"/>
    <w:rsid w:val="00297067"/>
    <w:rsid w:val="002A2531"/>
    <w:rsid w:val="002A4858"/>
    <w:rsid w:val="002B60C0"/>
    <w:rsid w:val="002B73A1"/>
    <w:rsid w:val="002C31A5"/>
    <w:rsid w:val="002C3A72"/>
    <w:rsid w:val="002C5682"/>
    <w:rsid w:val="002C628A"/>
    <w:rsid w:val="002C6BA9"/>
    <w:rsid w:val="002D039E"/>
    <w:rsid w:val="002D4635"/>
    <w:rsid w:val="002D6EB4"/>
    <w:rsid w:val="002E1932"/>
    <w:rsid w:val="002E2032"/>
    <w:rsid w:val="002E5F63"/>
    <w:rsid w:val="002E6FC7"/>
    <w:rsid w:val="002F0718"/>
    <w:rsid w:val="002F1534"/>
    <w:rsid w:val="002F6BF7"/>
    <w:rsid w:val="00300406"/>
    <w:rsid w:val="00301880"/>
    <w:rsid w:val="00304FE1"/>
    <w:rsid w:val="00305381"/>
    <w:rsid w:val="00305B15"/>
    <w:rsid w:val="003076B6"/>
    <w:rsid w:val="003125B8"/>
    <w:rsid w:val="00317B74"/>
    <w:rsid w:val="003209E3"/>
    <w:rsid w:val="00321C7A"/>
    <w:rsid w:val="003231D0"/>
    <w:rsid w:val="0032768C"/>
    <w:rsid w:val="003276E6"/>
    <w:rsid w:val="00333DD2"/>
    <w:rsid w:val="00334BBC"/>
    <w:rsid w:val="00335295"/>
    <w:rsid w:val="003352F2"/>
    <w:rsid w:val="003353D8"/>
    <w:rsid w:val="00335A94"/>
    <w:rsid w:val="00336270"/>
    <w:rsid w:val="0033717B"/>
    <w:rsid w:val="00340068"/>
    <w:rsid w:val="0034582B"/>
    <w:rsid w:val="00345F3B"/>
    <w:rsid w:val="00346742"/>
    <w:rsid w:val="0036003C"/>
    <w:rsid w:val="00361B60"/>
    <w:rsid w:val="00362E15"/>
    <w:rsid w:val="003644EA"/>
    <w:rsid w:val="00366B62"/>
    <w:rsid w:val="003672F4"/>
    <w:rsid w:val="00370CCF"/>
    <w:rsid w:val="003750F3"/>
    <w:rsid w:val="003762A0"/>
    <w:rsid w:val="003764CB"/>
    <w:rsid w:val="00377AC8"/>
    <w:rsid w:val="003826AC"/>
    <w:rsid w:val="00385A30"/>
    <w:rsid w:val="00385D9F"/>
    <w:rsid w:val="00392D4F"/>
    <w:rsid w:val="003950BD"/>
    <w:rsid w:val="003979EB"/>
    <w:rsid w:val="003A12A0"/>
    <w:rsid w:val="003A1EA6"/>
    <w:rsid w:val="003A3744"/>
    <w:rsid w:val="003A3DC2"/>
    <w:rsid w:val="003A43DD"/>
    <w:rsid w:val="003A71A7"/>
    <w:rsid w:val="003B06D4"/>
    <w:rsid w:val="003B24B1"/>
    <w:rsid w:val="003B38EC"/>
    <w:rsid w:val="003B4AF9"/>
    <w:rsid w:val="003B773B"/>
    <w:rsid w:val="003C0A29"/>
    <w:rsid w:val="003C12B2"/>
    <w:rsid w:val="003D03BD"/>
    <w:rsid w:val="003D4AE5"/>
    <w:rsid w:val="003D6093"/>
    <w:rsid w:val="003D6A60"/>
    <w:rsid w:val="003D6F79"/>
    <w:rsid w:val="003D7F19"/>
    <w:rsid w:val="003E22CF"/>
    <w:rsid w:val="003E42C7"/>
    <w:rsid w:val="003E5D83"/>
    <w:rsid w:val="003E6FFE"/>
    <w:rsid w:val="003E75A6"/>
    <w:rsid w:val="003F238E"/>
    <w:rsid w:val="003F3DA5"/>
    <w:rsid w:val="00400AE1"/>
    <w:rsid w:val="0040216B"/>
    <w:rsid w:val="00406E23"/>
    <w:rsid w:val="00410166"/>
    <w:rsid w:val="0041134D"/>
    <w:rsid w:val="00411E24"/>
    <w:rsid w:val="004158F1"/>
    <w:rsid w:val="00416032"/>
    <w:rsid w:val="00420775"/>
    <w:rsid w:val="00420803"/>
    <w:rsid w:val="00421ECF"/>
    <w:rsid w:val="00422857"/>
    <w:rsid w:val="00426D94"/>
    <w:rsid w:val="00440828"/>
    <w:rsid w:val="0044125D"/>
    <w:rsid w:val="00442D77"/>
    <w:rsid w:val="0044434E"/>
    <w:rsid w:val="004501DB"/>
    <w:rsid w:val="004515AE"/>
    <w:rsid w:val="00452541"/>
    <w:rsid w:val="00453AB3"/>
    <w:rsid w:val="00454B48"/>
    <w:rsid w:val="00456E18"/>
    <w:rsid w:val="00460E59"/>
    <w:rsid w:val="00466193"/>
    <w:rsid w:val="00470882"/>
    <w:rsid w:val="0047153F"/>
    <w:rsid w:val="0047334C"/>
    <w:rsid w:val="00473972"/>
    <w:rsid w:val="004746F5"/>
    <w:rsid w:val="004750FA"/>
    <w:rsid w:val="00476B01"/>
    <w:rsid w:val="0047709B"/>
    <w:rsid w:val="004771D3"/>
    <w:rsid w:val="004777A9"/>
    <w:rsid w:val="00481B6C"/>
    <w:rsid w:val="00481C89"/>
    <w:rsid w:val="0049113C"/>
    <w:rsid w:val="00497E1A"/>
    <w:rsid w:val="004A19BA"/>
    <w:rsid w:val="004A2417"/>
    <w:rsid w:val="004A266E"/>
    <w:rsid w:val="004A2F1C"/>
    <w:rsid w:val="004A452E"/>
    <w:rsid w:val="004A5BD3"/>
    <w:rsid w:val="004B2790"/>
    <w:rsid w:val="004B65DB"/>
    <w:rsid w:val="004C0647"/>
    <w:rsid w:val="004C140D"/>
    <w:rsid w:val="004C209A"/>
    <w:rsid w:val="004C4365"/>
    <w:rsid w:val="004C4A1C"/>
    <w:rsid w:val="004C5B59"/>
    <w:rsid w:val="004D0B7F"/>
    <w:rsid w:val="004D10B2"/>
    <w:rsid w:val="004D5491"/>
    <w:rsid w:val="004D5CB3"/>
    <w:rsid w:val="004D67CD"/>
    <w:rsid w:val="004E15DB"/>
    <w:rsid w:val="004E43D2"/>
    <w:rsid w:val="004E507C"/>
    <w:rsid w:val="004F179C"/>
    <w:rsid w:val="004F2AD0"/>
    <w:rsid w:val="004F31A9"/>
    <w:rsid w:val="00500013"/>
    <w:rsid w:val="0050009A"/>
    <w:rsid w:val="0050574A"/>
    <w:rsid w:val="00513E07"/>
    <w:rsid w:val="0051436C"/>
    <w:rsid w:val="00521920"/>
    <w:rsid w:val="005229DB"/>
    <w:rsid w:val="005246A5"/>
    <w:rsid w:val="005247E6"/>
    <w:rsid w:val="005257AD"/>
    <w:rsid w:val="00527A62"/>
    <w:rsid w:val="005313AC"/>
    <w:rsid w:val="00532665"/>
    <w:rsid w:val="00532D4E"/>
    <w:rsid w:val="00536AB3"/>
    <w:rsid w:val="00537363"/>
    <w:rsid w:val="0054085A"/>
    <w:rsid w:val="00542769"/>
    <w:rsid w:val="00542E8D"/>
    <w:rsid w:val="005526BE"/>
    <w:rsid w:val="0055394B"/>
    <w:rsid w:val="00554DB4"/>
    <w:rsid w:val="005609A5"/>
    <w:rsid w:val="00563953"/>
    <w:rsid w:val="00566A84"/>
    <w:rsid w:val="00570E03"/>
    <w:rsid w:val="0057669A"/>
    <w:rsid w:val="00576E6E"/>
    <w:rsid w:val="00577B03"/>
    <w:rsid w:val="0058029B"/>
    <w:rsid w:val="00583BA1"/>
    <w:rsid w:val="00587AC4"/>
    <w:rsid w:val="005906DC"/>
    <w:rsid w:val="00590D98"/>
    <w:rsid w:val="00593187"/>
    <w:rsid w:val="0059353F"/>
    <w:rsid w:val="00597F53"/>
    <w:rsid w:val="005A37EB"/>
    <w:rsid w:val="005A635A"/>
    <w:rsid w:val="005B0591"/>
    <w:rsid w:val="005B071C"/>
    <w:rsid w:val="005B0AE2"/>
    <w:rsid w:val="005B1F16"/>
    <w:rsid w:val="005B28C1"/>
    <w:rsid w:val="005B28F8"/>
    <w:rsid w:val="005C2865"/>
    <w:rsid w:val="005C78D2"/>
    <w:rsid w:val="005C7F6B"/>
    <w:rsid w:val="005D00D1"/>
    <w:rsid w:val="005D2109"/>
    <w:rsid w:val="005D5215"/>
    <w:rsid w:val="005D636E"/>
    <w:rsid w:val="005E010F"/>
    <w:rsid w:val="005E07D7"/>
    <w:rsid w:val="005E111E"/>
    <w:rsid w:val="005E1C83"/>
    <w:rsid w:val="005E7F0D"/>
    <w:rsid w:val="005F1543"/>
    <w:rsid w:val="005F1D89"/>
    <w:rsid w:val="005F4835"/>
    <w:rsid w:val="005F6527"/>
    <w:rsid w:val="005F6B21"/>
    <w:rsid w:val="005F71D2"/>
    <w:rsid w:val="006011FB"/>
    <w:rsid w:val="0060681D"/>
    <w:rsid w:val="00606904"/>
    <w:rsid w:val="00610A88"/>
    <w:rsid w:val="00613447"/>
    <w:rsid w:val="00613846"/>
    <w:rsid w:val="00617366"/>
    <w:rsid w:val="00620139"/>
    <w:rsid w:val="00620180"/>
    <w:rsid w:val="006228CB"/>
    <w:rsid w:val="00631895"/>
    <w:rsid w:val="00633780"/>
    <w:rsid w:val="00635FF0"/>
    <w:rsid w:val="00637408"/>
    <w:rsid w:val="0064188B"/>
    <w:rsid w:val="00641CE1"/>
    <w:rsid w:val="00643FD3"/>
    <w:rsid w:val="00646122"/>
    <w:rsid w:val="00646C19"/>
    <w:rsid w:val="00655164"/>
    <w:rsid w:val="0065591D"/>
    <w:rsid w:val="006560FD"/>
    <w:rsid w:val="00656EF5"/>
    <w:rsid w:val="006646D3"/>
    <w:rsid w:val="00667FC0"/>
    <w:rsid w:val="00675ADF"/>
    <w:rsid w:val="00675BD8"/>
    <w:rsid w:val="00682AB4"/>
    <w:rsid w:val="00685138"/>
    <w:rsid w:val="006855CA"/>
    <w:rsid w:val="00685E04"/>
    <w:rsid w:val="00692A31"/>
    <w:rsid w:val="00692A55"/>
    <w:rsid w:val="006975F7"/>
    <w:rsid w:val="006A28FE"/>
    <w:rsid w:val="006A54F7"/>
    <w:rsid w:val="006A6E6D"/>
    <w:rsid w:val="006A7604"/>
    <w:rsid w:val="006A7AD8"/>
    <w:rsid w:val="006B0391"/>
    <w:rsid w:val="006B0E33"/>
    <w:rsid w:val="006B1DDE"/>
    <w:rsid w:val="006B20F7"/>
    <w:rsid w:val="006B41E4"/>
    <w:rsid w:val="006B50AB"/>
    <w:rsid w:val="006B61E4"/>
    <w:rsid w:val="006B653D"/>
    <w:rsid w:val="006C41BF"/>
    <w:rsid w:val="006C5F6F"/>
    <w:rsid w:val="006D13D8"/>
    <w:rsid w:val="006D3F61"/>
    <w:rsid w:val="006D42C9"/>
    <w:rsid w:val="006D4332"/>
    <w:rsid w:val="006D6BA6"/>
    <w:rsid w:val="006E121C"/>
    <w:rsid w:val="006E2E58"/>
    <w:rsid w:val="006E3878"/>
    <w:rsid w:val="006E70E7"/>
    <w:rsid w:val="006F1775"/>
    <w:rsid w:val="006F1D8E"/>
    <w:rsid w:val="006F6238"/>
    <w:rsid w:val="006F7BF5"/>
    <w:rsid w:val="0070124C"/>
    <w:rsid w:val="00715FC3"/>
    <w:rsid w:val="007168BE"/>
    <w:rsid w:val="0071764A"/>
    <w:rsid w:val="00721678"/>
    <w:rsid w:val="00723389"/>
    <w:rsid w:val="00723819"/>
    <w:rsid w:val="007240B5"/>
    <w:rsid w:val="00726113"/>
    <w:rsid w:val="007263D7"/>
    <w:rsid w:val="00726F26"/>
    <w:rsid w:val="00727547"/>
    <w:rsid w:val="0072793E"/>
    <w:rsid w:val="0073445B"/>
    <w:rsid w:val="00735701"/>
    <w:rsid w:val="0074006E"/>
    <w:rsid w:val="007425BB"/>
    <w:rsid w:val="00750138"/>
    <w:rsid w:val="00753671"/>
    <w:rsid w:val="00756F38"/>
    <w:rsid w:val="00760BF1"/>
    <w:rsid w:val="00762935"/>
    <w:rsid w:val="00762B54"/>
    <w:rsid w:val="0076409E"/>
    <w:rsid w:val="00773E55"/>
    <w:rsid w:val="00773FD7"/>
    <w:rsid w:val="007754FB"/>
    <w:rsid w:val="0077709B"/>
    <w:rsid w:val="00783908"/>
    <w:rsid w:val="00784C78"/>
    <w:rsid w:val="00786AC0"/>
    <w:rsid w:val="00787244"/>
    <w:rsid w:val="00791452"/>
    <w:rsid w:val="00791CC7"/>
    <w:rsid w:val="00794600"/>
    <w:rsid w:val="007A6023"/>
    <w:rsid w:val="007B09AC"/>
    <w:rsid w:val="007B28FF"/>
    <w:rsid w:val="007B4370"/>
    <w:rsid w:val="007B5B21"/>
    <w:rsid w:val="007B784F"/>
    <w:rsid w:val="007C57EC"/>
    <w:rsid w:val="007C5E45"/>
    <w:rsid w:val="007C66B5"/>
    <w:rsid w:val="007C7D6E"/>
    <w:rsid w:val="007D7609"/>
    <w:rsid w:val="007E6827"/>
    <w:rsid w:val="007F155A"/>
    <w:rsid w:val="007F2085"/>
    <w:rsid w:val="007F3D20"/>
    <w:rsid w:val="007F3F9C"/>
    <w:rsid w:val="007F4303"/>
    <w:rsid w:val="007F45B8"/>
    <w:rsid w:val="007F7E3D"/>
    <w:rsid w:val="008000FB"/>
    <w:rsid w:val="00800409"/>
    <w:rsid w:val="00800749"/>
    <w:rsid w:val="00801C22"/>
    <w:rsid w:val="00801E05"/>
    <w:rsid w:val="008055FD"/>
    <w:rsid w:val="00805B9E"/>
    <w:rsid w:val="008077B9"/>
    <w:rsid w:val="00810DDB"/>
    <w:rsid w:val="00811CF8"/>
    <w:rsid w:val="00814A81"/>
    <w:rsid w:val="0081511F"/>
    <w:rsid w:val="008168B6"/>
    <w:rsid w:val="00821987"/>
    <w:rsid w:val="00822437"/>
    <w:rsid w:val="00825FD9"/>
    <w:rsid w:val="00826A16"/>
    <w:rsid w:val="00826E07"/>
    <w:rsid w:val="00826FC1"/>
    <w:rsid w:val="00827518"/>
    <w:rsid w:val="00827A5F"/>
    <w:rsid w:val="008321F0"/>
    <w:rsid w:val="008369F5"/>
    <w:rsid w:val="00843141"/>
    <w:rsid w:val="00843C09"/>
    <w:rsid w:val="00851034"/>
    <w:rsid w:val="008534F6"/>
    <w:rsid w:val="00853944"/>
    <w:rsid w:val="00855C10"/>
    <w:rsid w:val="00856D2D"/>
    <w:rsid w:val="00860FDC"/>
    <w:rsid w:val="00861333"/>
    <w:rsid w:val="00861E97"/>
    <w:rsid w:val="00862195"/>
    <w:rsid w:val="00863909"/>
    <w:rsid w:val="0086551C"/>
    <w:rsid w:val="00867002"/>
    <w:rsid w:val="008707C7"/>
    <w:rsid w:val="00873FF5"/>
    <w:rsid w:val="00874F53"/>
    <w:rsid w:val="0088059C"/>
    <w:rsid w:val="00880DC5"/>
    <w:rsid w:val="00882874"/>
    <w:rsid w:val="00883069"/>
    <w:rsid w:val="00891514"/>
    <w:rsid w:val="008963D8"/>
    <w:rsid w:val="0089794D"/>
    <w:rsid w:val="008A2E65"/>
    <w:rsid w:val="008A4410"/>
    <w:rsid w:val="008A6BEC"/>
    <w:rsid w:val="008A71E4"/>
    <w:rsid w:val="008B119B"/>
    <w:rsid w:val="008B6DD0"/>
    <w:rsid w:val="008B754E"/>
    <w:rsid w:val="008B7D9E"/>
    <w:rsid w:val="008B7F1D"/>
    <w:rsid w:val="008C2523"/>
    <w:rsid w:val="008C6D41"/>
    <w:rsid w:val="008C6DA0"/>
    <w:rsid w:val="008D3386"/>
    <w:rsid w:val="008D4A73"/>
    <w:rsid w:val="008D7F24"/>
    <w:rsid w:val="008E3CE3"/>
    <w:rsid w:val="008E43D8"/>
    <w:rsid w:val="008E4BAD"/>
    <w:rsid w:val="008E4E7B"/>
    <w:rsid w:val="008E56A7"/>
    <w:rsid w:val="008F51EE"/>
    <w:rsid w:val="0090298A"/>
    <w:rsid w:val="00902B30"/>
    <w:rsid w:val="00902E93"/>
    <w:rsid w:val="00903510"/>
    <w:rsid w:val="009039B2"/>
    <w:rsid w:val="00907073"/>
    <w:rsid w:val="00910382"/>
    <w:rsid w:val="009150CE"/>
    <w:rsid w:val="00915872"/>
    <w:rsid w:val="00916ACD"/>
    <w:rsid w:val="00916C56"/>
    <w:rsid w:val="009176DF"/>
    <w:rsid w:val="00921567"/>
    <w:rsid w:val="0092211E"/>
    <w:rsid w:val="00925D5D"/>
    <w:rsid w:val="00930386"/>
    <w:rsid w:val="0093088A"/>
    <w:rsid w:val="00930E89"/>
    <w:rsid w:val="00936129"/>
    <w:rsid w:val="009366BF"/>
    <w:rsid w:val="00941475"/>
    <w:rsid w:val="00942642"/>
    <w:rsid w:val="00946B18"/>
    <w:rsid w:val="00946FA7"/>
    <w:rsid w:val="00950CF1"/>
    <w:rsid w:val="009513FC"/>
    <w:rsid w:val="00955F13"/>
    <w:rsid w:val="00966EDA"/>
    <w:rsid w:val="00970688"/>
    <w:rsid w:val="0097349A"/>
    <w:rsid w:val="0097565F"/>
    <w:rsid w:val="00975ED2"/>
    <w:rsid w:val="00981804"/>
    <w:rsid w:val="0098214B"/>
    <w:rsid w:val="00984AF9"/>
    <w:rsid w:val="00985412"/>
    <w:rsid w:val="00985C07"/>
    <w:rsid w:val="0099609D"/>
    <w:rsid w:val="00997482"/>
    <w:rsid w:val="009A14FA"/>
    <w:rsid w:val="009A1A45"/>
    <w:rsid w:val="009A1B5B"/>
    <w:rsid w:val="009A270E"/>
    <w:rsid w:val="009A5572"/>
    <w:rsid w:val="009A736C"/>
    <w:rsid w:val="009B17E7"/>
    <w:rsid w:val="009B283A"/>
    <w:rsid w:val="009B5BF0"/>
    <w:rsid w:val="009B5EB1"/>
    <w:rsid w:val="009C05D3"/>
    <w:rsid w:val="009C4F17"/>
    <w:rsid w:val="009C629A"/>
    <w:rsid w:val="009C6440"/>
    <w:rsid w:val="009C779B"/>
    <w:rsid w:val="009C7C1F"/>
    <w:rsid w:val="009D2359"/>
    <w:rsid w:val="009D3463"/>
    <w:rsid w:val="009D3BC5"/>
    <w:rsid w:val="009D619D"/>
    <w:rsid w:val="009E031F"/>
    <w:rsid w:val="009E35B4"/>
    <w:rsid w:val="009E3855"/>
    <w:rsid w:val="009E4E0B"/>
    <w:rsid w:val="009F1674"/>
    <w:rsid w:val="009F46E6"/>
    <w:rsid w:val="009F7CD1"/>
    <w:rsid w:val="00A00D3D"/>
    <w:rsid w:val="00A00D63"/>
    <w:rsid w:val="00A017FF"/>
    <w:rsid w:val="00A10D73"/>
    <w:rsid w:val="00A126A2"/>
    <w:rsid w:val="00A1406B"/>
    <w:rsid w:val="00A15428"/>
    <w:rsid w:val="00A205AF"/>
    <w:rsid w:val="00A21AF1"/>
    <w:rsid w:val="00A226B1"/>
    <w:rsid w:val="00A25BDE"/>
    <w:rsid w:val="00A275EB"/>
    <w:rsid w:val="00A32435"/>
    <w:rsid w:val="00A405EB"/>
    <w:rsid w:val="00A41CBE"/>
    <w:rsid w:val="00A41F01"/>
    <w:rsid w:val="00A428A6"/>
    <w:rsid w:val="00A428D3"/>
    <w:rsid w:val="00A44D0B"/>
    <w:rsid w:val="00A44E11"/>
    <w:rsid w:val="00A44F5C"/>
    <w:rsid w:val="00A4512B"/>
    <w:rsid w:val="00A47F8D"/>
    <w:rsid w:val="00A52490"/>
    <w:rsid w:val="00A5686A"/>
    <w:rsid w:val="00A57345"/>
    <w:rsid w:val="00A577FE"/>
    <w:rsid w:val="00A604CE"/>
    <w:rsid w:val="00A646CC"/>
    <w:rsid w:val="00A74996"/>
    <w:rsid w:val="00A74A37"/>
    <w:rsid w:val="00A750F6"/>
    <w:rsid w:val="00A82C3C"/>
    <w:rsid w:val="00A82CED"/>
    <w:rsid w:val="00A82EC9"/>
    <w:rsid w:val="00A83466"/>
    <w:rsid w:val="00A837AB"/>
    <w:rsid w:val="00A83EB3"/>
    <w:rsid w:val="00A84DD6"/>
    <w:rsid w:val="00A85034"/>
    <w:rsid w:val="00A86B68"/>
    <w:rsid w:val="00A87613"/>
    <w:rsid w:val="00A92A07"/>
    <w:rsid w:val="00A954CA"/>
    <w:rsid w:val="00A96AA9"/>
    <w:rsid w:val="00AA1130"/>
    <w:rsid w:val="00AA1D52"/>
    <w:rsid w:val="00AA27D8"/>
    <w:rsid w:val="00AA2C01"/>
    <w:rsid w:val="00AA2F21"/>
    <w:rsid w:val="00AA3E17"/>
    <w:rsid w:val="00AA61FB"/>
    <w:rsid w:val="00AB572A"/>
    <w:rsid w:val="00AC21E1"/>
    <w:rsid w:val="00AC3D3F"/>
    <w:rsid w:val="00AC43D1"/>
    <w:rsid w:val="00AC4698"/>
    <w:rsid w:val="00AC4C13"/>
    <w:rsid w:val="00AC5849"/>
    <w:rsid w:val="00AC6731"/>
    <w:rsid w:val="00AC7116"/>
    <w:rsid w:val="00AD14A4"/>
    <w:rsid w:val="00AD16DB"/>
    <w:rsid w:val="00AD181C"/>
    <w:rsid w:val="00AD3EC3"/>
    <w:rsid w:val="00AD6BF6"/>
    <w:rsid w:val="00AE12A1"/>
    <w:rsid w:val="00AE3AFB"/>
    <w:rsid w:val="00AF01E6"/>
    <w:rsid w:val="00AF12D4"/>
    <w:rsid w:val="00AF1BEE"/>
    <w:rsid w:val="00AF2DD3"/>
    <w:rsid w:val="00AF3A51"/>
    <w:rsid w:val="00AF5073"/>
    <w:rsid w:val="00B013DC"/>
    <w:rsid w:val="00B0248A"/>
    <w:rsid w:val="00B05AFC"/>
    <w:rsid w:val="00B117C1"/>
    <w:rsid w:val="00B124F1"/>
    <w:rsid w:val="00B13617"/>
    <w:rsid w:val="00B15077"/>
    <w:rsid w:val="00B200CA"/>
    <w:rsid w:val="00B23938"/>
    <w:rsid w:val="00B25A00"/>
    <w:rsid w:val="00B26687"/>
    <w:rsid w:val="00B27C70"/>
    <w:rsid w:val="00B345B0"/>
    <w:rsid w:val="00B3747E"/>
    <w:rsid w:val="00B45081"/>
    <w:rsid w:val="00B465DC"/>
    <w:rsid w:val="00B530D8"/>
    <w:rsid w:val="00B54087"/>
    <w:rsid w:val="00B572A5"/>
    <w:rsid w:val="00B613C9"/>
    <w:rsid w:val="00B66144"/>
    <w:rsid w:val="00B66D97"/>
    <w:rsid w:val="00B67AD4"/>
    <w:rsid w:val="00B70B1F"/>
    <w:rsid w:val="00B76409"/>
    <w:rsid w:val="00B76BA9"/>
    <w:rsid w:val="00B77043"/>
    <w:rsid w:val="00B77486"/>
    <w:rsid w:val="00B77B8D"/>
    <w:rsid w:val="00B826EF"/>
    <w:rsid w:val="00B82C49"/>
    <w:rsid w:val="00B83253"/>
    <w:rsid w:val="00B84001"/>
    <w:rsid w:val="00B84536"/>
    <w:rsid w:val="00B95449"/>
    <w:rsid w:val="00B95B0E"/>
    <w:rsid w:val="00B95CBC"/>
    <w:rsid w:val="00B96EC8"/>
    <w:rsid w:val="00BA064D"/>
    <w:rsid w:val="00BA084B"/>
    <w:rsid w:val="00BA1F2D"/>
    <w:rsid w:val="00BA3D2B"/>
    <w:rsid w:val="00BA43D2"/>
    <w:rsid w:val="00BB2783"/>
    <w:rsid w:val="00BB39CB"/>
    <w:rsid w:val="00BC02A3"/>
    <w:rsid w:val="00BC0803"/>
    <w:rsid w:val="00BC0B50"/>
    <w:rsid w:val="00BC1C0B"/>
    <w:rsid w:val="00BC48F9"/>
    <w:rsid w:val="00BC4AB1"/>
    <w:rsid w:val="00BD681B"/>
    <w:rsid w:val="00BE172D"/>
    <w:rsid w:val="00BE441D"/>
    <w:rsid w:val="00BE7ED2"/>
    <w:rsid w:val="00BF3727"/>
    <w:rsid w:val="00BF4965"/>
    <w:rsid w:val="00BF5A83"/>
    <w:rsid w:val="00C00FE0"/>
    <w:rsid w:val="00C02D0B"/>
    <w:rsid w:val="00C032D9"/>
    <w:rsid w:val="00C03A0E"/>
    <w:rsid w:val="00C045B9"/>
    <w:rsid w:val="00C105BD"/>
    <w:rsid w:val="00C10B96"/>
    <w:rsid w:val="00C135E9"/>
    <w:rsid w:val="00C13A34"/>
    <w:rsid w:val="00C175CC"/>
    <w:rsid w:val="00C216F5"/>
    <w:rsid w:val="00C2237A"/>
    <w:rsid w:val="00C252F1"/>
    <w:rsid w:val="00C269A0"/>
    <w:rsid w:val="00C30CD4"/>
    <w:rsid w:val="00C35137"/>
    <w:rsid w:val="00C4127E"/>
    <w:rsid w:val="00C41885"/>
    <w:rsid w:val="00C42611"/>
    <w:rsid w:val="00C438E4"/>
    <w:rsid w:val="00C4442C"/>
    <w:rsid w:val="00C44A56"/>
    <w:rsid w:val="00C46B61"/>
    <w:rsid w:val="00C47BD8"/>
    <w:rsid w:val="00C51478"/>
    <w:rsid w:val="00C51AD1"/>
    <w:rsid w:val="00C51D5E"/>
    <w:rsid w:val="00C53BF7"/>
    <w:rsid w:val="00C543DC"/>
    <w:rsid w:val="00C56917"/>
    <w:rsid w:val="00C61A52"/>
    <w:rsid w:val="00C61BB0"/>
    <w:rsid w:val="00C621A8"/>
    <w:rsid w:val="00C630DB"/>
    <w:rsid w:val="00C647CD"/>
    <w:rsid w:val="00C66AF9"/>
    <w:rsid w:val="00C67349"/>
    <w:rsid w:val="00C71B76"/>
    <w:rsid w:val="00C72C68"/>
    <w:rsid w:val="00C74147"/>
    <w:rsid w:val="00C75708"/>
    <w:rsid w:val="00C77796"/>
    <w:rsid w:val="00C82D8E"/>
    <w:rsid w:val="00C9315C"/>
    <w:rsid w:val="00CA141F"/>
    <w:rsid w:val="00CA187F"/>
    <w:rsid w:val="00CA1D63"/>
    <w:rsid w:val="00CA5CDF"/>
    <w:rsid w:val="00CA7F9E"/>
    <w:rsid w:val="00CA7FC7"/>
    <w:rsid w:val="00CB0404"/>
    <w:rsid w:val="00CB0B90"/>
    <w:rsid w:val="00CB357E"/>
    <w:rsid w:val="00CB4832"/>
    <w:rsid w:val="00CB4D7C"/>
    <w:rsid w:val="00CB6AB6"/>
    <w:rsid w:val="00CC381C"/>
    <w:rsid w:val="00CC55B7"/>
    <w:rsid w:val="00CD127A"/>
    <w:rsid w:val="00CD30DB"/>
    <w:rsid w:val="00CD78D1"/>
    <w:rsid w:val="00CD7F42"/>
    <w:rsid w:val="00CE1C17"/>
    <w:rsid w:val="00CE1FF7"/>
    <w:rsid w:val="00CE3FD3"/>
    <w:rsid w:val="00CE4821"/>
    <w:rsid w:val="00CE6960"/>
    <w:rsid w:val="00CF0149"/>
    <w:rsid w:val="00CF07F1"/>
    <w:rsid w:val="00CF0AE0"/>
    <w:rsid w:val="00CF36F9"/>
    <w:rsid w:val="00CF6258"/>
    <w:rsid w:val="00D016D2"/>
    <w:rsid w:val="00D0177B"/>
    <w:rsid w:val="00D0370E"/>
    <w:rsid w:val="00D03ADE"/>
    <w:rsid w:val="00D04FBE"/>
    <w:rsid w:val="00D05EA3"/>
    <w:rsid w:val="00D07561"/>
    <w:rsid w:val="00D105E0"/>
    <w:rsid w:val="00D14423"/>
    <w:rsid w:val="00D16BBE"/>
    <w:rsid w:val="00D22C29"/>
    <w:rsid w:val="00D235BC"/>
    <w:rsid w:val="00D24A57"/>
    <w:rsid w:val="00D30AAE"/>
    <w:rsid w:val="00D3441D"/>
    <w:rsid w:val="00D44628"/>
    <w:rsid w:val="00D45075"/>
    <w:rsid w:val="00D45B77"/>
    <w:rsid w:val="00D4676C"/>
    <w:rsid w:val="00D54607"/>
    <w:rsid w:val="00D61830"/>
    <w:rsid w:val="00D71676"/>
    <w:rsid w:val="00D73421"/>
    <w:rsid w:val="00D73466"/>
    <w:rsid w:val="00D7480E"/>
    <w:rsid w:val="00D769CE"/>
    <w:rsid w:val="00D806D7"/>
    <w:rsid w:val="00D82580"/>
    <w:rsid w:val="00D90514"/>
    <w:rsid w:val="00D90555"/>
    <w:rsid w:val="00D91C70"/>
    <w:rsid w:val="00D9363D"/>
    <w:rsid w:val="00D950D3"/>
    <w:rsid w:val="00DA0C4C"/>
    <w:rsid w:val="00DA5703"/>
    <w:rsid w:val="00DA60C3"/>
    <w:rsid w:val="00DA6FE4"/>
    <w:rsid w:val="00DA7102"/>
    <w:rsid w:val="00DB4C11"/>
    <w:rsid w:val="00DB4F82"/>
    <w:rsid w:val="00DC2F38"/>
    <w:rsid w:val="00DC4BC7"/>
    <w:rsid w:val="00DC5B87"/>
    <w:rsid w:val="00DD032C"/>
    <w:rsid w:val="00DD3678"/>
    <w:rsid w:val="00DD5DD9"/>
    <w:rsid w:val="00DD5E5B"/>
    <w:rsid w:val="00DF1AEE"/>
    <w:rsid w:val="00DF3F84"/>
    <w:rsid w:val="00DF3FCB"/>
    <w:rsid w:val="00DF5A73"/>
    <w:rsid w:val="00E00131"/>
    <w:rsid w:val="00E011EF"/>
    <w:rsid w:val="00E04B3D"/>
    <w:rsid w:val="00E05D3E"/>
    <w:rsid w:val="00E068EA"/>
    <w:rsid w:val="00E10391"/>
    <w:rsid w:val="00E13AF5"/>
    <w:rsid w:val="00E140EA"/>
    <w:rsid w:val="00E20182"/>
    <w:rsid w:val="00E26372"/>
    <w:rsid w:val="00E33D81"/>
    <w:rsid w:val="00E34826"/>
    <w:rsid w:val="00E34B9D"/>
    <w:rsid w:val="00E416BF"/>
    <w:rsid w:val="00E5139A"/>
    <w:rsid w:val="00E518C3"/>
    <w:rsid w:val="00E51BC4"/>
    <w:rsid w:val="00E55A93"/>
    <w:rsid w:val="00E56B0F"/>
    <w:rsid w:val="00E57B7E"/>
    <w:rsid w:val="00E61E58"/>
    <w:rsid w:val="00E63EB5"/>
    <w:rsid w:val="00E65F1D"/>
    <w:rsid w:val="00E722FA"/>
    <w:rsid w:val="00E73036"/>
    <w:rsid w:val="00E73081"/>
    <w:rsid w:val="00E74A4A"/>
    <w:rsid w:val="00E768D4"/>
    <w:rsid w:val="00E83B1E"/>
    <w:rsid w:val="00E8410F"/>
    <w:rsid w:val="00E84FB8"/>
    <w:rsid w:val="00E85E3A"/>
    <w:rsid w:val="00E8624D"/>
    <w:rsid w:val="00E86426"/>
    <w:rsid w:val="00E86BA6"/>
    <w:rsid w:val="00E86DEA"/>
    <w:rsid w:val="00E87D7A"/>
    <w:rsid w:val="00E9149D"/>
    <w:rsid w:val="00E9196F"/>
    <w:rsid w:val="00E91C74"/>
    <w:rsid w:val="00E95D32"/>
    <w:rsid w:val="00E97E72"/>
    <w:rsid w:val="00EA3A2D"/>
    <w:rsid w:val="00EA63A7"/>
    <w:rsid w:val="00EB0301"/>
    <w:rsid w:val="00EB57A9"/>
    <w:rsid w:val="00EC17B8"/>
    <w:rsid w:val="00EC1F3B"/>
    <w:rsid w:val="00EC6C81"/>
    <w:rsid w:val="00ED0600"/>
    <w:rsid w:val="00ED099F"/>
    <w:rsid w:val="00ED54E8"/>
    <w:rsid w:val="00ED6857"/>
    <w:rsid w:val="00ED6D94"/>
    <w:rsid w:val="00ED76DC"/>
    <w:rsid w:val="00EE3416"/>
    <w:rsid w:val="00EE4913"/>
    <w:rsid w:val="00EE67FC"/>
    <w:rsid w:val="00EE69E4"/>
    <w:rsid w:val="00EE71AD"/>
    <w:rsid w:val="00EF05E4"/>
    <w:rsid w:val="00F029F6"/>
    <w:rsid w:val="00F04276"/>
    <w:rsid w:val="00F063B5"/>
    <w:rsid w:val="00F114CF"/>
    <w:rsid w:val="00F13F52"/>
    <w:rsid w:val="00F14227"/>
    <w:rsid w:val="00F21B39"/>
    <w:rsid w:val="00F27F1D"/>
    <w:rsid w:val="00F33298"/>
    <w:rsid w:val="00F338C4"/>
    <w:rsid w:val="00F42108"/>
    <w:rsid w:val="00F42BA4"/>
    <w:rsid w:val="00F43508"/>
    <w:rsid w:val="00F43B75"/>
    <w:rsid w:val="00F448E0"/>
    <w:rsid w:val="00F457F3"/>
    <w:rsid w:val="00F50D37"/>
    <w:rsid w:val="00F511FF"/>
    <w:rsid w:val="00F514B6"/>
    <w:rsid w:val="00F53FAA"/>
    <w:rsid w:val="00F547D0"/>
    <w:rsid w:val="00F55ABF"/>
    <w:rsid w:val="00F55F3F"/>
    <w:rsid w:val="00F62B06"/>
    <w:rsid w:val="00F647C3"/>
    <w:rsid w:val="00F64FF0"/>
    <w:rsid w:val="00F70761"/>
    <w:rsid w:val="00F70B6B"/>
    <w:rsid w:val="00F710BE"/>
    <w:rsid w:val="00F71FAB"/>
    <w:rsid w:val="00F73F5B"/>
    <w:rsid w:val="00F77553"/>
    <w:rsid w:val="00F77855"/>
    <w:rsid w:val="00F77A5A"/>
    <w:rsid w:val="00F80DF3"/>
    <w:rsid w:val="00F82968"/>
    <w:rsid w:val="00F83552"/>
    <w:rsid w:val="00F8598B"/>
    <w:rsid w:val="00F86B24"/>
    <w:rsid w:val="00F92102"/>
    <w:rsid w:val="00FA056F"/>
    <w:rsid w:val="00FA0934"/>
    <w:rsid w:val="00FA5010"/>
    <w:rsid w:val="00FA706B"/>
    <w:rsid w:val="00FB05D9"/>
    <w:rsid w:val="00FB1399"/>
    <w:rsid w:val="00FB2558"/>
    <w:rsid w:val="00FB2C1D"/>
    <w:rsid w:val="00FB3AC4"/>
    <w:rsid w:val="00FB6044"/>
    <w:rsid w:val="00FB747D"/>
    <w:rsid w:val="00FC24C4"/>
    <w:rsid w:val="00FD0D52"/>
    <w:rsid w:val="00FD2961"/>
    <w:rsid w:val="00FD5E66"/>
    <w:rsid w:val="00FD620C"/>
    <w:rsid w:val="00FD786C"/>
    <w:rsid w:val="00FD7CCE"/>
    <w:rsid w:val="00FE43C1"/>
    <w:rsid w:val="00FE5542"/>
    <w:rsid w:val="00FF16CD"/>
    <w:rsid w:val="00FF3159"/>
    <w:rsid w:val="00FF75FA"/>
    <w:rsid w:val="01254791"/>
    <w:rsid w:val="014B4017"/>
    <w:rsid w:val="01BB7833"/>
    <w:rsid w:val="01D4202A"/>
    <w:rsid w:val="01EE49B6"/>
    <w:rsid w:val="01F36FCC"/>
    <w:rsid w:val="01FE0C95"/>
    <w:rsid w:val="02054F52"/>
    <w:rsid w:val="02535CBD"/>
    <w:rsid w:val="028129C3"/>
    <w:rsid w:val="02D52AF4"/>
    <w:rsid w:val="03404493"/>
    <w:rsid w:val="03726617"/>
    <w:rsid w:val="03A34A22"/>
    <w:rsid w:val="03BB23AE"/>
    <w:rsid w:val="04071455"/>
    <w:rsid w:val="04932DEE"/>
    <w:rsid w:val="04AB1DE0"/>
    <w:rsid w:val="05483AD3"/>
    <w:rsid w:val="055C3A53"/>
    <w:rsid w:val="05B60A3D"/>
    <w:rsid w:val="05C22876"/>
    <w:rsid w:val="05D84E57"/>
    <w:rsid w:val="05E51599"/>
    <w:rsid w:val="060129D6"/>
    <w:rsid w:val="0616119B"/>
    <w:rsid w:val="0623698D"/>
    <w:rsid w:val="06B0605C"/>
    <w:rsid w:val="06F4329F"/>
    <w:rsid w:val="06FD0BBC"/>
    <w:rsid w:val="07195F0C"/>
    <w:rsid w:val="074D5FDE"/>
    <w:rsid w:val="0753603C"/>
    <w:rsid w:val="0763442C"/>
    <w:rsid w:val="079269DC"/>
    <w:rsid w:val="08A87869"/>
    <w:rsid w:val="08D05E87"/>
    <w:rsid w:val="0959562D"/>
    <w:rsid w:val="095A0316"/>
    <w:rsid w:val="09616F12"/>
    <w:rsid w:val="096D58B6"/>
    <w:rsid w:val="0995393F"/>
    <w:rsid w:val="09BC7598"/>
    <w:rsid w:val="09E91DEB"/>
    <w:rsid w:val="0A004883"/>
    <w:rsid w:val="0A535C75"/>
    <w:rsid w:val="0A895661"/>
    <w:rsid w:val="0AB32F62"/>
    <w:rsid w:val="0B304DED"/>
    <w:rsid w:val="0BA92DF2"/>
    <w:rsid w:val="0BAA1044"/>
    <w:rsid w:val="0BAB7811"/>
    <w:rsid w:val="0C22781A"/>
    <w:rsid w:val="0C4F7030"/>
    <w:rsid w:val="0C5B08D9"/>
    <w:rsid w:val="0C9549C4"/>
    <w:rsid w:val="0C9C63A6"/>
    <w:rsid w:val="0C9E222B"/>
    <w:rsid w:val="0CA159D4"/>
    <w:rsid w:val="0CA75583"/>
    <w:rsid w:val="0CAD1604"/>
    <w:rsid w:val="0CCF0636"/>
    <w:rsid w:val="0D1573BE"/>
    <w:rsid w:val="0D7511DD"/>
    <w:rsid w:val="0DC9092E"/>
    <w:rsid w:val="0DD716D4"/>
    <w:rsid w:val="0DD8702C"/>
    <w:rsid w:val="0DDA7292"/>
    <w:rsid w:val="0E4312DC"/>
    <w:rsid w:val="0E5B6625"/>
    <w:rsid w:val="0E8D69FB"/>
    <w:rsid w:val="0EE55F3A"/>
    <w:rsid w:val="0F213A77"/>
    <w:rsid w:val="0F301ADA"/>
    <w:rsid w:val="0F957915"/>
    <w:rsid w:val="0FC926E7"/>
    <w:rsid w:val="0FE32D76"/>
    <w:rsid w:val="106043C7"/>
    <w:rsid w:val="10613EA0"/>
    <w:rsid w:val="106A362C"/>
    <w:rsid w:val="106F0166"/>
    <w:rsid w:val="10B237DF"/>
    <w:rsid w:val="10ED3781"/>
    <w:rsid w:val="10F90377"/>
    <w:rsid w:val="111A10E0"/>
    <w:rsid w:val="112A0F17"/>
    <w:rsid w:val="113F222E"/>
    <w:rsid w:val="11551A52"/>
    <w:rsid w:val="1158509E"/>
    <w:rsid w:val="11673533"/>
    <w:rsid w:val="11EF6B2E"/>
    <w:rsid w:val="12011292"/>
    <w:rsid w:val="122D2087"/>
    <w:rsid w:val="12411FD6"/>
    <w:rsid w:val="124438CB"/>
    <w:rsid w:val="128A6267"/>
    <w:rsid w:val="128E6D56"/>
    <w:rsid w:val="12945B52"/>
    <w:rsid w:val="12AA1929"/>
    <w:rsid w:val="135D2E40"/>
    <w:rsid w:val="13716018"/>
    <w:rsid w:val="14217DBC"/>
    <w:rsid w:val="14BB36F2"/>
    <w:rsid w:val="14DE6AFC"/>
    <w:rsid w:val="14E82BDD"/>
    <w:rsid w:val="154716B1"/>
    <w:rsid w:val="15695A58"/>
    <w:rsid w:val="15791A87"/>
    <w:rsid w:val="15795155"/>
    <w:rsid w:val="15897F1C"/>
    <w:rsid w:val="15B71DCB"/>
    <w:rsid w:val="15F630D7"/>
    <w:rsid w:val="161F618A"/>
    <w:rsid w:val="162474E0"/>
    <w:rsid w:val="16442095"/>
    <w:rsid w:val="166F4B77"/>
    <w:rsid w:val="16D451C7"/>
    <w:rsid w:val="16E41182"/>
    <w:rsid w:val="16EB272A"/>
    <w:rsid w:val="16F12D0D"/>
    <w:rsid w:val="1715503C"/>
    <w:rsid w:val="17233577"/>
    <w:rsid w:val="173E4D36"/>
    <w:rsid w:val="1746135D"/>
    <w:rsid w:val="17665C47"/>
    <w:rsid w:val="17AE04EA"/>
    <w:rsid w:val="17B374D2"/>
    <w:rsid w:val="17EC4792"/>
    <w:rsid w:val="1869711E"/>
    <w:rsid w:val="18B43502"/>
    <w:rsid w:val="18C474BD"/>
    <w:rsid w:val="1910625E"/>
    <w:rsid w:val="19214C52"/>
    <w:rsid w:val="192166BD"/>
    <w:rsid w:val="192A37C4"/>
    <w:rsid w:val="19520091"/>
    <w:rsid w:val="196636DD"/>
    <w:rsid w:val="19A034BB"/>
    <w:rsid w:val="19A3056F"/>
    <w:rsid w:val="1A051B3B"/>
    <w:rsid w:val="1A1025AF"/>
    <w:rsid w:val="1A2A3350"/>
    <w:rsid w:val="1A32623F"/>
    <w:rsid w:val="1A6525DA"/>
    <w:rsid w:val="1A876DD1"/>
    <w:rsid w:val="1A995E21"/>
    <w:rsid w:val="1AC04AB3"/>
    <w:rsid w:val="1B170CA1"/>
    <w:rsid w:val="1B3C333B"/>
    <w:rsid w:val="1B977CB9"/>
    <w:rsid w:val="1BAC2B2C"/>
    <w:rsid w:val="1BDC0DBE"/>
    <w:rsid w:val="1C0B1542"/>
    <w:rsid w:val="1C6012AB"/>
    <w:rsid w:val="1CD6156D"/>
    <w:rsid w:val="1CEC1915"/>
    <w:rsid w:val="1CF8412E"/>
    <w:rsid w:val="1D0B62FF"/>
    <w:rsid w:val="1D1A76AB"/>
    <w:rsid w:val="1D725739"/>
    <w:rsid w:val="1DD81269"/>
    <w:rsid w:val="1E367A20"/>
    <w:rsid w:val="1E9E60BA"/>
    <w:rsid w:val="1EA47B74"/>
    <w:rsid w:val="1F493C4B"/>
    <w:rsid w:val="1F797577"/>
    <w:rsid w:val="1F8B3CCA"/>
    <w:rsid w:val="1FE946D3"/>
    <w:rsid w:val="1FF20989"/>
    <w:rsid w:val="20452C91"/>
    <w:rsid w:val="205C7FDB"/>
    <w:rsid w:val="208C282B"/>
    <w:rsid w:val="20A774A8"/>
    <w:rsid w:val="20B147CB"/>
    <w:rsid w:val="20D42D7B"/>
    <w:rsid w:val="20DA5ACF"/>
    <w:rsid w:val="20E701EC"/>
    <w:rsid w:val="21110DC5"/>
    <w:rsid w:val="21CE6CB6"/>
    <w:rsid w:val="21ED538F"/>
    <w:rsid w:val="2208666C"/>
    <w:rsid w:val="225E628C"/>
    <w:rsid w:val="227B0BEC"/>
    <w:rsid w:val="229121BE"/>
    <w:rsid w:val="229761DD"/>
    <w:rsid w:val="22AB7B04"/>
    <w:rsid w:val="22C5455D"/>
    <w:rsid w:val="23AA6993"/>
    <w:rsid w:val="23B5012E"/>
    <w:rsid w:val="240A73B4"/>
    <w:rsid w:val="24283197"/>
    <w:rsid w:val="24453C3F"/>
    <w:rsid w:val="246D59AA"/>
    <w:rsid w:val="24704055"/>
    <w:rsid w:val="24725872"/>
    <w:rsid w:val="247D4FD3"/>
    <w:rsid w:val="25575B08"/>
    <w:rsid w:val="255F5186"/>
    <w:rsid w:val="25792689"/>
    <w:rsid w:val="25B85CB3"/>
    <w:rsid w:val="25E42F4C"/>
    <w:rsid w:val="25F379BD"/>
    <w:rsid w:val="26235823"/>
    <w:rsid w:val="26C863CA"/>
    <w:rsid w:val="272B1F61"/>
    <w:rsid w:val="276D62F7"/>
    <w:rsid w:val="27FE1941"/>
    <w:rsid w:val="283D65C6"/>
    <w:rsid w:val="28940C5A"/>
    <w:rsid w:val="28A80261"/>
    <w:rsid w:val="28CF4580"/>
    <w:rsid w:val="294A6DC7"/>
    <w:rsid w:val="29572D63"/>
    <w:rsid w:val="29580E98"/>
    <w:rsid w:val="29852351"/>
    <w:rsid w:val="2A3D2C2B"/>
    <w:rsid w:val="2A506E02"/>
    <w:rsid w:val="2A5644ED"/>
    <w:rsid w:val="2A8E16D9"/>
    <w:rsid w:val="2ACB0237"/>
    <w:rsid w:val="2AEF2177"/>
    <w:rsid w:val="2AF12449"/>
    <w:rsid w:val="2B033E75"/>
    <w:rsid w:val="2B35362F"/>
    <w:rsid w:val="2B434271"/>
    <w:rsid w:val="2B687513"/>
    <w:rsid w:val="2B8A00F2"/>
    <w:rsid w:val="2BDD6474"/>
    <w:rsid w:val="2C210A56"/>
    <w:rsid w:val="2C223C33"/>
    <w:rsid w:val="2C382A46"/>
    <w:rsid w:val="2C3D5164"/>
    <w:rsid w:val="2C464019"/>
    <w:rsid w:val="2C532BDA"/>
    <w:rsid w:val="2C5C1A8E"/>
    <w:rsid w:val="2CBC252D"/>
    <w:rsid w:val="2CBD7EDA"/>
    <w:rsid w:val="2CD952E7"/>
    <w:rsid w:val="2CDF446E"/>
    <w:rsid w:val="2D0619FA"/>
    <w:rsid w:val="2D426ED6"/>
    <w:rsid w:val="2D513B5D"/>
    <w:rsid w:val="2D524C40"/>
    <w:rsid w:val="2D5675AC"/>
    <w:rsid w:val="2D8017AD"/>
    <w:rsid w:val="2DD56F1C"/>
    <w:rsid w:val="2DFD4BAB"/>
    <w:rsid w:val="2E66136F"/>
    <w:rsid w:val="2E690493"/>
    <w:rsid w:val="2E905A1F"/>
    <w:rsid w:val="2E9A33B4"/>
    <w:rsid w:val="2ED20269"/>
    <w:rsid w:val="2F0106CB"/>
    <w:rsid w:val="2F4862FA"/>
    <w:rsid w:val="2F963509"/>
    <w:rsid w:val="2FC31E25"/>
    <w:rsid w:val="2FC82F97"/>
    <w:rsid w:val="2FD005A7"/>
    <w:rsid w:val="2FE66AB5"/>
    <w:rsid w:val="2FEE2E16"/>
    <w:rsid w:val="3001091F"/>
    <w:rsid w:val="30204B81"/>
    <w:rsid w:val="30354AD0"/>
    <w:rsid w:val="30567426"/>
    <w:rsid w:val="307E39A9"/>
    <w:rsid w:val="30BB491F"/>
    <w:rsid w:val="31210478"/>
    <w:rsid w:val="315C42DF"/>
    <w:rsid w:val="31F12C79"/>
    <w:rsid w:val="320130BD"/>
    <w:rsid w:val="3232497F"/>
    <w:rsid w:val="32523F5D"/>
    <w:rsid w:val="325B095B"/>
    <w:rsid w:val="32655415"/>
    <w:rsid w:val="32673C7A"/>
    <w:rsid w:val="328C29A2"/>
    <w:rsid w:val="32A37E53"/>
    <w:rsid w:val="32A64559"/>
    <w:rsid w:val="32DD144F"/>
    <w:rsid w:val="32EB5F81"/>
    <w:rsid w:val="32FD41BB"/>
    <w:rsid w:val="33242BDA"/>
    <w:rsid w:val="33437504"/>
    <w:rsid w:val="334F429F"/>
    <w:rsid w:val="337376BE"/>
    <w:rsid w:val="33D068BE"/>
    <w:rsid w:val="33E74334"/>
    <w:rsid w:val="34236136"/>
    <w:rsid w:val="34713F61"/>
    <w:rsid w:val="34930017"/>
    <w:rsid w:val="34A42225"/>
    <w:rsid w:val="34AD2063"/>
    <w:rsid w:val="34C24459"/>
    <w:rsid w:val="34EC7728"/>
    <w:rsid w:val="35482D8D"/>
    <w:rsid w:val="35675000"/>
    <w:rsid w:val="357833C0"/>
    <w:rsid w:val="35A34598"/>
    <w:rsid w:val="35E54A3E"/>
    <w:rsid w:val="35E8438A"/>
    <w:rsid w:val="36356EAC"/>
    <w:rsid w:val="3684230E"/>
    <w:rsid w:val="36B95E74"/>
    <w:rsid w:val="36EE59D9"/>
    <w:rsid w:val="3724339B"/>
    <w:rsid w:val="38451629"/>
    <w:rsid w:val="387C7014"/>
    <w:rsid w:val="39033292"/>
    <w:rsid w:val="391C07F9"/>
    <w:rsid w:val="39A607ED"/>
    <w:rsid w:val="39C90037"/>
    <w:rsid w:val="39D569DC"/>
    <w:rsid w:val="3A066B7D"/>
    <w:rsid w:val="3A2B6835"/>
    <w:rsid w:val="3A8322BA"/>
    <w:rsid w:val="3AAA7E69"/>
    <w:rsid w:val="3B0C0B24"/>
    <w:rsid w:val="3B984165"/>
    <w:rsid w:val="3BFF5F92"/>
    <w:rsid w:val="3C095063"/>
    <w:rsid w:val="3C3A6C71"/>
    <w:rsid w:val="3C797AF3"/>
    <w:rsid w:val="3D202664"/>
    <w:rsid w:val="3D6C012E"/>
    <w:rsid w:val="3D960DE1"/>
    <w:rsid w:val="3DFD29A6"/>
    <w:rsid w:val="3E514FB8"/>
    <w:rsid w:val="3ECB6600"/>
    <w:rsid w:val="3F63534D"/>
    <w:rsid w:val="3F7564DB"/>
    <w:rsid w:val="3FEF4161"/>
    <w:rsid w:val="401F3FE0"/>
    <w:rsid w:val="402C30CE"/>
    <w:rsid w:val="404E74E8"/>
    <w:rsid w:val="40564F03"/>
    <w:rsid w:val="40DC4AF4"/>
    <w:rsid w:val="416D399E"/>
    <w:rsid w:val="41990C37"/>
    <w:rsid w:val="41BC2DDE"/>
    <w:rsid w:val="41EB0404"/>
    <w:rsid w:val="420F6D0A"/>
    <w:rsid w:val="42204EB5"/>
    <w:rsid w:val="42287B74"/>
    <w:rsid w:val="423324F9"/>
    <w:rsid w:val="423707F6"/>
    <w:rsid w:val="425B7C9B"/>
    <w:rsid w:val="4262597F"/>
    <w:rsid w:val="42947DE2"/>
    <w:rsid w:val="42CF2ADA"/>
    <w:rsid w:val="42EA788B"/>
    <w:rsid w:val="43606428"/>
    <w:rsid w:val="43651A66"/>
    <w:rsid w:val="439062D3"/>
    <w:rsid w:val="43D83C99"/>
    <w:rsid w:val="43DF5027"/>
    <w:rsid w:val="44C63AF1"/>
    <w:rsid w:val="450E5498"/>
    <w:rsid w:val="45A722D6"/>
    <w:rsid w:val="463F07DB"/>
    <w:rsid w:val="46DD3374"/>
    <w:rsid w:val="47020813"/>
    <w:rsid w:val="47513F27"/>
    <w:rsid w:val="477041E8"/>
    <w:rsid w:val="47857C94"/>
    <w:rsid w:val="48141018"/>
    <w:rsid w:val="48396CD0"/>
    <w:rsid w:val="48510DAC"/>
    <w:rsid w:val="486436E7"/>
    <w:rsid w:val="48950DE4"/>
    <w:rsid w:val="48BD16AF"/>
    <w:rsid w:val="48BF424C"/>
    <w:rsid w:val="496511A3"/>
    <w:rsid w:val="4997621F"/>
    <w:rsid w:val="49C27C4A"/>
    <w:rsid w:val="49F72B06"/>
    <w:rsid w:val="4A026F38"/>
    <w:rsid w:val="4A032562"/>
    <w:rsid w:val="4A4756D4"/>
    <w:rsid w:val="4A4A0D21"/>
    <w:rsid w:val="4A565917"/>
    <w:rsid w:val="4A7234D2"/>
    <w:rsid w:val="4A807A4A"/>
    <w:rsid w:val="4A843BB0"/>
    <w:rsid w:val="4B3F5DAC"/>
    <w:rsid w:val="4B494797"/>
    <w:rsid w:val="4B8B339F"/>
    <w:rsid w:val="4B8D7AA9"/>
    <w:rsid w:val="4BBA15A0"/>
    <w:rsid w:val="4C742EFD"/>
    <w:rsid w:val="4C9D782D"/>
    <w:rsid w:val="4D05056F"/>
    <w:rsid w:val="4D0E072B"/>
    <w:rsid w:val="4D796F0D"/>
    <w:rsid w:val="4D924993"/>
    <w:rsid w:val="4D9D2F47"/>
    <w:rsid w:val="4E49171C"/>
    <w:rsid w:val="4E561001"/>
    <w:rsid w:val="4E9862F9"/>
    <w:rsid w:val="4EB60048"/>
    <w:rsid w:val="4EFE20DA"/>
    <w:rsid w:val="4F8847C5"/>
    <w:rsid w:val="4F8D6453"/>
    <w:rsid w:val="4FC40675"/>
    <w:rsid w:val="4FE96403"/>
    <w:rsid w:val="4FF37764"/>
    <w:rsid w:val="50145789"/>
    <w:rsid w:val="5015592D"/>
    <w:rsid w:val="50306C0B"/>
    <w:rsid w:val="50346F06"/>
    <w:rsid w:val="504940C1"/>
    <w:rsid w:val="504B1C98"/>
    <w:rsid w:val="505446A7"/>
    <w:rsid w:val="50684475"/>
    <w:rsid w:val="50B769E4"/>
    <w:rsid w:val="50DC0EA7"/>
    <w:rsid w:val="50F52CCD"/>
    <w:rsid w:val="512B1CC8"/>
    <w:rsid w:val="51377B20"/>
    <w:rsid w:val="517358D5"/>
    <w:rsid w:val="5205694C"/>
    <w:rsid w:val="52BC6534"/>
    <w:rsid w:val="537B3CFA"/>
    <w:rsid w:val="537D5CC3"/>
    <w:rsid w:val="538D07B9"/>
    <w:rsid w:val="53C73982"/>
    <w:rsid w:val="53F266B1"/>
    <w:rsid w:val="53FB1752"/>
    <w:rsid w:val="540422AE"/>
    <w:rsid w:val="543A0058"/>
    <w:rsid w:val="549C3FAB"/>
    <w:rsid w:val="54AB5A3B"/>
    <w:rsid w:val="54BE2A37"/>
    <w:rsid w:val="54C227C1"/>
    <w:rsid w:val="55482300"/>
    <w:rsid w:val="55506F12"/>
    <w:rsid w:val="55871BE2"/>
    <w:rsid w:val="55A07932"/>
    <w:rsid w:val="564E6301"/>
    <w:rsid w:val="567809C3"/>
    <w:rsid w:val="568D0913"/>
    <w:rsid w:val="56A31EE4"/>
    <w:rsid w:val="56A9281F"/>
    <w:rsid w:val="56DF6C95"/>
    <w:rsid w:val="57022DF5"/>
    <w:rsid w:val="571B53DB"/>
    <w:rsid w:val="571F628C"/>
    <w:rsid w:val="572B085F"/>
    <w:rsid w:val="57990F4C"/>
    <w:rsid w:val="583077A8"/>
    <w:rsid w:val="58443253"/>
    <w:rsid w:val="58AB1D89"/>
    <w:rsid w:val="58AB1DF9"/>
    <w:rsid w:val="59215342"/>
    <w:rsid w:val="592D3CE7"/>
    <w:rsid w:val="59411541"/>
    <w:rsid w:val="598E476E"/>
    <w:rsid w:val="5A252C10"/>
    <w:rsid w:val="5B280C0A"/>
    <w:rsid w:val="5BBB115B"/>
    <w:rsid w:val="5C1C66AB"/>
    <w:rsid w:val="5C380CC4"/>
    <w:rsid w:val="5C7D4A92"/>
    <w:rsid w:val="5C9A78E6"/>
    <w:rsid w:val="5CAA35BE"/>
    <w:rsid w:val="5CC83530"/>
    <w:rsid w:val="5CF62DE3"/>
    <w:rsid w:val="5D3572A6"/>
    <w:rsid w:val="5D4411D0"/>
    <w:rsid w:val="5D6172C5"/>
    <w:rsid w:val="5D6B1282"/>
    <w:rsid w:val="5DF0763D"/>
    <w:rsid w:val="5DF64FF0"/>
    <w:rsid w:val="5E05795B"/>
    <w:rsid w:val="5E271793"/>
    <w:rsid w:val="5E84084D"/>
    <w:rsid w:val="5F021772"/>
    <w:rsid w:val="5F1E17C2"/>
    <w:rsid w:val="5F4955F3"/>
    <w:rsid w:val="5F7206A6"/>
    <w:rsid w:val="5F910509"/>
    <w:rsid w:val="5FC9152A"/>
    <w:rsid w:val="5FF23A33"/>
    <w:rsid w:val="600F2399"/>
    <w:rsid w:val="604F3361"/>
    <w:rsid w:val="609A4358"/>
    <w:rsid w:val="60A36CD1"/>
    <w:rsid w:val="60D57568"/>
    <w:rsid w:val="610C0686"/>
    <w:rsid w:val="61B23371"/>
    <w:rsid w:val="61CD6067"/>
    <w:rsid w:val="61D727BB"/>
    <w:rsid w:val="61E623CE"/>
    <w:rsid w:val="6271733B"/>
    <w:rsid w:val="628030DA"/>
    <w:rsid w:val="62FA03DF"/>
    <w:rsid w:val="63304B4A"/>
    <w:rsid w:val="634C3904"/>
    <w:rsid w:val="6352658E"/>
    <w:rsid w:val="636C7B02"/>
    <w:rsid w:val="63A92B04"/>
    <w:rsid w:val="63B02C93"/>
    <w:rsid w:val="63B4318E"/>
    <w:rsid w:val="63B52246"/>
    <w:rsid w:val="63D731CD"/>
    <w:rsid w:val="63E8362C"/>
    <w:rsid w:val="63F57AF7"/>
    <w:rsid w:val="643613DF"/>
    <w:rsid w:val="645C7B76"/>
    <w:rsid w:val="64EF09EB"/>
    <w:rsid w:val="651463EE"/>
    <w:rsid w:val="65254B81"/>
    <w:rsid w:val="66246472"/>
    <w:rsid w:val="66642D82"/>
    <w:rsid w:val="667526DF"/>
    <w:rsid w:val="66A14784"/>
    <w:rsid w:val="670541D2"/>
    <w:rsid w:val="670A5668"/>
    <w:rsid w:val="673D3C8F"/>
    <w:rsid w:val="67BD3540"/>
    <w:rsid w:val="67E25D6B"/>
    <w:rsid w:val="67EE2CFD"/>
    <w:rsid w:val="67FE10AD"/>
    <w:rsid w:val="68657262"/>
    <w:rsid w:val="68727968"/>
    <w:rsid w:val="68776D2D"/>
    <w:rsid w:val="687E630D"/>
    <w:rsid w:val="6894168D"/>
    <w:rsid w:val="68D20407"/>
    <w:rsid w:val="69180510"/>
    <w:rsid w:val="69692B1A"/>
    <w:rsid w:val="69796AD5"/>
    <w:rsid w:val="69F46F72"/>
    <w:rsid w:val="6A6D488B"/>
    <w:rsid w:val="6A86594D"/>
    <w:rsid w:val="6AA909B4"/>
    <w:rsid w:val="6B5E3D13"/>
    <w:rsid w:val="6B9320D0"/>
    <w:rsid w:val="6BAE1909"/>
    <w:rsid w:val="6BBE3A06"/>
    <w:rsid w:val="6BBF3BA7"/>
    <w:rsid w:val="6C042FCD"/>
    <w:rsid w:val="6C1F6CCA"/>
    <w:rsid w:val="6C427652"/>
    <w:rsid w:val="6CC14A1B"/>
    <w:rsid w:val="6CDC5FFC"/>
    <w:rsid w:val="6CE60AA3"/>
    <w:rsid w:val="6CF7043C"/>
    <w:rsid w:val="6D2C52A2"/>
    <w:rsid w:val="6DA5433C"/>
    <w:rsid w:val="6DAD0367"/>
    <w:rsid w:val="6DC42A14"/>
    <w:rsid w:val="6DE05374"/>
    <w:rsid w:val="6DE23EF6"/>
    <w:rsid w:val="6DE74955"/>
    <w:rsid w:val="6E2C2368"/>
    <w:rsid w:val="6E366AA2"/>
    <w:rsid w:val="6E5800A5"/>
    <w:rsid w:val="6E62222D"/>
    <w:rsid w:val="6E9A79E9"/>
    <w:rsid w:val="6EB56A6A"/>
    <w:rsid w:val="6ECE6912"/>
    <w:rsid w:val="6EE3336E"/>
    <w:rsid w:val="6EEA46FD"/>
    <w:rsid w:val="6F255735"/>
    <w:rsid w:val="6F2E4A5D"/>
    <w:rsid w:val="6F7E4E45"/>
    <w:rsid w:val="6FAA76FC"/>
    <w:rsid w:val="6FC874DD"/>
    <w:rsid w:val="702C7168"/>
    <w:rsid w:val="70412BC1"/>
    <w:rsid w:val="70441F5D"/>
    <w:rsid w:val="708741CD"/>
    <w:rsid w:val="70944D11"/>
    <w:rsid w:val="70AC59E2"/>
    <w:rsid w:val="70B828A0"/>
    <w:rsid w:val="70CA3E58"/>
    <w:rsid w:val="716D6375"/>
    <w:rsid w:val="71904FF6"/>
    <w:rsid w:val="71983360"/>
    <w:rsid w:val="71AC2DFA"/>
    <w:rsid w:val="71CB1E97"/>
    <w:rsid w:val="71E03B95"/>
    <w:rsid w:val="722F68CA"/>
    <w:rsid w:val="72676064"/>
    <w:rsid w:val="72CA1870"/>
    <w:rsid w:val="72D82ABE"/>
    <w:rsid w:val="730035C2"/>
    <w:rsid w:val="734168B5"/>
    <w:rsid w:val="73421F7A"/>
    <w:rsid w:val="73E56BC8"/>
    <w:rsid w:val="73FD477F"/>
    <w:rsid w:val="7400051E"/>
    <w:rsid w:val="742A7349"/>
    <w:rsid w:val="74352F8C"/>
    <w:rsid w:val="74375064"/>
    <w:rsid w:val="743B1556"/>
    <w:rsid w:val="743E4951"/>
    <w:rsid w:val="74652089"/>
    <w:rsid w:val="74AF784E"/>
    <w:rsid w:val="74B66A46"/>
    <w:rsid w:val="74FC5B11"/>
    <w:rsid w:val="75630789"/>
    <w:rsid w:val="75C8506C"/>
    <w:rsid w:val="765C07A3"/>
    <w:rsid w:val="768216BE"/>
    <w:rsid w:val="76B17222"/>
    <w:rsid w:val="76DB492B"/>
    <w:rsid w:val="77253DF8"/>
    <w:rsid w:val="77366850"/>
    <w:rsid w:val="77972E68"/>
    <w:rsid w:val="77CC3983"/>
    <w:rsid w:val="77D84510"/>
    <w:rsid w:val="78370287"/>
    <w:rsid w:val="78474694"/>
    <w:rsid w:val="786C6182"/>
    <w:rsid w:val="786E7C65"/>
    <w:rsid w:val="787A3D0F"/>
    <w:rsid w:val="789D458E"/>
    <w:rsid w:val="78A31478"/>
    <w:rsid w:val="78AC47D1"/>
    <w:rsid w:val="78B96A90"/>
    <w:rsid w:val="79103F5C"/>
    <w:rsid w:val="79224A93"/>
    <w:rsid w:val="79281D3F"/>
    <w:rsid w:val="79501AEB"/>
    <w:rsid w:val="79556C16"/>
    <w:rsid w:val="795A69A1"/>
    <w:rsid w:val="796D402F"/>
    <w:rsid w:val="79780045"/>
    <w:rsid w:val="799F3BE9"/>
    <w:rsid w:val="79C36276"/>
    <w:rsid w:val="7A48677B"/>
    <w:rsid w:val="7A826D97"/>
    <w:rsid w:val="7A8772A3"/>
    <w:rsid w:val="7A8D23E0"/>
    <w:rsid w:val="7AB756AF"/>
    <w:rsid w:val="7AC10A3B"/>
    <w:rsid w:val="7B38234C"/>
    <w:rsid w:val="7B3913B0"/>
    <w:rsid w:val="7B6A1F6E"/>
    <w:rsid w:val="7B8259F4"/>
    <w:rsid w:val="7B852190"/>
    <w:rsid w:val="7BA474D9"/>
    <w:rsid w:val="7C7E0232"/>
    <w:rsid w:val="7CCB71F0"/>
    <w:rsid w:val="7D32101D"/>
    <w:rsid w:val="7D4E1AA1"/>
    <w:rsid w:val="7DCA74A7"/>
    <w:rsid w:val="7DD722F0"/>
    <w:rsid w:val="7DFA64D5"/>
    <w:rsid w:val="7E0D3F64"/>
    <w:rsid w:val="7E153E39"/>
    <w:rsid w:val="7E5C45A3"/>
    <w:rsid w:val="7E633B84"/>
    <w:rsid w:val="7EB32C1C"/>
    <w:rsid w:val="7EED78F1"/>
    <w:rsid w:val="7EFE38AC"/>
    <w:rsid w:val="7F0D1D41"/>
    <w:rsid w:val="7F2B6212"/>
    <w:rsid w:val="7F451060"/>
    <w:rsid w:val="7FAA2074"/>
    <w:rsid w:val="7FFC42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iPriority="99" w:semiHidden="0" w:name="Normal Indent"/>
    <w:lsdException w:uiPriority="99"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qFormat="1" w:unhideWhenUsed="0" w:uiPriority="99" w:semiHidden="0" w:name="table of figures"/>
    <w:lsdException w:uiPriority="99" w:name="envelope address"/>
    <w:lsdException w:qFormat="1" w:unhideWhenUsed="0" w:uiPriority="99" w:semiHidden="0"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99" w:semiHidden="0" w:name="List Number"/>
    <w:lsdException w:qFormat="1" w:unhideWhenUsed="0" w:uiPriority="0" w:semiHidden="0" w:name="List 2"/>
    <w:lsdException w:uiPriority="99" w:name="List 3"/>
    <w:lsdException w:uiPriority="99" w:name="List 4"/>
    <w:lsdException w:uiPriority="99" w:name="List 5"/>
    <w:lsdException w:qFormat="1" w:unhideWhenUsed="0" w:uiPriority="0" w:semiHidden="0" w:name="List Bullet 2"/>
    <w:lsdException w:uiPriority="99" w:name="List Bullet 3"/>
    <w:lsdException w:uiPriority="99" w:name="List Bullet 4"/>
    <w:lsdException w:uiPriority="99"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0" w:semiHidden="0" w:name="Body Text Indent"/>
    <w:lsdException w:qFormat="1" w:unhideWhenUsed="0" w:uiPriority="0" w:semiHidden="0"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qFormat="1" w:unhideWhenUsed="0" w:uiPriority="0" w:semiHidden="0"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qFormat="1" w:uiPriority="0"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qFormat="1" w:uiPriority="0" w:name="Table Professional"/>
    <w:lsdException w:uiPriority="99" w:name="Table Subtle 1"/>
    <w:lsdException w:uiPriority="99" w:name="Table Subtle 2"/>
    <w:lsdException w:uiPriority="99" w:name="Table Web 1"/>
    <w:lsdException w:uiPriority="99" w:name="Table Web 2"/>
    <w:lsdException w:qFormat="1" w:uiPriority="0" w:name="Table Web 3"/>
    <w:lsdException w:qFormat="1" w:uiPriority="99" w:semiHidden="0" w:name="Balloon Text"/>
    <w:lsdException w:qFormat="1" w:unhideWhenUsed="0" w:uiPriority="39" w:semiHidden="0" w:name="Table Grid"/>
    <w:lsdException w:uiPriority="99"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480" w:lineRule="atLeast"/>
      <w:ind w:firstLine="48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67"/>
    <w:autoRedefine/>
    <w:qFormat/>
    <w:uiPriority w:val="0"/>
    <w:pPr>
      <w:keepNext/>
      <w:keepLines/>
      <w:numPr>
        <w:ilvl w:val="0"/>
        <w:numId w:val="1"/>
      </w:numPr>
      <w:ind w:left="0" w:firstLine="0" w:firstLineChars="0"/>
      <w:contextualSpacing/>
      <w:outlineLvl w:val="0"/>
    </w:pPr>
    <w:rPr>
      <w:b/>
      <w:bCs/>
      <w:kern w:val="44"/>
      <w:szCs w:val="44"/>
    </w:rPr>
  </w:style>
  <w:style w:type="paragraph" w:styleId="3">
    <w:name w:val="heading 2"/>
    <w:basedOn w:val="2"/>
    <w:next w:val="1"/>
    <w:link w:val="62"/>
    <w:autoRedefine/>
    <w:qFormat/>
    <w:uiPriority w:val="0"/>
    <w:pPr>
      <w:numPr>
        <w:ilvl w:val="1"/>
      </w:numPr>
      <w:snapToGrid w:val="0"/>
      <w:outlineLvl w:val="1"/>
    </w:pPr>
    <w:rPr>
      <w:szCs w:val="32"/>
    </w:rPr>
  </w:style>
  <w:style w:type="paragraph" w:styleId="4">
    <w:name w:val="heading 3"/>
    <w:basedOn w:val="3"/>
    <w:next w:val="1"/>
    <w:link w:val="68"/>
    <w:autoRedefine/>
    <w:qFormat/>
    <w:uiPriority w:val="9"/>
    <w:pPr>
      <w:numPr>
        <w:ilvl w:val="2"/>
      </w:numPr>
      <w:outlineLvl w:val="2"/>
    </w:pPr>
    <w:rPr>
      <w:lang w:val="zh-CN"/>
    </w:rPr>
  </w:style>
  <w:style w:type="paragraph" w:styleId="5">
    <w:name w:val="heading 4"/>
    <w:basedOn w:val="4"/>
    <w:next w:val="1"/>
    <w:link w:val="69"/>
    <w:autoRedefine/>
    <w:qFormat/>
    <w:uiPriority w:val="0"/>
    <w:pPr>
      <w:numPr>
        <w:ilvl w:val="3"/>
      </w:numPr>
      <w:adjustRightInd w:val="0"/>
      <w:outlineLvl w:val="3"/>
    </w:pPr>
    <w:rPr>
      <w:rFonts w:ascii="宋体" w:hAnsi="宋体"/>
      <w:szCs w:val="28"/>
    </w:rPr>
  </w:style>
  <w:style w:type="paragraph" w:styleId="6">
    <w:name w:val="heading 5"/>
    <w:basedOn w:val="1"/>
    <w:next w:val="1"/>
    <w:link w:val="70"/>
    <w:autoRedefine/>
    <w:qFormat/>
    <w:uiPriority w:val="0"/>
    <w:pPr>
      <w:keepNext/>
      <w:keepLines/>
      <w:numPr>
        <w:ilvl w:val="4"/>
        <w:numId w:val="1"/>
      </w:numPr>
      <w:adjustRightInd w:val="0"/>
      <w:snapToGrid w:val="0"/>
      <w:ind w:left="0" w:firstLine="0" w:firstLineChars="0"/>
      <w:outlineLvl w:val="4"/>
    </w:pPr>
    <w:rPr>
      <w:b/>
      <w:bCs/>
      <w:szCs w:val="28"/>
    </w:rPr>
  </w:style>
  <w:style w:type="paragraph" w:styleId="7">
    <w:name w:val="heading 6"/>
    <w:basedOn w:val="1"/>
    <w:next w:val="1"/>
    <w:link w:val="63"/>
    <w:autoRedefine/>
    <w:unhideWhenUsed/>
    <w:qFormat/>
    <w:uiPriority w:val="0"/>
    <w:pPr>
      <w:keepNext/>
      <w:keepLines/>
      <w:numPr>
        <w:ilvl w:val="5"/>
        <w:numId w:val="1"/>
      </w:numPr>
      <w:ind w:firstLine="0" w:firstLineChars="0"/>
      <w:outlineLvl w:val="5"/>
    </w:pPr>
    <w:rPr>
      <w:rFonts w:cstheme="majorBidi"/>
      <w:bCs/>
    </w:rPr>
  </w:style>
  <w:style w:type="paragraph" w:styleId="8">
    <w:name w:val="heading 7"/>
    <w:basedOn w:val="1"/>
    <w:next w:val="1"/>
    <w:link w:val="71"/>
    <w:autoRedefine/>
    <w:unhideWhenUsed/>
    <w:qFormat/>
    <w:uiPriority w:val="0"/>
    <w:pPr>
      <w:keepNext/>
      <w:keepLines/>
      <w:widowControl/>
      <w:spacing w:before="240" w:after="64" w:line="320" w:lineRule="atLeast"/>
      <w:ind w:firstLine="0" w:firstLineChars="0"/>
      <w:jc w:val="left"/>
      <w:outlineLvl w:val="6"/>
    </w:pPr>
    <w:rPr>
      <w:rFonts w:cs="Cambria Math"/>
      <w:bCs/>
    </w:rPr>
  </w:style>
  <w:style w:type="paragraph" w:styleId="9">
    <w:name w:val="heading 8"/>
    <w:basedOn w:val="1"/>
    <w:next w:val="1"/>
    <w:link w:val="72"/>
    <w:autoRedefine/>
    <w:unhideWhenUsed/>
    <w:qFormat/>
    <w:uiPriority w:val="0"/>
    <w:pPr>
      <w:keepNext/>
      <w:keepLines/>
      <w:widowControl/>
      <w:spacing w:before="240" w:after="64" w:line="320" w:lineRule="atLeast"/>
      <w:ind w:firstLine="0"/>
      <w:jc w:val="left"/>
      <w:outlineLvl w:val="7"/>
    </w:pPr>
    <w:rPr>
      <w:rFonts w:cstheme="majorBidi"/>
    </w:rPr>
  </w:style>
  <w:style w:type="paragraph" w:styleId="10">
    <w:name w:val="heading 9"/>
    <w:basedOn w:val="1"/>
    <w:next w:val="1"/>
    <w:link w:val="73"/>
    <w:autoRedefine/>
    <w:unhideWhenUsed/>
    <w:qFormat/>
    <w:uiPriority w:val="0"/>
    <w:pPr>
      <w:keepNext/>
      <w:keepLines/>
      <w:widowControl/>
      <w:spacing w:before="240" w:after="64" w:line="320" w:lineRule="atLeast"/>
      <w:ind w:firstLine="0"/>
      <w:jc w:val="left"/>
      <w:outlineLvl w:val="8"/>
    </w:pPr>
    <w:rPr>
      <w:rFonts w:cstheme="majorBidi"/>
      <w:szCs w:val="21"/>
    </w:r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spacing w:line="240" w:lineRule="auto"/>
      <w:ind w:left="2520" w:leftChars="1200" w:firstLine="0" w:firstLineChars="0"/>
    </w:pPr>
    <w:rPr>
      <w:rFonts w:asciiTheme="minorHAnsi" w:hAnsiTheme="minorHAnsi" w:eastAsiaTheme="minorEastAsia" w:cstheme="minorBidi"/>
      <w:sz w:val="21"/>
      <w:szCs w:val="22"/>
    </w:rPr>
  </w:style>
  <w:style w:type="paragraph" w:styleId="12">
    <w:name w:val="List Number 2"/>
    <w:basedOn w:val="1"/>
    <w:autoRedefine/>
    <w:qFormat/>
    <w:uiPriority w:val="0"/>
    <w:pPr>
      <w:numPr>
        <w:ilvl w:val="0"/>
        <w:numId w:val="2"/>
      </w:numPr>
      <w:spacing w:line="360" w:lineRule="auto"/>
      <w:ind w:firstLine="200"/>
      <w:jc w:val="left"/>
    </w:pPr>
    <w:rPr>
      <w:rFonts w:ascii="宋体" w:hAnsi="宋体"/>
      <w:szCs w:val="20"/>
    </w:rPr>
  </w:style>
  <w:style w:type="paragraph" w:styleId="13">
    <w:name w:val="List Number"/>
    <w:basedOn w:val="1"/>
    <w:autoRedefine/>
    <w:qFormat/>
    <w:uiPriority w:val="99"/>
    <w:pPr>
      <w:widowControl/>
      <w:numPr>
        <w:ilvl w:val="0"/>
        <w:numId w:val="3"/>
      </w:numPr>
      <w:spacing w:line="480" w:lineRule="exact"/>
      <w:ind w:firstLine="0" w:firstLineChars="0"/>
      <w:contextualSpacing/>
      <w:jc w:val="left"/>
    </w:pPr>
    <w:rPr>
      <w:rFonts w:cs="宋体"/>
      <w:kern w:val="0"/>
    </w:rPr>
  </w:style>
  <w:style w:type="paragraph" w:styleId="14">
    <w:name w:val="Normal Indent"/>
    <w:basedOn w:val="1"/>
    <w:link w:val="66"/>
    <w:autoRedefine/>
    <w:unhideWhenUsed/>
    <w:qFormat/>
    <w:uiPriority w:val="99"/>
    <w:pPr>
      <w:tabs>
        <w:tab w:val="left" w:pos="28"/>
        <w:tab w:val="left" w:pos="1620"/>
      </w:tabs>
      <w:ind w:firstLine="420"/>
    </w:pPr>
    <w:rPr>
      <w:b/>
      <w:sz w:val="21"/>
      <w:szCs w:val="21"/>
    </w:rPr>
  </w:style>
  <w:style w:type="paragraph" w:styleId="15">
    <w:name w:val="caption"/>
    <w:basedOn w:val="1"/>
    <w:next w:val="1"/>
    <w:link w:val="74"/>
    <w:autoRedefine/>
    <w:unhideWhenUsed/>
    <w:qFormat/>
    <w:uiPriority w:val="35"/>
    <w:rPr>
      <w:rFonts w:eastAsia="黑体" w:asciiTheme="majorHAnsi" w:hAnsiTheme="majorHAnsi" w:cstheme="majorBidi"/>
      <w:sz w:val="20"/>
      <w:szCs w:val="20"/>
    </w:rPr>
  </w:style>
  <w:style w:type="paragraph" w:styleId="16">
    <w:name w:val="List Bullet"/>
    <w:basedOn w:val="1"/>
    <w:autoRedefine/>
    <w:qFormat/>
    <w:uiPriority w:val="0"/>
    <w:pPr>
      <w:tabs>
        <w:tab w:val="left" w:pos="360"/>
      </w:tabs>
      <w:spacing w:before="120" w:after="120" w:line="240" w:lineRule="auto"/>
      <w:ind w:left="360" w:right="210" w:rightChars="100" w:hanging="360" w:hangingChars="200"/>
    </w:pPr>
    <w:rPr>
      <w:rFonts w:eastAsia="仿宋"/>
      <w:sz w:val="28"/>
    </w:rPr>
  </w:style>
  <w:style w:type="paragraph" w:styleId="17">
    <w:name w:val="Document Map"/>
    <w:basedOn w:val="1"/>
    <w:link w:val="106"/>
    <w:autoRedefine/>
    <w:qFormat/>
    <w:uiPriority w:val="0"/>
    <w:pPr>
      <w:shd w:val="clear" w:color="auto" w:fill="000080"/>
      <w:tabs>
        <w:tab w:val="left" w:pos="0"/>
        <w:tab w:val="left" w:pos="992"/>
        <w:tab w:val="left" w:pos="1152"/>
      </w:tabs>
    </w:pPr>
  </w:style>
  <w:style w:type="paragraph" w:styleId="18">
    <w:name w:val="annotation text"/>
    <w:basedOn w:val="1"/>
    <w:link w:val="75"/>
    <w:autoRedefine/>
    <w:unhideWhenUsed/>
    <w:qFormat/>
    <w:uiPriority w:val="0"/>
    <w:pPr>
      <w:jc w:val="left"/>
    </w:pPr>
  </w:style>
  <w:style w:type="paragraph" w:styleId="19">
    <w:name w:val="Body Text 3"/>
    <w:basedOn w:val="1"/>
    <w:link w:val="107"/>
    <w:autoRedefine/>
    <w:qFormat/>
    <w:uiPriority w:val="0"/>
    <w:pPr>
      <w:tabs>
        <w:tab w:val="left" w:pos="0"/>
        <w:tab w:val="left" w:pos="992"/>
        <w:tab w:val="left" w:pos="1152"/>
      </w:tabs>
      <w:spacing w:after="120" w:line="360" w:lineRule="auto"/>
      <w:ind w:firstLine="0" w:firstLineChars="0"/>
    </w:pPr>
    <w:rPr>
      <w:rFonts w:eastAsia="仿宋"/>
      <w:sz w:val="16"/>
      <w:szCs w:val="16"/>
    </w:rPr>
  </w:style>
  <w:style w:type="paragraph" w:styleId="20">
    <w:name w:val="Body Text"/>
    <w:basedOn w:val="21"/>
    <w:next w:val="22"/>
    <w:link w:val="76"/>
    <w:autoRedefine/>
    <w:qFormat/>
    <w:uiPriority w:val="0"/>
    <w:pPr>
      <w:spacing w:after="120"/>
    </w:pPr>
  </w:style>
  <w:style w:type="paragraph" w:customStyle="1" w:styleId="21">
    <w:name w:val="正文_0"/>
    <w:next w:val="20"/>
    <w:autoRedefine/>
    <w:qFormat/>
    <w:uiPriority w:val="0"/>
    <w:pPr>
      <w:widowControl w:val="0"/>
      <w:jc w:val="both"/>
    </w:pPr>
    <w:rPr>
      <w:rFonts w:ascii="仿宋_GB2312" w:hAnsi="仿宋_GB2312" w:eastAsia="仿宋_GB2312" w:cs="仿宋_GB2312"/>
      <w:kern w:val="2"/>
      <w:sz w:val="32"/>
      <w:szCs w:val="32"/>
      <w:lang w:val="en-US" w:eastAsia="zh-CN" w:bidi="ar-SA"/>
    </w:rPr>
  </w:style>
  <w:style w:type="paragraph" w:styleId="22">
    <w:name w:val="Title"/>
    <w:basedOn w:val="21"/>
    <w:next w:val="1"/>
    <w:link w:val="108"/>
    <w:autoRedefine/>
    <w:qFormat/>
    <w:uiPriority w:val="0"/>
    <w:pPr>
      <w:tabs>
        <w:tab w:val="left" w:pos="0"/>
        <w:tab w:val="left" w:pos="992"/>
        <w:tab w:val="left" w:pos="1152"/>
      </w:tabs>
      <w:spacing w:line="360" w:lineRule="auto"/>
      <w:jc w:val="center"/>
    </w:pPr>
    <w:rPr>
      <w:rFonts w:eastAsia="仿宋" w:cs="Arial"/>
      <w:b/>
      <w:bCs/>
      <w:sz w:val="48"/>
    </w:rPr>
  </w:style>
  <w:style w:type="paragraph" w:styleId="23">
    <w:name w:val="Body Text Indent"/>
    <w:basedOn w:val="1"/>
    <w:link w:val="77"/>
    <w:autoRedefine/>
    <w:unhideWhenUsed/>
    <w:qFormat/>
    <w:uiPriority w:val="0"/>
    <w:pPr>
      <w:spacing w:after="120"/>
      <w:ind w:left="420" w:leftChars="200"/>
    </w:pPr>
  </w:style>
  <w:style w:type="paragraph" w:styleId="24">
    <w:name w:val="List 2"/>
    <w:basedOn w:val="1"/>
    <w:autoRedefine/>
    <w:qFormat/>
    <w:uiPriority w:val="0"/>
    <w:pPr>
      <w:tabs>
        <w:tab w:val="left" w:pos="840"/>
      </w:tabs>
      <w:spacing w:line="360" w:lineRule="auto"/>
      <w:ind w:left="350" w:leftChars="350" w:firstLine="0" w:firstLineChars="0"/>
    </w:pPr>
    <w:rPr>
      <w:rFonts w:eastAsia="仿宋"/>
    </w:rPr>
  </w:style>
  <w:style w:type="paragraph" w:styleId="25">
    <w:name w:val="List Continue"/>
    <w:basedOn w:val="1"/>
    <w:next w:val="26"/>
    <w:autoRedefine/>
    <w:qFormat/>
    <w:uiPriority w:val="0"/>
    <w:pPr>
      <w:tabs>
        <w:tab w:val="left" w:pos="839"/>
      </w:tabs>
      <w:spacing w:line="360" w:lineRule="auto"/>
      <w:ind w:left="618" w:firstLine="0" w:firstLineChars="0"/>
    </w:pPr>
    <w:rPr>
      <w:rFonts w:eastAsia="仿宋"/>
    </w:rPr>
  </w:style>
  <w:style w:type="paragraph" w:styleId="26">
    <w:name w:val="Body Text First Indent 2"/>
    <w:basedOn w:val="23"/>
    <w:link w:val="83"/>
    <w:autoRedefine/>
    <w:qFormat/>
    <w:uiPriority w:val="0"/>
    <w:pPr>
      <w:ind w:left="0" w:leftChars="0" w:firstLine="420"/>
    </w:pPr>
  </w:style>
  <w:style w:type="paragraph" w:styleId="27">
    <w:name w:val="List Bullet 2"/>
    <w:basedOn w:val="1"/>
    <w:autoRedefine/>
    <w:qFormat/>
    <w:uiPriority w:val="0"/>
    <w:pPr>
      <w:numPr>
        <w:ilvl w:val="0"/>
        <w:numId w:val="4"/>
      </w:numPr>
      <w:tabs>
        <w:tab w:val="left" w:pos="780"/>
      </w:tabs>
      <w:spacing w:before="60" w:after="60" w:line="300" w:lineRule="auto"/>
      <w:ind w:firstLine="0" w:firstLineChars="0"/>
    </w:pPr>
    <w:rPr>
      <w:spacing w:val="10"/>
      <w:szCs w:val="20"/>
    </w:rPr>
  </w:style>
  <w:style w:type="paragraph" w:styleId="28">
    <w:name w:val="toc 5"/>
    <w:basedOn w:val="1"/>
    <w:next w:val="1"/>
    <w:autoRedefine/>
    <w:unhideWhenUsed/>
    <w:qFormat/>
    <w:uiPriority w:val="39"/>
    <w:pPr>
      <w:spacing w:line="240" w:lineRule="auto"/>
      <w:ind w:left="1680" w:leftChars="800" w:firstLine="0" w:firstLineChars="0"/>
    </w:pPr>
    <w:rPr>
      <w:rFonts w:asciiTheme="minorHAnsi" w:hAnsiTheme="minorHAnsi" w:eastAsiaTheme="minorEastAsia" w:cstheme="minorBidi"/>
      <w:sz w:val="21"/>
      <w:szCs w:val="22"/>
    </w:rPr>
  </w:style>
  <w:style w:type="paragraph" w:styleId="29">
    <w:name w:val="toc 3"/>
    <w:basedOn w:val="1"/>
    <w:next w:val="1"/>
    <w:autoRedefine/>
    <w:unhideWhenUsed/>
    <w:qFormat/>
    <w:uiPriority w:val="39"/>
    <w:pPr>
      <w:ind w:left="840" w:leftChars="400"/>
    </w:pPr>
  </w:style>
  <w:style w:type="paragraph" w:styleId="30">
    <w:name w:val="Plain Text"/>
    <w:basedOn w:val="1"/>
    <w:link w:val="109"/>
    <w:autoRedefine/>
    <w:qFormat/>
    <w:uiPriority w:val="0"/>
    <w:pPr>
      <w:tabs>
        <w:tab w:val="left" w:pos="0"/>
        <w:tab w:val="left" w:pos="992"/>
        <w:tab w:val="left" w:pos="1152"/>
      </w:tabs>
      <w:spacing w:line="360" w:lineRule="auto"/>
      <w:ind w:firstLine="0" w:firstLineChars="0"/>
    </w:pPr>
    <w:rPr>
      <w:rFonts w:ascii="宋体" w:hAnsi="Courier New" w:eastAsia="仿宋" w:cs="Courier New"/>
      <w:sz w:val="21"/>
      <w:szCs w:val="21"/>
    </w:rPr>
  </w:style>
  <w:style w:type="paragraph" w:styleId="31">
    <w:name w:val="toc 8"/>
    <w:basedOn w:val="1"/>
    <w:next w:val="1"/>
    <w:autoRedefine/>
    <w:unhideWhenUsed/>
    <w:qFormat/>
    <w:uiPriority w:val="39"/>
    <w:pPr>
      <w:spacing w:line="240" w:lineRule="auto"/>
      <w:ind w:left="2940" w:leftChars="1400" w:firstLine="0" w:firstLineChars="0"/>
    </w:pPr>
    <w:rPr>
      <w:rFonts w:asciiTheme="minorHAnsi" w:hAnsiTheme="minorHAnsi" w:eastAsiaTheme="minorEastAsia" w:cstheme="minorBidi"/>
      <w:sz w:val="21"/>
      <w:szCs w:val="22"/>
    </w:rPr>
  </w:style>
  <w:style w:type="paragraph" w:styleId="32">
    <w:name w:val="Date"/>
    <w:basedOn w:val="1"/>
    <w:next w:val="1"/>
    <w:link w:val="110"/>
    <w:autoRedefine/>
    <w:qFormat/>
    <w:uiPriority w:val="99"/>
    <w:pPr>
      <w:tabs>
        <w:tab w:val="left" w:pos="0"/>
        <w:tab w:val="left" w:pos="992"/>
        <w:tab w:val="left" w:pos="1152"/>
      </w:tabs>
      <w:spacing w:line="240" w:lineRule="auto"/>
      <w:ind w:firstLine="0" w:firstLineChars="0"/>
    </w:pPr>
    <w:rPr>
      <w:sz w:val="21"/>
      <w:szCs w:val="20"/>
      <w:lang w:val="zh-CN"/>
    </w:rPr>
  </w:style>
  <w:style w:type="paragraph" w:styleId="33">
    <w:name w:val="Body Text Indent 2"/>
    <w:basedOn w:val="1"/>
    <w:link w:val="111"/>
    <w:autoRedefine/>
    <w:qFormat/>
    <w:uiPriority w:val="0"/>
    <w:pPr>
      <w:tabs>
        <w:tab w:val="left" w:pos="0"/>
        <w:tab w:val="left" w:pos="992"/>
        <w:tab w:val="left" w:pos="1152"/>
      </w:tabs>
      <w:spacing w:after="120" w:line="480" w:lineRule="auto"/>
      <w:ind w:left="420" w:leftChars="200" w:firstLine="0" w:firstLineChars="0"/>
    </w:pPr>
    <w:rPr>
      <w:sz w:val="21"/>
      <w:szCs w:val="20"/>
    </w:rPr>
  </w:style>
  <w:style w:type="paragraph" w:styleId="34">
    <w:name w:val="Balloon Text"/>
    <w:basedOn w:val="1"/>
    <w:link w:val="78"/>
    <w:autoRedefine/>
    <w:unhideWhenUsed/>
    <w:qFormat/>
    <w:uiPriority w:val="99"/>
    <w:pPr>
      <w:spacing w:line="240" w:lineRule="auto"/>
    </w:pPr>
    <w:rPr>
      <w:sz w:val="18"/>
      <w:szCs w:val="18"/>
    </w:rPr>
  </w:style>
  <w:style w:type="paragraph" w:styleId="35">
    <w:name w:val="footer"/>
    <w:basedOn w:val="1"/>
    <w:link w:val="79"/>
    <w:autoRedefine/>
    <w:unhideWhenUsed/>
    <w:qFormat/>
    <w:uiPriority w:val="99"/>
    <w:pPr>
      <w:tabs>
        <w:tab w:val="center" w:pos="4153"/>
        <w:tab w:val="right" w:pos="8306"/>
      </w:tabs>
      <w:snapToGrid w:val="0"/>
      <w:ind w:firstLine="360"/>
      <w:jc w:val="center"/>
    </w:pPr>
    <w:rPr>
      <w:sz w:val="18"/>
      <w:szCs w:val="18"/>
    </w:rPr>
  </w:style>
  <w:style w:type="paragraph" w:styleId="36">
    <w:name w:val="envelope return"/>
    <w:basedOn w:val="1"/>
    <w:autoRedefine/>
    <w:qFormat/>
    <w:uiPriority w:val="99"/>
    <w:rPr>
      <w:rFonts w:ascii="Arial" w:hAnsi="Arial" w:cs="Arial"/>
    </w:rPr>
  </w:style>
  <w:style w:type="paragraph" w:styleId="37">
    <w:name w:val="header"/>
    <w:basedOn w:val="1"/>
    <w:link w:val="80"/>
    <w:autoRedefine/>
    <w:qFormat/>
    <w:uiPriority w:val="0"/>
    <w:pPr>
      <w:pBdr>
        <w:bottom w:val="single" w:color="auto" w:sz="6" w:space="1"/>
      </w:pBdr>
      <w:tabs>
        <w:tab w:val="center" w:pos="4153"/>
        <w:tab w:val="right" w:pos="8306"/>
      </w:tabs>
      <w:snapToGrid w:val="0"/>
      <w:jc w:val="center"/>
    </w:pPr>
    <w:rPr>
      <w:sz w:val="18"/>
      <w:szCs w:val="18"/>
      <w:lang w:val="zh-CN"/>
    </w:rPr>
  </w:style>
  <w:style w:type="paragraph" w:styleId="38">
    <w:name w:val="toc 1"/>
    <w:basedOn w:val="1"/>
    <w:next w:val="1"/>
    <w:autoRedefine/>
    <w:unhideWhenUsed/>
    <w:qFormat/>
    <w:uiPriority w:val="39"/>
  </w:style>
  <w:style w:type="paragraph" w:styleId="39">
    <w:name w:val="toc 4"/>
    <w:basedOn w:val="1"/>
    <w:next w:val="1"/>
    <w:autoRedefine/>
    <w:unhideWhenUsed/>
    <w:qFormat/>
    <w:uiPriority w:val="39"/>
    <w:pPr>
      <w:spacing w:line="240" w:lineRule="auto"/>
      <w:ind w:left="1260" w:leftChars="600" w:firstLine="0" w:firstLineChars="0"/>
    </w:pPr>
    <w:rPr>
      <w:rFonts w:asciiTheme="minorHAnsi" w:hAnsiTheme="minorHAnsi" w:eastAsiaTheme="minorEastAsia" w:cstheme="minorBidi"/>
      <w:sz w:val="21"/>
      <w:szCs w:val="22"/>
    </w:rPr>
  </w:style>
  <w:style w:type="paragraph" w:styleId="40">
    <w:name w:val="List"/>
    <w:basedOn w:val="1"/>
    <w:link w:val="112"/>
    <w:autoRedefine/>
    <w:qFormat/>
    <w:uiPriority w:val="0"/>
    <w:pPr>
      <w:tabs>
        <w:tab w:val="left" w:pos="420"/>
      </w:tabs>
      <w:spacing w:line="360" w:lineRule="auto"/>
      <w:ind w:left="420" w:firstLine="0" w:firstLineChars="0"/>
    </w:pPr>
    <w:rPr>
      <w:rFonts w:eastAsia="仿宋"/>
    </w:rPr>
  </w:style>
  <w:style w:type="paragraph" w:styleId="41">
    <w:name w:val="toc 6"/>
    <w:basedOn w:val="1"/>
    <w:next w:val="1"/>
    <w:autoRedefine/>
    <w:unhideWhenUsed/>
    <w:qFormat/>
    <w:uiPriority w:val="39"/>
    <w:pPr>
      <w:spacing w:line="240" w:lineRule="auto"/>
      <w:ind w:left="2100" w:leftChars="1000" w:firstLine="0" w:firstLineChars="0"/>
    </w:pPr>
    <w:rPr>
      <w:rFonts w:asciiTheme="minorHAnsi" w:hAnsiTheme="minorHAnsi" w:eastAsiaTheme="minorEastAsia" w:cstheme="minorBidi"/>
      <w:sz w:val="21"/>
      <w:szCs w:val="22"/>
    </w:rPr>
  </w:style>
  <w:style w:type="paragraph" w:styleId="42">
    <w:name w:val="Body Text Indent 3"/>
    <w:basedOn w:val="1"/>
    <w:link w:val="113"/>
    <w:autoRedefine/>
    <w:qFormat/>
    <w:uiPriority w:val="0"/>
    <w:pPr>
      <w:tabs>
        <w:tab w:val="left" w:pos="0"/>
        <w:tab w:val="left" w:pos="992"/>
        <w:tab w:val="left" w:pos="1152"/>
      </w:tabs>
      <w:spacing w:after="120" w:line="360" w:lineRule="auto"/>
      <w:ind w:left="420" w:leftChars="200" w:firstLine="0" w:firstLineChars="0"/>
    </w:pPr>
    <w:rPr>
      <w:rFonts w:eastAsia="仿宋"/>
      <w:sz w:val="16"/>
      <w:szCs w:val="16"/>
    </w:rPr>
  </w:style>
  <w:style w:type="paragraph" w:styleId="43">
    <w:name w:val="table of figures"/>
    <w:basedOn w:val="1"/>
    <w:next w:val="1"/>
    <w:autoRedefine/>
    <w:qFormat/>
    <w:uiPriority w:val="99"/>
    <w:pPr>
      <w:tabs>
        <w:tab w:val="left" w:pos="0"/>
        <w:tab w:val="left" w:pos="992"/>
        <w:tab w:val="left" w:pos="1152"/>
      </w:tabs>
      <w:spacing w:line="360" w:lineRule="auto"/>
      <w:ind w:left="840" w:leftChars="200" w:hanging="420" w:hangingChars="200"/>
    </w:pPr>
    <w:rPr>
      <w:rFonts w:eastAsia="仿宋"/>
    </w:rPr>
  </w:style>
  <w:style w:type="paragraph" w:styleId="44">
    <w:name w:val="toc 2"/>
    <w:basedOn w:val="1"/>
    <w:next w:val="1"/>
    <w:autoRedefine/>
    <w:unhideWhenUsed/>
    <w:qFormat/>
    <w:uiPriority w:val="39"/>
    <w:pPr>
      <w:ind w:left="420" w:leftChars="200"/>
    </w:pPr>
  </w:style>
  <w:style w:type="paragraph" w:styleId="45">
    <w:name w:val="toc 9"/>
    <w:basedOn w:val="1"/>
    <w:next w:val="1"/>
    <w:autoRedefine/>
    <w:unhideWhenUsed/>
    <w:qFormat/>
    <w:uiPriority w:val="39"/>
    <w:pPr>
      <w:spacing w:line="240" w:lineRule="auto"/>
      <w:ind w:left="3360" w:leftChars="1600" w:firstLine="0" w:firstLineChars="0"/>
    </w:pPr>
    <w:rPr>
      <w:rFonts w:asciiTheme="minorHAnsi" w:hAnsiTheme="minorHAnsi" w:eastAsiaTheme="minorEastAsia" w:cstheme="minorBidi"/>
      <w:sz w:val="21"/>
      <w:szCs w:val="22"/>
    </w:rPr>
  </w:style>
  <w:style w:type="paragraph" w:styleId="46">
    <w:name w:val="Body Text 2"/>
    <w:basedOn w:val="1"/>
    <w:link w:val="114"/>
    <w:autoRedefine/>
    <w:qFormat/>
    <w:uiPriority w:val="0"/>
    <w:pPr>
      <w:tabs>
        <w:tab w:val="left" w:pos="0"/>
        <w:tab w:val="left" w:pos="992"/>
        <w:tab w:val="left" w:pos="1152"/>
      </w:tabs>
      <w:spacing w:after="120" w:line="480" w:lineRule="auto"/>
      <w:ind w:firstLine="0" w:firstLineChars="0"/>
    </w:pPr>
    <w:rPr>
      <w:rFonts w:eastAsia="仿宋"/>
    </w:rPr>
  </w:style>
  <w:style w:type="paragraph" w:styleId="47">
    <w:name w:val="Normal (Web)"/>
    <w:basedOn w:val="1"/>
    <w:autoRedefine/>
    <w:unhideWhenUsed/>
    <w:qFormat/>
    <w:uiPriority w:val="99"/>
    <w:pPr>
      <w:widowControl/>
      <w:tabs>
        <w:tab w:val="left" w:pos="0"/>
        <w:tab w:val="left" w:pos="992"/>
        <w:tab w:val="left" w:pos="1152"/>
      </w:tabs>
      <w:spacing w:before="100" w:beforeAutospacing="1" w:after="100" w:afterAutospacing="1" w:line="240" w:lineRule="auto"/>
      <w:ind w:firstLine="0" w:firstLineChars="0"/>
      <w:jc w:val="left"/>
    </w:pPr>
    <w:rPr>
      <w:rFonts w:ascii="宋体" w:hAnsi="宋体" w:cs="宋体"/>
      <w:kern w:val="0"/>
    </w:rPr>
  </w:style>
  <w:style w:type="paragraph" w:styleId="48">
    <w:name w:val="annotation subject"/>
    <w:basedOn w:val="18"/>
    <w:next w:val="18"/>
    <w:link w:val="81"/>
    <w:autoRedefine/>
    <w:unhideWhenUsed/>
    <w:qFormat/>
    <w:uiPriority w:val="99"/>
    <w:rPr>
      <w:b/>
      <w:bCs/>
    </w:rPr>
  </w:style>
  <w:style w:type="paragraph" w:styleId="49">
    <w:name w:val="Body Text First Indent"/>
    <w:basedOn w:val="20"/>
    <w:link w:val="82"/>
    <w:autoRedefine/>
    <w:qFormat/>
    <w:uiPriority w:val="0"/>
    <w:pPr>
      <w:spacing w:after="0" w:line="360" w:lineRule="auto"/>
    </w:pPr>
    <w:rPr>
      <w:szCs w:val="20"/>
    </w:rPr>
  </w:style>
  <w:style w:type="table" w:styleId="51">
    <w:name w:val="Table Grid"/>
    <w:basedOn w:val="50"/>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autoRedefine/>
    <w:qFormat/>
    <w:uiPriority w:val="0"/>
    <w:rPr>
      <w:b/>
      <w:bCs/>
    </w:rPr>
  </w:style>
  <w:style w:type="character" w:styleId="54">
    <w:name w:val="page number"/>
    <w:basedOn w:val="52"/>
    <w:autoRedefine/>
    <w:qFormat/>
    <w:uiPriority w:val="0"/>
  </w:style>
  <w:style w:type="character" w:styleId="55">
    <w:name w:val="FollowedHyperlink"/>
    <w:autoRedefine/>
    <w:unhideWhenUsed/>
    <w:qFormat/>
    <w:uiPriority w:val="99"/>
    <w:rPr>
      <w:color w:val="954F72"/>
      <w:u w:val="single"/>
    </w:rPr>
  </w:style>
  <w:style w:type="character" w:styleId="56">
    <w:name w:val="HTML Typewriter"/>
    <w:autoRedefine/>
    <w:qFormat/>
    <w:uiPriority w:val="0"/>
    <w:rPr>
      <w:rFonts w:ascii="宋体" w:hAnsi="宋体" w:eastAsia="宋体" w:cs="宋体"/>
      <w:sz w:val="24"/>
      <w:szCs w:val="24"/>
    </w:rPr>
  </w:style>
  <w:style w:type="character" w:styleId="57">
    <w:name w:val="Hyperlink"/>
    <w:basedOn w:val="52"/>
    <w:autoRedefine/>
    <w:unhideWhenUsed/>
    <w:qFormat/>
    <w:uiPriority w:val="99"/>
    <w:rPr>
      <w:color w:val="0563C1" w:themeColor="hyperlink"/>
      <w:u w:val="single"/>
      <w14:textFill>
        <w14:solidFill>
          <w14:schemeClr w14:val="hlink"/>
        </w14:solidFill>
      </w14:textFill>
    </w:rPr>
  </w:style>
  <w:style w:type="character" w:styleId="58">
    <w:name w:val="annotation reference"/>
    <w:basedOn w:val="52"/>
    <w:autoRedefine/>
    <w:unhideWhenUsed/>
    <w:qFormat/>
    <w:uiPriority w:val="99"/>
    <w:rPr>
      <w:sz w:val="21"/>
      <w:szCs w:val="21"/>
    </w:rPr>
  </w:style>
  <w:style w:type="character" w:customStyle="1" w:styleId="59">
    <w:name w:val="标题 4 Char"/>
    <w:link w:val="60"/>
    <w:autoRedefine/>
    <w:qFormat/>
    <w:uiPriority w:val="0"/>
    <w:rPr>
      <w:rFonts w:ascii="Times New Roman" w:hAnsi="Times New Roman" w:eastAsia="黑体" w:cs="Times New Roman"/>
      <w:b/>
      <w:sz w:val="24"/>
    </w:rPr>
  </w:style>
  <w:style w:type="paragraph" w:customStyle="1" w:styleId="60">
    <w:name w:val="标题 41"/>
    <w:basedOn w:val="1"/>
    <w:next w:val="1"/>
    <w:link w:val="59"/>
    <w:autoRedefine/>
    <w:qFormat/>
    <w:uiPriority w:val="0"/>
    <w:pPr>
      <w:keepNext/>
      <w:keepLines/>
      <w:widowControl/>
      <w:tabs>
        <w:tab w:val="left" w:pos="0"/>
        <w:tab w:val="left" w:pos="992"/>
        <w:tab w:val="left" w:pos="1152"/>
      </w:tabs>
      <w:spacing w:line="480" w:lineRule="auto"/>
      <w:ind w:left="3681" w:hanging="420" w:firstLineChars="0"/>
      <w:jc w:val="left"/>
      <w:outlineLvl w:val="3"/>
    </w:pPr>
    <w:rPr>
      <w:rFonts w:eastAsia="黑体"/>
      <w:b/>
      <w:kern w:val="0"/>
      <w:szCs w:val="20"/>
    </w:rPr>
  </w:style>
  <w:style w:type="paragraph" w:styleId="61">
    <w:name w:val="List Paragraph"/>
    <w:basedOn w:val="1"/>
    <w:link w:val="84"/>
    <w:qFormat/>
    <w:uiPriority w:val="1"/>
    <w:pPr>
      <w:numPr>
        <w:ilvl w:val="0"/>
        <w:numId w:val="5"/>
      </w:numPr>
      <w:ind w:left="0" w:firstLine="0" w:firstLineChars="0"/>
    </w:pPr>
  </w:style>
  <w:style w:type="character" w:customStyle="1" w:styleId="62">
    <w:name w:val="标题 2 字符"/>
    <w:link w:val="3"/>
    <w:autoRedefine/>
    <w:qFormat/>
    <w:uiPriority w:val="9"/>
    <w:rPr>
      <w:rFonts w:ascii="Times New Roman" w:hAnsi="Times New Roman" w:eastAsia="宋体" w:cs="Times New Roman"/>
      <w:b/>
      <w:bCs/>
      <w:kern w:val="2"/>
      <w:sz w:val="24"/>
      <w:szCs w:val="32"/>
    </w:rPr>
  </w:style>
  <w:style w:type="character" w:customStyle="1" w:styleId="63">
    <w:name w:val="标题 6 字符"/>
    <w:basedOn w:val="52"/>
    <w:link w:val="7"/>
    <w:autoRedefine/>
    <w:qFormat/>
    <w:uiPriority w:val="0"/>
    <w:rPr>
      <w:rFonts w:ascii="Times New Roman" w:hAnsi="Times New Roman" w:eastAsia="宋体" w:cstheme="majorBidi"/>
      <w:bCs/>
      <w:kern w:val="2"/>
      <w:sz w:val="24"/>
      <w:szCs w:val="24"/>
    </w:rPr>
  </w:style>
  <w:style w:type="paragraph" w:customStyle="1" w:styleId="64">
    <w:name w:val="图表目录1"/>
    <w:basedOn w:val="65"/>
    <w:next w:val="65"/>
    <w:autoRedefine/>
    <w:qFormat/>
    <w:uiPriority w:val="0"/>
    <w:pPr>
      <w:keepNext/>
      <w:jc w:val="center"/>
    </w:pPr>
  </w:style>
  <w:style w:type="paragraph" w:customStyle="1" w:styleId="65">
    <w:name w:val="正文 New New New New New New New New New New New New New New New New New New New New New New New New New New New New New New New New New New New New New New New New New New New New New New New New New New New New New New New New New New New New New New Ne"/>
    <w:next w:val="64"/>
    <w:autoRedefine/>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66">
    <w:name w:val="正文缩进 字符"/>
    <w:link w:val="14"/>
    <w:autoRedefine/>
    <w:qFormat/>
    <w:uiPriority w:val="0"/>
    <w:rPr>
      <w:rFonts w:ascii="Times New Roman" w:hAnsi="Times New Roman" w:eastAsia="宋体" w:cs="Times New Roman"/>
      <w:b/>
      <w:kern w:val="2"/>
      <w:sz w:val="21"/>
      <w:szCs w:val="21"/>
    </w:rPr>
  </w:style>
  <w:style w:type="character" w:customStyle="1" w:styleId="67">
    <w:name w:val="标题 1 字符"/>
    <w:link w:val="2"/>
    <w:autoRedefine/>
    <w:qFormat/>
    <w:uiPriority w:val="0"/>
    <w:rPr>
      <w:b/>
      <w:bCs/>
      <w:kern w:val="44"/>
      <w:sz w:val="24"/>
      <w:szCs w:val="44"/>
    </w:rPr>
  </w:style>
  <w:style w:type="character" w:customStyle="1" w:styleId="68">
    <w:name w:val="标题 3 字符"/>
    <w:link w:val="4"/>
    <w:autoRedefine/>
    <w:qFormat/>
    <w:uiPriority w:val="9"/>
    <w:rPr>
      <w:rFonts w:ascii="Times New Roman" w:hAnsi="Times New Roman" w:eastAsia="宋体" w:cs="Times New Roman"/>
      <w:b/>
      <w:bCs/>
      <w:kern w:val="2"/>
      <w:sz w:val="24"/>
      <w:szCs w:val="32"/>
      <w:lang w:val="zh-CN"/>
    </w:rPr>
  </w:style>
  <w:style w:type="character" w:customStyle="1" w:styleId="69">
    <w:name w:val="标题 4 字符"/>
    <w:basedOn w:val="52"/>
    <w:link w:val="5"/>
    <w:autoRedefine/>
    <w:qFormat/>
    <w:uiPriority w:val="0"/>
    <w:rPr>
      <w:rFonts w:ascii="宋体" w:hAnsi="宋体"/>
      <w:b/>
      <w:bCs/>
      <w:kern w:val="44"/>
      <w:sz w:val="24"/>
      <w:szCs w:val="28"/>
      <w:lang w:val="zh-CN"/>
    </w:rPr>
  </w:style>
  <w:style w:type="character" w:customStyle="1" w:styleId="70">
    <w:name w:val="标题 5 字符"/>
    <w:basedOn w:val="52"/>
    <w:link w:val="6"/>
    <w:autoRedefine/>
    <w:qFormat/>
    <w:uiPriority w:val="0"/>
    <w:rPr>
      <w:b/>
      <w:bCs/>
      <w:kern w:val="2"/>
      <w:sz w:val="24"/>
      <w:szCs w:val="28"/>
    </w:rPr>
  </w:style>
  <w:style w:type="character" w:customStyle="1" w:styleId="71">
    <w:name w:val="标题 7 字符"/>
    <w:basedOn w:val="52"/>
    <w:link w:val="8"/>
    <w:autoRedefine/>
    <w:qFormat/>
    <w:uiPriority w:val="0"/>
    <w:rPr>
      <w:rFonts w:ascii="Times New Roman" w:hAnsi="Times New Roman" w:eastAsia="宋体" w:cs="Cambria Math"/>
      <w:bCs/>
      <w:kern w:val="2"/>
      <w:sz w:val="24"/>
      <w:szCs w:val="24"/>
    </w:rPr>
  </w:style>
  <w:style w:type="character" w:customStyle="1" w:styleId="72">
    <w:name w:val="标题 8 字符"/>
    <w:basedOn w:val="52"/>
    <w:link w:val="9"/>
    <w:autoRedefine/>
    <w:qFormat/>
    <w:uiPriority w:val="0"/>
    <w:rPr>
      <w:rFonts w:ascii="Times New Roman" w:hAnsi="Times New Roman" w:eastAsia="宋体" w:cstheme="majorBidi"/>
      <w:kern w:val="2"/>
      <w:sz w:val="24"/>
      <w:szCs w:val="24"/>
    </w:rPr>
  </w:style>
  <w:style w:type="character" w:customStyle="1" w:styleId="73">
    <w:name w:val="标题 9 字符"/>
    <w:basedOn w:val="52"/>
    <w:link w:val="10"/>
    <w:autoRedefine/>
    <w:qFormat/>
    <w:uiPriority w:val="0"/>
    <w:rPr>
      <w:rFonts w:ascii="Times New Roman" w:hAnsi="Times New Roman" w:eastAsia="宋体" w:cstheme="majorBidi"/>
      <w:kern w:val="2"/>
      <w:sz w:val="24"/>
      <w:szCs w:val="21"/>
    </w:rPr>
  </w:style>
  <w:style w:type="character" w:customStyle="1" w:styleId="74">
    <w:name w:val="题注 字符"/>
    <w:link w:val="15"/>
    <w:autoRedefine/>
    <w:qFormat/>
    <w:uiPriority w:val="35"/>
    <w:rPr>
      <w:rFonts w:eastAsia="黑体" w:asciiTheme="majorHAnsi" w:hAnsiTheme="majorHAnsi" w:cstheme="majorBidi"/>
      <w:kern w:val="2"/>
    </w:rPr>
  </w:style>
  <w:style w:type="character" w:customStyle="1" w:styleId="75">
    <w:name w:val="批注文字 字符"/>
    <w:basedOn w:val="52"/>
    <w:link w:val="18"/>
    <w:autoRedefine/>
    <w:qFormat/>
    <w:uiPriority w:val="0"/>
    <w:rPr>
      <w:rFonts w:ascii="Times New Roman" w:hAnsi="Times New Roman" w:eastAsia="宋体" w:cs="Times New Roman"/>
      <w:kern w:val="2"/>
      <w:sz w:val="24"/>
      <w:szCs w:val="24"/>
    </w:rPr>
  </w:style>
  <w:style w:type="character" w:customStyle="1" w:styleId="76">
    <w:name w:val="正文文本 字符"/>
    <w:link w:val="20"/>
    <w:autoRedefine/>
    <w:qFormat/>
    <w:uiPriority w:val="0"/>
    <w:rPr>
      <w:rFonts w:ascii="Times New Roman" w:hAnsi="Times New Roman" w:eastAsia="宋体" w:cs="Times New Roman"/>
      <w:kern w:val="2"/>
      <w:sz w:val="24"/>
      <w:szCs w:val="24"/>
    </w:rPr>
  </w:style>
  <w:style w:type="character" w:customStyle="1" w:styleId="77">
    <w:name w:val="正文文本缩进 字符"/>
    <w:basedOn w:val="52"/>
    <w:link w:val="23"/>
    <w:autoRedefine/>
    <w:qFormat/>
    <w:uiPriority w:val="0"/>
    <w:rPr>
      <w:rFonts w:ascii="Times New Roman" w:hAnsi="Times New Roman" w:eastAsia="宋体" w:cs="Times New Roman"/>
      <w:kern w:val="2"/>
      <w:sz w:val="24"/>
      <w:szCs w:val="24"/>
    </w:rPr>
  </w:style>
  <w:style w:type="character" w:customStyle="1" w:styleId="78">
    <w:name w:val="批注框文本 字符"/>
    <w:basedOn w:val="52"/>
    <w:link w:val="34"/>
    <w:autoRedefine/>
    <w:qFormat/>
    <w:uiPriority w:val="99"/>
    <w:rPr>
      <w:rFonts w:ascii="Times New Roman" w:hAnsi="Times New Roman" w:eastAsia="宋体" w:cs="Times New Roman"/>
      <w:kern w:val="2"/>
      <w:sz w:val="18"/>
      <w:szCs w:val="18"/>
    </w:rPr>
  </w:style>
  <w:style w:type="character" w:customStyle="1" w:styleId="79">
    <w:name w:val="页脚 字符"/>
    <w:basedOn w:val="52"/>
    <w:link w:val="35"/>
    <w:autoRedefine/>
    <w:qFormat/>
    <w:uiPriority w:val="99"/>
    <w:rPr>
      <w:kern w:val="2"/>
      <w:sz w:val="18"/>
      <w:szCs w:val="18"/>
    </w:rPr>
  </w:style>
  <w:style w:type="character" w:customStyle="1" w:styleId="80">
    <w:name w:val="页眉 字符"/>
    <w:basedOn w:val="52"/>
    <w:link w:val="37"/>
    <w:autoRedefine/>
    <w:qFormat/>
    <w:uiPriority w:val="0"/>
    <w:rPr>
      <w:rFonts w:ascii="Times New Roman" w:hAnsi="Times New Roman" w:eastAsia="宋体" w:cs="Times New Roman"/>
      <w:sz w:val="18"/>
      <w:szCs w:val="18"/>
      <w:lang w:val="zh-CN" w:eastAsia="zh-CN"/>
    </w:rPr>
  </w:style>
  <w:style w:type="character" w:customStyle="1" w:styleId="81">
    <w:name w:val="批注主题 字符"/>
    <w:basedOn w:val="75"/>
    <w:link w:val="48"/>
    <w:autoRedefine/>
    <w:qFormat/>
    <w:uiPriority w:val="99"/>
    <w:rPr>
      <w:rFonts w:ascii="Times New Roman" w:hAnsi="Times New Roman" w:eastAsia="宋体" w:cs="Times New Roman"/>
      <w:b/>
      <w:bCs/>
      <w:kern w:val="2"/>
      <w:sz w:val="24"/>
      <w:szCs w:val="24"/>
    </w:rPr>
  </w:style>
  <w:style w:type="character" w:customStyle="1" w:styleId="82">
    <w:name w:val="正文文本首行缩进 字符1"/>
    <w:link w:val="49"/>
    <w:autoRedefine/>
    <w:qFormat/>
    <w:uiPriority w:val="0"/>
    <w:rPr>
      <w:rFonts w:ascii="Times New Roman" w:hAnsi="Times New Roman" w:eastAsia="宋体" w:cs="Times New Roman"/>
      <w:kern w:val="2"/>
      <w:sz w:val="24"/>
    </w:rPr>
  </w:style>
  <w:style w:type="character" w:customStyle="1" w:styleId="83">
    <w:name w:val="正文文本首行缩进 2 字符"/>
    <w:basedOn w:val="52"/>
    <w:link w:val="26"/>
    <w:autoRedefine/>
    <w:qFormat/>
    <w:uiPriority w:val="0"/>
    <w:rPr>
      <w:rFonts w:ascii="Times New Roman" w:hAnsi="Times New Roman" w:eastAsia="宋体" w:cs="Times New Roman"/>
      <w:kern w:val="2"/>
      <w:sz w:val="24"/>
      <w:szCs w:val="24"/>
    </w:rPr>
  </w:style>
  <w:style w:type="character" w:customStyle="1" w:styleId="84">
    <w:name w:val="列表段落 字符2"/>
    <w:link w:val="61"/>
    <w:autoRedefine/>
    <w:qFormat/>
    <w:locked/>
    <w:uiPriority w:val="1"/>
    <w:rPr>
      <w:kern w:val="2"/>
      <w:sz w:val="24"/>
      <w:szCs w:val="24"/>
    </w:rPr>
  </w:style>
  <w:style w:type="paragraph" w:customStyle="1" w:styleId="85">
    <w:name w:val="表格"/>
    <w:basedOn w:val="1"/>
    <w:link w:val="86"/>
    <w:autoRedefine/>
    <w:qFormat/>
    <w:uiPriority w:val="0"/>
    <w:pPr>
      <w:widowControl/>
      <w:snapToGrid w:val="0"/>
      <w:spacing w:line="240" w:lineRule="auto"/>
      <w:ind w:firstLine="0" w:firstLineChars="0"/>
      <w:jc w:val="center"/>
    </w:pPr>
    <w:rPr>
      <w:sz w:val="21"/>
      <w:szCs w:val="21"/>
    </w:rPr>
  </w:style>
  <w:style w:type="character" w:customStyle="1" w:styleId="86">
    <w:name w:val="表格 Char"/>
    <w:link w:val="85"/>
    <w:autoRedefine/>
    <w:qFormat/>
    <w:uiPriority w:val="0"/>
    <w:rPr>
      <w:rFonts w:ascii="Times New Roman" w:hAnsi="Times New Roman" w:eastAsia="宋体" w:cs="Times New Roman"/>
      <w:szCs w:val="21"/>
    </w:rPr>
  </w:style>
  <w:style w:type="paragraph" w:customStyle="1" w:styleId="87">
    <w:name w:val="无间隔1"/>
    <w:autoRedefine/>
    <w:qFormat/>
    <w:uiPriority w:val="1"/>
    <w:pPr>
      <w:widowControl w:val="0"/>
      <w:spacing w:line="480" w:lineRule="atLeast"/>
      <w:ind w:firstLine="200" w:firstLineChars="200"/>
      <w:jc w:val="both"/>
    </w:pPr>
    <w:rPr>
      <w:rFonts w:eastAsia="仿宋_GB2312" w:asciiTheme="minorHAnsi" w:hAnsiTheme="minorHAnsi" w:cstheme="minorBidi"/>
      <w:kern w:val="2"/>
      <w:sz w:val="24"/>
      <w:szCs w:val="22"/>
      <w:lang w:val="en-US" w:eastAsia="zh-CN" w:bidi="ar-SA"/>
    </w:rPr>
  </w:style>
  <w:style w:type="paragraph" w:customStyle="1" w:styleId="88">
    <w:name w:val="TOC 标题1"/>
    <w:basedOn w:val="2"/>
    <w:next w:val="1"/>
    <w:autoRedefine/>
    <w:unhideWhenUsed/>
    <w:qFormat/>
    <w:uiPriority w:val="39"/>
    <w:pPr>
      <w:widowControl/>
      <w:numPr>
        <w:numId w:val="0"/>
      </w:numPr>
      <w:spacing w:line="259" w:lineRule="auto"/>
      <w:contextualSpacing w:val="0"/>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89">
    <w:name w:val="未处理的提及1"/>
    <w:basedOn w:val="52"/>
    <w:autoRedefine/>
    <w:unhideWhenUsed/>
    <w:qFormat/>
    <w:uiPriority w:val="99"/>
    <w:rPr>
      <w:color w:val="605E5C"/>
      <w:shd w:val="clear" w:color="auto" w:fill="E1DFDD"/>
    </w:rPr>
  </w:style>
  <w:style w:type="paragraph" w:customStyle="1" w:styleId="90">
    <w:name w:val="列表段落1"/>
    <w:basedOn w:val="1"/>
    <w:autoRedefine/>
    <w:qFormat/>
    <w:uiPriority w:val="34"/>
    <w:pPr>
      <w:widowControl/>
      <w:numPr>
        <w:ilvl w:val="0"/>
        <w:numId w:val="6"/>
      </w:numPr>
      <w:ind w:firstLine="0" w:firstLineChars="0"/>
      <w:contextualSpacing/>
      <w:jc w:val="left"/>
    </w:pPr>
    <w:rPr>
      <w:rFonts w:cstheme="minorBidi"/>
      <w:lang w:bidi="en-US"/>
    </w:rPr>
  </w:style>
  <w:style w:type="paragraph" w:customStyle="1" w:styleId="91">
    <w:name w:val="列项"/>
    <w:autoRedefine/>
    <w:qFormat/>
    <w:uiPriority w:val="99"/>
    <w:pPr>
      <w:widowControl w:val="0"/>
      <w:spacing w:line="480" w:lineRule="exact"/>
      <w:ind w:left="1260" w:hanging="420"/>
      <w:jc w:val="both"/>
    </w:pPr>
    <w:rPr>
      <w:rFonts w:ascii="Times New Roman" w:hAnsi="Times New Roman" w:eastAsia="宋体" w:cs="Times New Roman"/>
      <w:sz w:val="24"/>
      <w:szCs w:val="24"/>
      <w:lang w:val="en-US" w:eastAsia="zh-CN" w:bidi="ar-SA"/>
    </w:rPr>
  </w:style>
  <w:style w:type="paragraph" w:customStyle="1" w:styleId="92">
    <w:name w:val="Default"/>
    <w:autoRedefine/>
    <w:qFormat/>
    <w:uiPriority w:val="0"/>
    <w:pPr>
      <w:widowControl w:val="0"/>
      <w:autoSpaceDE w:val="0"/>
      <w:autoSpaceDN w:val="0"/>
      <w:adjustRightInd w:val="0"/>
    </w:pPr>
    <w:rPr>
      <w:rFonts w:ascii="Sim Sun" w:hAnsi="Times New Roman" w:eastAsia="Sim Sun" w:cs="Sim Sun"/>
      <w:color w:val="000000"/>
      <w:sz w:val="24"/>
      <w:szCs w:val="24"/>
      <w:lang w:val="en-US" w:eastAsia="zh-CN" w:bidi="ar-SA"/>
    </w:rPr>
  </w:style>
  <w:style w:type="paragraph" w:customStyle="1" w:styleId="93">
    <w:name w:val="列项◆（三级）"/>
    <w:autoRedefine/>
    <w:qFormat/>
    <w:uiPriority w:val="99"/>
    <w:pPr>
      <w:tabs>
        <w:tab w:val="left" w:pos="960"/>
        <w:tab w:val="left" w:pos="2100"/>
      </w:tabs>
      <w:ind w:left="800" w:leftChars="600" w:hanging="200" w:hangingChars="200"/>
    </w:pPr>
    <w:rPr>
      <w:rFonts w:ascii="宋体" w:hAnsi="Times New Roman" w:eastAsia="宋体" w:cs="Times New Roman"/>
      <w:sz w:val="21"/>
      <w:lang w:val="en-US" w:eastAsia="zh-CN" w:bidi="ar-SA"/>
    </w:rPr>
  </w:style>
  <w:style w:type="paragraph" w:customStyle="1" w:styleId="94">
    <w:name w:val="1级列项"/>
    <w:basedOn w:val="1"/>
    <w:autoRedefine/>
    <w:qFormat/>
    <w:uiPriority w:val="0"/>
    <w:pPr>
      <w:numPr>
        <w:ilvl w:val="0"/>
        <w:numId w:val="7"/>
      </w:numPr>
      <w:spacing w:line="480" w:lineRule="exact"/>
      <w:ind w:firstLine="0" w:firstLineChars="0"/>
    </w:pPr>
  </w:style>
  <w:style w:type="paragraph" w:customStyle="1" w:styleId="95">
    <w:name w:val="2级列项"/>
    <w:basedOn w:val="94"/>
    <w:autoRedefine/>
    <w:qFormat/>
    <w:uiPriority w:val="0"/>
    <w:pPr>
      <w:numPr>
        <w:ilvl w:val="1"/>
      </w:numPr>
    </w:pPr>
  </w:style>
  <w:style w:type="paragraph" w:customStyle="1" w:styleId="96">
    <w:name w:val="文稿"/>
    <w:basedOn w:val="1"/>
    <w:link w:val="97"/>
    <w:autoRedefine/>
    <w:qFormat/>
    <w:uiPriority w:val="0"/>
    <w:pPr>
      <w:spacing w:line="360" w:lineRule="auto"/>
    </w:pPr>
  </w:style>
  <w:style w:type="character" w:customStyle="1" w:styleId="97">
    <w:name w:val="文稿 Char"/>
    <w:basedOn w:val="52"/>
    <w:link w:val="96"/>
    <w:autoRedefine/>
    <w:qFormat/>
    <w:uiPriority w:val="0"/>
    <w:rPr>
      <w:rFonts w:ascii="Times New Roman" w:hAnsi="Times New Roman" w:eastAsia="宋体" w:cs="Times New Roman"/>
      <w:kern w:val="2"/>
      <w:sz w:val="24"/>
      <w:szCs w:val="24"/>
    </w:rPr>
  </w:style>
  <w:style w:type="paragraph" w:customStyle="1" w:styleId="98">
    <w:name w:val="样式1"/>
    <w:basedOn w:val="1"/>
    <w:next w:val="1"/>
    <w:link w:val="99"/>
    <w:autoRedefine/>
    <w:qFormat/>
    <w:uiPriority w:val="0"/>
    <w:pPr>
      <w:numPr>
        <w:ilvl w:val="0"/>
        <w:numId w:val="8"/>
      </w:numPr>
      <w:ind w:firstLine="0" w:firstLineChars="0"/>
    </w:pPr>
  </w:style>
  <w:style w:type="character" w:customStyle="1" w:styleId="99">
    <w:name w:val="样式1 字符"/>
    <w:basedOn w:val="52"/>
    <w:link w:val="98"/>
    <w:autoRedefine/>
    <w:qFormat/>
    <w:uiPriority w:val="0"/>
    <w:rPr>
      <w:rFonts w:ascii="Times New Roman" w:hAnsi="Times New Roman" w:eastAsia="宋体" w:cs="Times New Roman"/>
      <w:kern w:val="2"/>
      <w:sz w:val="24"/>
      <w:szCs w:val="24"/>
    </w:rPr>
  </w:style>
  <w:style w:type="paragraph" w:customStyle="1" w:styleId="100">
    <w:name w:val="TOC 标题2"/>
    <w:basedOn w:val="2"/>
    <w:next w:val="1"/>
    <w:autoRedefine/>
    <w:unhideWhenUsed/>
    <w:qFormat/>
    <w:uiPriority w:val="39"/>
    <w:pPr>
      <w:widowControl/>
      <w:numPr>
        <w:numId w:val="0"/>
      </w:numPr>
      <w:spacing w:line="259" w:lineRule="auto"/>
      <w:contextualSpacing w:val="0"/>
      <w:jc w:val="center"/>
      <w:outlineLvl w:val="9"/>
    </w:pPr>
    <w:rPr>
      <w:rFonts w:asciiTheme="majorHAnsi" w:hAnsiTheme="majorHAnsi" w:eastAsiaTheme="majorEastAsia" w:cstheme="majorBidi"/>
      <w:b w:val="0"/>
      <w:bCs w:val="0"/>
      <w:color w:val="2F5597" w:themeColor="accent1" w:themeShade="BF"/>
      <w:kern w:val="0"/>
      <w:sz w:val="32"/>
      <w:szCs w:val="32"/>
    </w:rPr>
  </w:style>
  <w:style w:type="paragraph" w:customStyle="1" w:styleId="101">
    <w:name w:val="Bg"/>
    <w:basedOn w:val="1"/>
    <w:autoRedefine/>
    <w:qFormat/>
    <w:uiPriority w:val="0"/>
    <w:pPr>
      <w:topLinePunct/>
      <w:snapToGrid w:val="0"/>
      <w:spacing w:before="60" w:after="60"/>
      <w:contextualSpacing/>
      <w:jc w:val="center"/>
    </w:pPr>
    <w:rPr>
      <w:sz w:val="18"/>
      <w:szCs w:val="18"/>
    </w:rPr>
  </w:style>
  <w:style w:type="paragraph" w:customStyle="1" w:styleId="102">
    <w:name w:val="表格内字体字号"/>
    <w:basedOn w:val="1"/>
    <w:autoRedefine/>
    <w:qFormat/>
    <w:uiPriority w:val="0"/>
    <w:pPr>
      <w:topLinePunct/>
      <w:snapToGrid w:val="0"/>
      <w:spacing w:before="20" w:beforeLines="20" w:after="20" w:afterLines="20"/>
      <w:ind w:left="30" w:leftChars="30" w:right="30" w:rightChars="30"/>
      <w:jc w:val="center"/>
    </w:pPr>
    <w:rPr>
      <w:sz w:val="18"/>
      <w:szCs w:val="18"/>
    </w:rPr>
  </w:style>
  <w:style w:type="paragraph" w:customStyle="1" w:styleId="103">
    <w:name w:val="TOC 标题3"/>
    <w:basedOn w:val="2"/>
    <w:next w:val="1"/>
    <w:autoRedefine/>
    <w:unhideWhenUsed/>
    <w:qFormat/>
    <w:uiPriority w:val="39"/>
    <w:pPr>
      <w:widowControl/>
      <w:numPr>
        <w:numId w:val="0"/>
      </w:numPr>
      <w:spacing w:before="240" w:line="259" w:lineRule="auto"/>
      <w:contextualSpacing w:val="0"/>
      <w:jc w:val="left"/>
      <w:outlineLvl w:val="9"/>
    </w:pPr>
    <w:rPr>
      <w:rFonts w:asciiTheme="majorHAnsi" w:hAnsiTheme="majorHAnsi" w:eastAsiaTheme="majorEastAsia" w:cstheme="majorBidi"/>
      <w:b w:val="0"/>
      <w:bCs w:val="0"/>
      <w:color w:val="2F5597" w:themeColor="accent1" w:themeShade="BF"/>
      <w:kern w:val="0"/>
      <w:sz w:val="32"/>
      <w:szCs w:val="32"/>
    </w:rPr>
  </w:style>
  <w:style w:type="paragraph" w:customStyle="1" w:styleId="104">
    <w:name w:val="修订1"/>
    <w:autoRedefine/>
    <w:hidden/>
    <w:semiHidden/>
    <w:qFormat/>
    <w:uiPriority w:val="99"/>
    <w:rPr>
      <w:rFonts w:ascii="Times New Roman" w:hAnsi="Times New Roman" w:eastAsia="宋体" w:cs="Times New Roman"/>
      <w:kern w:val="2"/>
      <w:sz w:val="24"/>
      <w:szCs w:val="24"/>
      <w:lang w:val="en-US" w:eastAsia="zh-CN" w:bidi="ar-SA"/>
    </w:rPr>
  </w:style>
  <w:style w:type="paragraph" w:customStyle="1" w:styleId="105">
    <w:name w:val="样式 首行缩进:  2 字符"/>
    <w:basedOn w:val="1"/>
    <w:autoRedefine/>
    <w:qFormat/>
    <w:uiPriority w:val="0"/>
    <w:pPr>
      <w:tabs>
        <w:tab w:val="left" w:pos="0"/>
        <w:tab w:val="left" w:pos="992"/>
        <w:tab w:val="left" w:pos="1152"/>
      </w:tabs>
      <w:ind w:firstLine="0" w:firstLineChars="0"/>
    </w:pPr>
    <w:rPr>
      <w:rFonts w:cs="宋体"/>
      <w:b/>
      <w:szCs w:val="20"/>
    </w:rPr>
  </w:style>
  <w:style w:type="character" w:customStyle="1" w:styleId="106">
    <w:name w:val="文档结构图 字符"/>
    <w:basedOn w:val="52"/>
    <w:link w:val="17"/>
    <w:autoRedefine/>
    <w:qFormat/>
    <w:uiPriority w:val="0"/>
    <w:rPr>
      <w:rFonts w:ascii="Times New Roman" w:hAnsi="Times New Roman" w:eastAsia="宋体" w:cs="Times New Roman"/>
      <w:kern w:val="2"/>
      <w:sz w:val="24"/>
      <w:szCs w:val="24"/>
      <w:shd w:val="clear" w:color="auto" w:fill="000080"/>
    </w:rPr>
  </w:style>
  <w:style w:type="character" w:customStyle="1" w:styleId="107">
    <w:name w:val="正文文本 3 字符"/>
    <w:basedOn w:val="52"/>
    <w:link w:val="19"/>
    <w:autoRedefine/>
    <w:qFormat/>
    <w:uiPriority w:val="0"/>
    <w:rPr>
      <w:rFonts w:ascii="Times New Roman" w:hAnsi="Times New Roman" w:eastAsia="仿宋" w:cs="Times New Roman"/>
      <w:kern w:val="2"/>
      <w:sz w:val="16"/>
      <w:szCs w:val="16"/>
    </w:rPr>
  </w:style>
  <w:style w:type="character" w:customStyle="1" w:styleId="108">
    <w:name w:val="标题 字符"/>
    <w:basedOn w:val="52"/>
    <w:link w:val="22"/>
    <w:autoRedefine/>
    <w:qFormat/>
    <w:uiPriority w:val="0"/>
    <w:rPr>
      <w:rFonts w:ascii="Times New Roman" w:hAnsi="Times New Roman" w:eastAsia="仿宋" w:cs="Arial"/>
      <w:b/>
      <w:bCs/>
      <w:kern w:val="2"/>
      <w:sz w:val="48"/>
      <w:szCs w:val="32"/>
    </w:rPr>
  </w:style>
  <w:style w:type="character" w:customStyle="1" w:styleId="109">
    <w:name w:val="纯文本 字符"/>
    <w:basedOn w:val="52"/>
    <w:link w:val="30"/>
    <w:autoRedefine/>
    <w:qFormat/>
    <w:uiPriority w:val="0"/>
    <w:rPr>
      <w:rFonts w:ascii="宋体" w:hAnsi="Courier New" w:eastAsia="仿宋" w:cs="Courier New"/>
      <w:kern w:val="2"/>
      <w:sz w:val="21"/>
      <w:szCs w:val="21"/>
    </w:rPr>
  </w:style>
  <w:style w:type="character" w:customStyle="1" w:styleId="110">
    <w:name w:val="日期 字符"/>
    <w:basedOn w:val="52"/>
    <w:link w:val="32"/>
    <w:autoRedefine/>
    <w:qFormat/>
    <w:uiPriority w:val="99"/>
    <w:rPr>
      <w:rFonts w:ascii="Times New Roman" w:hAnsi="Times New Roman" w:eastAsia="宋体" w:cs="Times New Roman"/>
      <w:kern w:val="2"/>
      <w:sz w:val="21"/>
      <w:lang w:val="zh-CN"/>
    </w:rPr>
  </w:style>
  <w:style w:type="character" w:customStyle="1" w:styleId="111">
    <w:name w:val="正文文本缩进 2 字符"/>
    <w:basedOn w:val="52"/>
    <w:link w:val="33"/>
    <w:autoRedefine/>
    <w:qFormat/>
    <w:uiPriority w:val="0"/>
    <w:rPr>
      <w:rFonts w:ascii="Times New Roman" w:hAnsi="Times New Roman" w:eastAsia="宋体" w:cs="Times New Roman"/>
      <w:kern w:val="2"/>
      <w:sz w:val="21"/>
    </w:rPr>
  </w:style>
  <w:style w:type="character" w:customStyle="1" w:styleId="112">
    <w:name w:val="列表 字符"/>
    <w:link w:val="40"/>
    <w:autoRedefine/>
    <w:qFormat/>
    <w:uiPriority w:val="0"/>
    <w:rPr>
      <w:rFonts w:ascii="Times New Roman" w:hAnsi="Times New Roman" w:eastAsia="仿宋" w:cs="Times New Roman"/>
      <w:kern w:val="2"/>
      <w:sz w:val="24"/>
      <w:szCs w:val="24"/>
    </w:rPr>
  </w:style>
  <w:style w:type="character" w:customStyle="1" w:styleId="113">
    <w:name w:val="正文文本缩进 3 字符"/>
    <w:basedOn w:val="52"/>
    <w:link w:val="42"/>
    <w:autoRedefine/>
    <w:qFormat/>
    <w:uiPriority w:val="0"/>
    <w:rPr>
      <w:rFonts w:ascii="Times New Roman" w:hAnsi="Times New Roman" w:eastAsia="仿宋" w:cs="Times New Roman"/>
      <w:kern w:val="2"/>
      <w:sz w:val="16"/>
      <w:szCs w:val="16"/>
    </w:rPr>
  </w:style>
  <w:style w:type="character" w:customStyle="1" w:styleId="114">
    <w:name w:val="正文文本 2 字符"/>
    <w:basedOn w:val="52"/>
    <w:link w:val="46"/>
    <w:autoRedefine/>
    <w:qFormat/>
    <w:uiPriority w:val="0"/>
    <w:rPr>
      <w:rFonts w:ascii="Times New Roman" w:hAnsi="Times New Roman" w:eastAsia="仿宋" w:cs="Times New Roman"/>
      <w:kern w:val="2"/>
      <w:sz w:val="24"/>
      <w:szCs w:val="24"/>
    </w:rPr>
  </w:style>
  <w:style w:type="paragraph" w:customStyle="1" w:styleId="115">
    <w:name w:val="样式2"/>
    <w:basedOn w:val="1"/>
    <w:link w:val="116"/>
    <w:autoRedefine/>
    <w:qFormat/>
    <w:uiPriority w:val="0"/>
    <w:pPr>
      <w:tabs>
        <w:tab w:val="left" w:pos="0"/>
        <w:tab w:val="left" w:pos="992"/>
        <w:tab w:val="left" w:pos="1152"/>
      </w:tabs>
      <w:spacing w:line="240" w:lineRule="auto"/>
      <w:ind w:firstLine="420" w:firstLineChars="0"/>
    </w:pPr>
    <w:rPr>
      <w:rFonts w:eastAsia="仿宋"/>
    </w:rPr>
  </w:style>
  <w:style w:type="character" w:customStyle="1" w:styleId="116">
    <w:name w:val="样式2 Char"/>
    <w:link w:val="115"/>
    <w:autoRedefine/>
    <w:qFormat/>
    <w:uiPriority w:val="0"/>
    <w:rPr>
      <w:rFonts w:ascii="Times New Roman" w:hAnsi="Times New Roman" w:eastAsia="仿宋" w:cs="Times New Roman"/>
      <w:kern w:val="2"/>
      <w:sz w:val="24"/>
      <w:szCs w:val="24"/>
    </w:rPr>
  </w:style>
  <w:style w:type="character" w:customStyle="1" w:styleId="117">
    <w:name w:val="“上标”样式"/>
    <w:autoRedefine/>
    <w:qFormat/>
    <w:uiPriority w:val="0"/>
    <w:rPr>
      <w:rFonts w:ascii="Times New Roman" w:hAnsi="Times New Roman" w:eastAsia="宋体"/>
      <w:sz w:val="24"/>
      <w:vertAlign w:val="superscript"/>
    </w:rPr>
  </w:style>
  <w:style w:type="character" w:customStyle="1" w:styleId="118">
    <w:name w:val="“下标”样式"/>
    <w:autoRedefine/>
    <w:qFormat/>
    <w:uiPriority w:val="0"/>
    <w:rPr>
      <w:vertAlign w:val="subscript"/>
    </w:rPr>
  </w:style>
  <w:style w:type="paragraph" w:customStyle="1" w:styleId="119">
    <w:name w:val="项目符号"/>
    <w:basedOn w:val="1"/>
    <w:autoRedefine/>
    <w:qFormat/>
    <w:uiPriority w:val="0"/>
    <w:pPr>
      <w:numPr>
        <w:ilvl w:val="0"/>
        <w:numId w:val="9"/>
      </w:numPr>
      <w:ind w:firstLine="0" w:firstLineChars="0"/>
    </w:pPr>
  </w:style>
  <w:style w:type="paragraph" w:customStyle="1" w:styleId="120">
    <w:name w:val="封面“EPC联合体”中文文字"/>
    <w:basedOn w:val="1"/>
    <w:link w:val="121"/>
    <w:autoRedefine/>
    <w:semiHidden/>
    <w:qFormat/>
    <w:uiPriority w:val="0"/>
    <w:pPr>
      <w:tabs>
        <w:tab w:val="left" w:pos="0"/>
        <w:tab w:val="left" w:pos="992"/>
        <w:tab w:val="left" w:pos="1152"/>
      </w:tabs>
      <w:ind w:firstLine="0" w:firstLineChars="0"/>
      <w:jc w:val="center"/>
    </w:pPr>
    <w:rPr>
      <w:rFonts w:hAnsi="宋体"/>
      <w:b/>
      <w:sz w:val="32"/>
      <w:szCs w:val="32"/>
    </w:rPr>
  </w:style>
  <w:style w:type="character" w:customStyle="1" w:styleId="121">
    <w:name w:val="封面“EPC联合体”中文文字 Char Char"/>
    <w:link w:val="120"/>
    <w:autoRedefine/>
    <w:semiHidden/>
    <w:qFormat/>
    <w:uiPriority w:val="0"/>
    <w:rPr>
      <w:rFonts w:ascii="Times New Roman" w:hAnsi="宋体" w:eastAsia="宋体" w:cs="Times New Roman"/>
      <w:b/>
      <w:kern w:val="2"/>
      <w:sz w:val="32"/>
      <w:szCs w:val="32"/>
    </w:rPr>
  </w:style>
  <w:style w:type="paragraph" w:customStyle="1" w:styleId="122">
    <w:name w:val="封面“EPC联合体”西文文字"/>
    <w:basedOn w:val="120"/>
    <w:link w:val="123"/>
    <w:autoRedefine/>
    <w:semiHidden/>
    <w:qFormat/>
    <w:uiPriority w:val="0"/>
    <w:rPr>
      <w:rFonts w:hAnsi="Times New Roman"/>
    </w:rPr>
  </w:style>
  <w:style w:type="character" w:customStyle="1" w:styleId="123">
    <w:name w:val="封面“EPC联合体”西文文字 Char Char"/>
    <w:basedOn w:val="121"/>
    <w:link w:val="122"/>
    <w:autoRedefine/>
    <w:semiHidden/>
    <w:qFormat/>
    <w:uiPriority w:val="0"/>
    <w:rPr>
      <w:rFonts w:ascii="Times New Roman" w:hAnsi="Times New Roman" w:eastAsia="宋体" w:cs="Times New Roman"/>
      <w:kern w:val="2"/>
      <w:sz w:val="32"/>
      <w:szCs w:val="32"/>
    </w:rPr>
  </w:style>
  <w:style w:type="paragraph" w:customStyle="1" w:styleId="124">
    <w:name w:val="图名/表名/表头样式"/>
    <w:basedOn w:val="1"/>
    <w:autoRedefine/>
    <w:qFormat/>
    <w:uiPriority w:val="0"/>
    <w:pPr>
      <w:tabs>
        <w:tab w:val="left" w:pos="0"/>
        <w:tab w:val="left" w:pos="992"/>
        <w:tab w:val="left" w:pos="1152"/>
      </w:tabs>
      <w:ind w:firstLine="0" w:firstLineChars="0"/>
      <w:jc w:val="center"/>
    </w:pPr>
    <w:rPr>
      <w:b/>
      <w:sz w:val="21"/>
      <w:szCs w:val="21"/>
    </w:rPr>
  </w:style>
  <w:style w:type="paragraph" w:customStyle="1" w:styleId="125">
    <w:name w:val="表格文字样式"/>
    <w:basedOn w:val="1"/>
    <w:autoRedefine/>
    <w:qFormat/>
    <w:uiPriority w:val="0"/>
    <w:pPr>
      <w:tabs>
        <w:tab w:val="left" w:pos="0"/>
        <w:tab w:val="left" w:pos="992"/>
        <w:tab w:val="left" w:pos="1152"/>
      </w:tabs>
      <w:ind w:firstLine="0" w:firstLineChars="0"/>
    </w:pPr>
    <w:rPr>
      <w:sz w:val="21"/>
      <w:szCs w:val="21"/>
    </w:rPr>
  </w:style>
  <w:style w:type="paragraph" w:customStyle="1" w:styleId="126">
    <w:name w:val="附图标题"/>
    <w:basedOn w:val="1"/>
    <w:next w:val="1"/>
    <w:autoRedefine/>
    <w:qFormat/>
    <w:uiPriority w:val="0"/>
    <w:pPr>
      <w:numPr>
        <w:ilvl w:val="1"/>
        <w:numId w:val="4"/>
      </w:numPr>
      <w:tabs>
        <w:tab w:val="left" w:pos="0"/>
        <w:tab w:val="left" w:pos="900"/>
        <w:tab w:val="clear" w:pos="845"/>
      </w:tabs>
      <w:spacing w:after="100" w:afterLines="100" w:line="240" w:lineRule="auto"/>
      <w:ind w:left="900" w:firstLine="0" w:firstLineChars="0"/>
      <w:jc w:val="center"/>
    </w:pPr>
    <w:rPr>
      <w:rFonts w:ascii="Arial" w:hAnsi="Arial" w:eastAsia="黑体"/>
      <w:b/>
      <w:sz w:val="18"/>
    </w:rPr>
  </w:style>
  <w:style w:type="paragraph" w:customStyle="1" w:styleId="127">
    <w:name w:val="概述"/>
    <w:basedOn w:val="1"/>
    <w:autoRedefine/>
    <w:qFormat/>
    <w:uiPriority w:val="0"/>
    <w:pPr>
      <w:widowControl/>
      <w:tabs>
        <w:tab w:val="left" w:pos="0"/>
        <w:tab w:val="left" w:pos="992"/>
        <w:tab w:val="left" w:pos="1152"/>
      </w:tabs>
      <w:spacing w:line="360" w:lineRule="auto"/>
      <w:ind w:firstLine="420"/>
      <w:jc w:val="left"/>
    </w:pPr>
    <w:rPr>
      <w:rFonts w:ascii="Arial" w:hAnsi="Arial"/>
      <w:kern w:val="0"/>
      <w:sz w:val="21"/>
      <w:szCs w:val="20"/>
    </w:rPr>
  </w:style>
  <w:style w:type="paragraph" w:customStyle="1" w:styleId="128">
    <w:name w:val="正文首行缩进2字符"/>
    <w:basedOn w:val="1"/>
    <w:link w:val="129"/>
    <w:autoRedefine/>
    <w:qFormat/>
    <w:uiPriority w:val="0"/>
    <w:pPr>
      <w:tabs>
        <w:tab w:val="left" w:pos="0"/>
        <w:tab w:val="left" w:pos="992"/>
        <w:tab w:val="left" w:pos="1152"/>
      </w:tabs>
      <w:spacing w:before="156" w:beforeLines="50" w:after="156" w:afterLines="50" w:line="360" w:lineRule="auto"/>
    </w:pPr>
    <w:rPr>
      <w:rFonts w:ascii="Segoe UI" w:hAnsi="宋体"/>
      <w:szCs w:val="20"/>
      <w:lang w:val="zh-CN"/>
    </w:rPr>
  </w:style>
  <w:style w:type="character" w:customStyle="1" w:styleId="129">
    <w:name w:val="正文首行缩进2字符 Char"/>
    <w:link w:val="128"/>
    <w:autoRedefine/>
    <w:qFormat/>
    <w:uiPriority w:val="0"/>
    <w:rPr>
      <w:rFonts w:ascii="Segoe UI" w:hAnsi="宋体" w:eastAsia="宋体" w:cs="Times New Roman"/>
      <w:kern w:val="2"/>
      <w:sz w:val="24"/>
      <w:lang w:val="zh-CN"/>
    </w:rPr>
  </w:style>
  <w:style w:type="paragraph" w:customStyle="1" w:styleId="130">
    <w:name w:val="Char Char Char Char Char Char Char Char Char Char Char Char Char Char Char Char"/>
    <w:basedOn w:val="1"/>
    <w:autoRedefine/>
    <w:qFormat/>
    <w:uiPriority w:val="0"/>
    <w:pPr>
      <w:tabs>
        <w:tab w:val="left" w:pos="360"/>
      </w:tabs>
      <w:adjustRightInd w:val="0"/>
      <w:spacing w:line="360" w:lineRule="auto"/>
      <w:ind w:left="482"/>
      <w:textAlignment w:val="baseline"/>
    </w:pPr>
    <w:rPr>
      <w:rFonts w:ascii="宋体"/>
      <w:kern w:val="0"/>
      <w:szCs w:val="20"/>
    </w:rPr>
  </w:style>
  <w:style w:type="paragraph" w:customStyle="1" w:styleId="131">
    <w:name w:val="样式 仿宋_GB2312 三号 行距: 1.5 倍行距"/>
    <w:basedOn w:val="1"/>
    <w:link w:val="132"/>
    <w:autoRedefine/>
    <w:qFormat/>
    <w:uiPriority w:val="0"/>
    <w:pPr>
      <w:tabs>
        <w:tab w:val="left" w:pos="0"/>
        <w:tab w:val="left" w:pos="992"/>
        <w:tab w:val="left" w:pos="1152"/>
      </w:tabs>
      <w:snapToGrid w:val="0"/>
      <w:spacing w:line="360" w:lineRule="auto"/>
      <w:ind w:firstLine="640"/>
    </w:pPr>
    <w:rPr>
      <w:rFonts w:ascii="仿宋_GB2312" w:eastAsia="仿宋_GB2312"/>
      <w:sz w:val="32"/>
      <w:szCs w:val="20"/>
      <w:lang w:val="zh-CN"/>
    </w:rPr>
  </w:style>
  <w:style w:type="character" w:customStyle="1" w:styleId="132">
    <w:name w:val="样式 仿宋_GB2312 三号 行距: 1.5 倍行距 Char"/>
    <w:link w:val="131"/>
    <w:autoRedefine/>
    <w:qFormat/>
    <w:uiPriority w:val="0"/>
    <w:rPr>
      <w:rFonts w:ascii="仿宋_GB2312" w:hAnsi="Times New Roman" w:eastAsia="仿宋_GB2312" w:cs="Times New Roman"/>
      <w:kern w:val="2"/>
      <w:sz w:val="32"/>
      <w:lang w:val="zh-CN"/>
    </w:rPr>
  </w:style>
  <w:style w:type="paragraph" w:customStyle="1" w:styleId="133">
    <w:name w:val="Body Indent 1st"/>
    <w:basedOn w:val="1"/>
    <w:link w:val="134"/>
    <w:autoRedefine/>
    <w:qFormat/>
    <w:uiPriority w:val="0"/>
    <w:pPr>
      <w:widowControl/>
      <w:tabs>
        <w:tab w:val="left" w:pos="0"/>
        <w:tab w:val="left" w:pos="992"/>
        <w:tab w:val="left" w:pos="1152"/>
      </w:tabs>
      <w:spacing w:before="180" w:after="60" w:line="240" w:lineRule="auto"/>
      <w:ind w:firstLine="476" w:firstLineChars="0"/>
    </w:pPr>
    <w:rPr>
      <w:rFonts w:ascii="Book Antiqua" w:hAnsi="Book Antiqua"/>
      <w:kern w:val="0"/>
      <w:szCs w:val="20"/>
      <w:lang w:val="zh-CN"/>
    </w:rPr>
  </w:style>
  <w:style w:type="character" w:customStyle="1" w:styleId="134">
    <w:name w:val="Body Indent 1st Char"/>
    <w:link w:val="133"/>
    <w:autoRedefine/>
    <w:qFormat/>
    <w:uiPriority w:val="0"/>
    <w:rPr>
      <w:rFonts w:ascii="Book Antiqua" w:hAnsi="Book Antiqua" w:eastAsia="宋体" w:cs="Times New Roman"/>
      <w:sz w:val="24"/>
      <w:lang w:val="zh-CN"/>
    </w:rPr>
  </w:style>
  <w:style w:type="character" w:customStyle="1" w:styleId="135">
    <w:name w:val="正文首行缩进 Char"/>
    <w:basedOn w:val="76"/>
    <w:autoRedefine/>
    <w:qFormat/>
    <w:uiPriority w:val="0"/>
    <w:rPr>
      <w:rFonts w:ascii="Times New Roman" w:hAnsi="Times New Roman" w:eastAsia="宋体" w:cs="Times New Roman"/>
      <w:kern w:val="2"/>
      <w:sz w:val="24"/>
      <w:szCs w:val="24"/>
    </w:rPr>
  </w:style>
  <w:style w:type="paragraph" w:customStyle="1" w:styleId="136">
    <w:name w:val="一级正文"/>
    <w:basedOn w:val="1"/>
    <w:link w:val="137"/>
    <w:autoRedefine/>
    <w:qFormat/>
    <w:uiPriority w:val="0"/>
    <w:pPr>
      <w:tabs>
        <w:tab w:val="left" w:pos="0"/>
        <w:tab w:val="left" w:pos="992"/>
        <w:tab w:val="left" w:pos="1152"/>
      </w:tabs>
      <w:spacing w:line="360" w:lineRule="auto"/>
    </w:pPr>
    <w:rPr>
      <w:lang w:val="zh-CN"/>
    </w:rPr>
  </w:style>
  <w:style w:type="character" w:customStyle="1" w:styleId="137">
    <w:name w:val="一级正文 Char"/>
    <w:link w:val="136"/>
    <w:autoRedefine/>
    <w:qFormat/>
    <w:uiPriority w:val="0"/>
    <w:rPr>
      <w:rFonts w:ascii="Times New Roman" w:hAnsi="Times New Roman" w:eastAsia="宋体" w:cs="Times New Roman"/>
      <w:kern w:val="2"/>
      <w:sz w:val="24"/>
      <w:szCs w:val="24"/>
      <w:lang w:val="zh-CN"/>
    </w:rPr>
  </w:style>
  <w:style w:type="paragraph" w:customStyle="1" w:styleId="138">
    <w:name w:val="Char Char Char Char Char Char Char Char Char Char Char Char"/>
    <w:basedOn w:val="1"/>
    <w:autoRedefine/>
    <w:qFormat/>
    <w:uiPriority w:val="0"/>
    <w:pPr>
      <w:tabs>
        <w:tab w:val="left" w:pos="0"/>
        <w:tab w:val="left" w:pos="992"/>
        <w:tab w:val="left" w:pos="1152"/>
      </w:tabs>
      <w:spacing w:line="360" w:lineRule="auto"/>
      <w:ind w:firstLine="0" w:firstLineChars="0"/>
    </w:pPr>
    <w:rPr>
      <w:rFonts w:ascii="Tahoma" w:hAnsi="Tahoma"/>
      <w:szCs w:val="20"/>
    </w:rPr>
  </w:style>
  <w:style w:type="paragraph" w:customStyle="1" w:styleId="139">
    <w:name w:val="正文无缩进"/>
    <w:basedOn w:val="20"/>
    <w:link w:val="140"/>
    <w:autoRedefine/>
    <w:qFormat/>
    <w:uiPriority w:val="0"/>
    <w:pPr>
      <w:tabs>
        <w:tab w:val="left" w:pos="0"/>
        <w:tab w:val="left" w:pos="992"/>
        <w:tab w:val="left" w:pos="1152"/>
      </w:tabs>
      <w:spacing w:before="156" w:beforeLines="50" w:after="156" w:afterLines="50" w:line="360" w:lineRule="auto"/>
    </w:pPr>
    <w:rPr>
      <w:sz w:val="21"/>
      <w:szCs w:val="20"/>
      <w:lang w:val="zh-CN"/>
    </w:rPr>
  </w:style>
  <w:style w:type="character" w:customStyle="1" w:styleId="140">
    <w:name w:val="正文无缩进 Char"/>
    <w:link w:val="139"/>
    <w:autoRedefine/>
    <w:qFormat/>
    <w:uiPriority w:val="0"/>
    <w:rPr>
      <w:rFonts w:ascii="Times New Roman" w:hAnsi="Times New Roman" w:eastAsia="宋体" w:cs="Times New Roman"/>
      <w:kern w:val="2"/>
      <w:sz w:val="21"/>
      <w:lang w:val="zh-CN"/>
    </w:rPr>
  </w:style>
  <w:style w:type="paragraph" w:customStyle="1" w:styleId="141">
    <w:name w:val="封面副标题"/>
    <w:autoRedefine/>
    <w:qFormat/>
    <w:uiPriority w:val="0"/>
    <w:pPr>
      <w:numPr>
        <w:ilvl w:val="0"/>
        <w:numId w:val="10"/>
      </w:numPr>
      <w:tabs>
        <w:tab w:val="clear" w:pos="420"/>
      </w:tabs>
      <w:spacing w:line="360" w:lineRule="auto"/>
      <w:ind w:left="0" w:firstLine="0"/>
      <w:jc w:val="center"/>
    </w:pPr>
    <w:rPr>
      <w:rFonts w:ascii="Arial" w:hAnsi="Arial" w:eastAsia="黑体" w:cs="Times New Roman"/>
      <w:sz w:val="32"/>
      <w:szCs w:val="24"/>
      <w:lang w:val="en-US" w:eastAsia="zh-CN" w:bidi="ar-SA"/>
    </w:rPr>
  </w:style>
  <w:style w:type="paragraph" w:customStyle="1" w:styleId="142">
    <w:name w:val="标准正文"/>
    <w:basedOn w:val="23"/>
    <w:autoRedefine/>
    <w:qFormat/>
    <w:uiPriority w:val="0"/>
    <w:pPr>
      <w:tabs>
        <w:tab w:val="left" w:pos="0"/>
        <w:tab w:val="left" w:pos="992"/>
        <w:tab w:val="left" w:pos="1152"/>
      </w:tabs>
      <w:spacing w:before="60" w:after="60" w:line="360" w:lineRule="auto"/>
      <w:ind w:left="0" w:leftChars="0" w:firstLine="482" w:firstLineChars="0"/>
    </w:pPr>
    <w:rPr>
      <w:rFonts w:ascii="Arial" w:hAnsi="Arial"/>
      <w:szCs w:val="20"/>
    </w:rPr>
  </w:style>
  <w:style w:type="character" w:customStyle="1" w:styleId="143">
    <w:name w:val="articlebody3"/>
    <w:autoRedefine/>
    <w:qFormat/>
    <w:uiPriority w:val="0"/>
    <w:rPr>
      <w:sz w:val="21"/>
      <w:szCs w:val="21"/>
    </w:rPr>
  </w:style>
  <w:style w:type="paragraph" w:customStyle="1" w:styleId="144">
    <w:name w:val="正文文字样式"/>
    <w:basedOn w:val="1"/>
    <w:link w:val="145"/>
    <w:autoRedefine/>
    <w:qFormat/>
    <w:uiPriority w:val="0"/>
    <w:pPr>
      <w:tabs>
        <w:tab w:val="left" w:pos="0"/>
        <w:tab w:val="left" w:pos="992"/>
        <w:tab w:val="left" w:pos="1152"/>
      </w:tabs>
    </w:pPr>
    <w:rPr>
      <w:lang w:val="zh-CN"/>
    </w:rPr>
  </w:style>
  <w:style w:type="character" w:customStyle="1" w:styleId="145">
    <w:name w:val="正文文字样式 Char Char"/>
    <w:link w:val="144"/>
    <w:autoRedefine/>
    <w:qFormat/>
    <w:uiPriority w:val="0"/>
    <w:rPr>
      <w:rFonts w:ascii="Times New Roman" w:hAnsi="Times New Roman" w:eastAsia="宋体" w:cs="Times New Roman"/>
      <w:kern w:val="2"/>
      <w:sz w:val="24"/>
      <w:szCs w:val="24"/>
      <w:lang w:val="zh-CN"/>
    </w:rPr>
  </w:style>
  <w:style w:type="paragraph" w:customStyle="1" w:styleId="146">
    <w:name w:val="p15"/>
    <w:basedOn w:val="1"/>
    <w:autoRedefine/>
    <w:qFormat/>
    <w:uiPriority w:val="0"/>
    <w:pPr>
      <w:widowControl/>
      <w:tabs>
        <w:tab w:val="left" w:pos="0"/>
        <w:tab w:val="left" w:pos="992"/>
        <w:tab w:val="left" w:pos="1152"/>
      </w:tabs>
      <w:snapToGrid w:val="0"/>
      <w:spacing w:line="400" w:lineRule="atLeast"/>
      <w:ind w:firstLine="0" w:firstLineChars="0"/>
      <w:textAlignment w:val="baseline"/>
    </w:pPr>
    <w:rPr>
      <w:kern w:val="0"/>
    </w:rPr>
  </w:style>
  <w:style w:type="paragraph" w:customStyle="1" w:styleId="147">
    <w:name w:val="正文(表格使用)"/>
    <w:basedOn w:val="1"/>
    <w:next w:val="1"/>
    <w:autoRedefine/>
    <w:qFormat/>
    <w:uiPriority w:val="0"/>
    <w:pPr>
      <w:tabs>
        <w:tab w:val="left" w:pos="0"/>
        <w:tab w:val="left" w:pos="992"/>
        <w:tab w:val="left" w:pos="1152"/>
      </w:tabs>
      <w:spacing w:line="240" w:lineRule="auto"/>
      <w:ind w:firstLine="0" w:firstLineChars="0"/>
      <w:jc w:val="center"/>
    </w:pPr>
    <w:rPr>
      <w:sz w:val="21"/>
      <w:szCs w:val="20"/>
    </w:rPr>
  </w:style>
  <w:style w:type="paragraph" w:customStyle="1" w:styleId="148">
    <w:name w:val="Char1"/>
    <w:basedOn w:val="1"/>
    <w:autoRedefine/>
    <w:qFormat/>
    <w:uiPriority w:val="0"/>
    <w:pPr>
      <w:tabs>
        <w:tab w:val="left" w:pos="0"/>
        <w:tab w:val="left" w:pos="992"/>
        <w:tab w:val="left" w:pos="1152"/>
      </w:tabs>
      <w:spacing w:line="240" w:lineRule="auto"/>
      <w:ind w:firstLine="0" w:firstLineChars="0"/>
    </w:pPr>
    <w:rPr>
      <w:sz w:val="21"/>
    </w:rPr>
  </w:style>
  <w:style w:type="paragraph" w:customStyle="1" w:styleId="149">
    <w:name w:val="样式 正文"/>
    <w:basedOn w:val="1"/>
    <w:autoRedefine/>
    <w:qFormat/>
    <w:uiPriority w:val="0"/>
    <w:pPr>
      <w:tabs>
        <w:tab w:val="left" w:pos="0"/>
        <w:tab w:val="left" w:pos="992"/>
        <w:tab w:val="left" w:pos="1152"/>
      </w:tabs>
      <w:spacing w:line="360" w:lineRule="auto"/>
      <w:jc w:val="left"/>
    </w:pPr>
    <w:rPr>
      <w:rFonts w:ascii="宋体" w:hAnsi="宋体" w:cs="宋体"/>
      <w:szCs w:val="20"/>
    </w:rPr>
  </w:style>
  <w:style w:type="paragraph" w:customStyle="1" w:styleId="150">
    <w:name w:val="标书正文"/>
    <w:link w:val="151"/>
    <w:autoRedefine/>
    <w:qFormat/>
    <w:uiPriority w:val="0"/>
    <w:pPr>
      <w:spacing w:line="360" w:lineRule="auto"/>
      <w:ind w:firstLine="200" w:firstLineChars="200"/>
    </w:pPr>
    <w:rPr>
      <w:rFonts w:ascii="Calibri" w:hAnsi="Calibri" w:eastAsia="宋体" w:cs="Times New Roman"/>
      <w:sz w:val="24"/>
      <w:szCs w:val="22"/>
      <w:lang w:val="en-US" w:eastAsia="zh-CN" w:bidi="ar-SA"/>
    </w:rPr>
  </w:style>
  <w:style w:type="character" w:customStyle="1" w:styleId="151">
    <w:name w:val="标书正文 Char"/>
    <w:link w:val="150"/>
    <w:autoRedefine/>
    <w:qFormat/>
    <w:uiPriority w:val="0"/>
    <w:rPr>
      <w:rFonts w:ascii="Calibri" w:hAnsi="Calibri" w:eastAsia="宋体" w:cs="Times New Roman"/>
      <w:sz w:val="24"/>
      <w:szCs w:val="22"/>
    </w:rPr>
  </w:style>
  <w:style w:type="paragraph" w:customStyle="1" w:styleId="152">
    <w:name w:val="demo正文"/>
    <w:basedOn w:val="1"/>
    <w:link w:val="153"/>
    <w:autoRedefine/>
    <w:qFormat/>
    <w:uiPriority w:val="0"/>
    <w:pPr>
      <w:tabs>
        <w:tab w:val="left" w:pos="0"/>
        <w:tab w:val="left" w:pos="992"/>
        <w:tab w:val="left" w:pos="1152"/>
      </w:tabs>
      <w:spacing w:line="360" w:lineRule="auto"/>
      <w:ind w:firstLine="420"/>
    </w:pPr>
    <w:rPr>
      <w:rFonts w:ascii="宋体" w:hAnsi="宋体"/>
      <w:kern w:val="0"/>
      <w:szCs w:val="21"/>
      <w:lang w:val="zh-CN"/>
    </w:rPr>
  </w:style>
  <w:style w:type="character" w:customStyle="1" w:styleId="153">
    <w:name w:val="demo正文 Char"/>
    <w:link w:val="152"/>
    <w:autoRedefine/>
    <w:qFormat/>
    <w:uiPriority w:val="0"/>
    <w:rPr>
      <w:rFonts w:ascii="宋体" w:hAnsi="宋体" w:eastAsia="宋体" w:cs="Times New Roman"/>
      <w:sz w:val="24"/>
      <w:szCs w:val="21"/>
      <w:lang w:val="zh-CN"/>
    </w:rPr>
  </w:style>
  <w:style w:type="paragraph" w:customStyle="1" w:styleId="154">
    <w:name w:val="Char"/>
    <w:basedOn w:val="1"/>
    <w:autoRedefine/>
    <w:qFormat/>
    <w:uiPriority w:val="0"/>
    <w:pPr>
      <w:tabs>
        <w:tab w:val="left" w:pos="0"/>
        <w:tab w:val="left" w:pos="992"/>
        <w:tab w:val="left" w:pos="1152"/>
      </w:tabs>
      <w:spacing w:line="240" w:lineRule="auto"/>
      <w:ind w:firstLine="0" w:firstLineChars="0"/>
    </w:pPr>
    <w:rPr>
      <w:sz w:val="21"/>
    </w:rPr>
  </w:style>
  <w:style w:type="paragraph" w:customStyle="1" w:styleId="155">
    <w:name w:val="样式 标题 2标题12nd levelh22Header 2H2UNDERRUBRIK 1-2sect 1.2..."/>
    <w:basedOn w:val="3"/>
    <w:autoRedefine/>
    <w:qFormat/>
    <w:uiPriority w:val="0"/>
    <w:pPr>
      <w:tabs>
        <w:tab w:val="left" w:pos="0"/>
        <w:tab w:val="left" w:pos="432"/>
        <w:tab w:val="left" w:pos="576"/>
      </w:tabs>
      <w:snapToGrid/>
      <w:spacing w:line="360" w:lineRule="auto"/>
      <w:ind w:left="576"/>
    </w:pPr>
    <w:rPr>
      <w:rFonts w:ascii="宋体" w:hAnsi="宋体"/>
      <w:lang w:val="zh-CN"/>
    </w:rPr>
  </w:style>
  <w:style w:type="paragraph" w:customStyle="1" w:styleId="156">
    <w:name w:val="Char Char Char"/>
    <w:basedOn w:val="1"/>
    <w:autoRedefine/>
    <w:qFormat/>
    <w:uiPriority w:val="0"/>
    <w:pPr>
      <w:tabs>
        <w:tab w:val="left" w:pos="0"/>
        <w:tab w:val="left" w:pos="992"/>
        <w:tab w:val="left" w:pos="1152"/>
      </w:tabs>
      <w:spacing w:line="360" w:lineRule="auto"/>
      <w:ind w:firstLine="0" w:firstLineChars="0"/>
    </w:pPr>
    <w:rPr>
      <w:rFonts w:ascii="Tahoma" w:hAnsi="Tahoma"/>
      <w:szCs w:val="20"/>
    </w:rPr>
  </w:style>
  <w:style w:type="paragraph" w:customStyle="1" w:styleId="157">
    <w:name w:val="Char Char Char1 Char Char Char Char Char Char Char Char Char Char Char Char Char Char Char Char Char Char1 Char Char Char Char Char Char Char Char Char Char Char Char Char Char Char Char Char"/>
    <w:basedOn w:val="1"/>
    <w:autoRedefine/>
    <w:qFormat/>
    <w:uiPriority w:val="0"/>
    <w:pPr>
      <w:tabs>
        <w:tab w:val="left" w:pos="0"/>
        <w:tab w:val="left" w:pos="992"/>
        <w:tab w:val="left" w:pos="1152"/>
      </w:tabs>
      <w:spacing w:line="360" w:lineRule="auto"/>
      <w:ind w:firstLine="0" w:firstLineChars="0"/>
    </w:pPr>
    <w:rPr>
      <w:sz w:val="21"/>
    </w:rPr>
  </w:style>
  <w:style w:type="paragraph" w:customStyle="1" w:styleId="158">
    <w:name w:val="样式 小四 首行缩进:  2 字符 段前: 7.8 磅 行距: 1.5 倍行距"/>
    <w:basedOn w:val="1"/>
    <w:autoRedefine/>
    <w:qFormat/>
    <w:uiPriority w:val="0"/>
    <w:pPr>
      <w:tabs>
        <w:tab w:val="left" w:pos="0"/>
        <w:tab w:val="left" w:pos="992"/>
        <w:tab w:val="left" w:pos="1152"/>
      </w:tabs>
      <w:spacing w:line="360" w:lineRule="auto"/>
    </w:pPr>
    <w:rPr>
      <w:rFonts w:cs="宋体"/>
      <w:szCs w:val="20"/>
    </w:rPr>
  </w:style>
  <w:style w:type="paragraph" w:customStyle="1" w:styleId="159">
    <w:name w:val="标书表格"/>
    <w:autoRedefine/>
    <w:qFormat/>
    <w:uiPriority w:val="0"/>
    <w:pPr>
      <w:spacing w:line="288" w:lineRule="auto"/>
    </w:pPr>
    <w:rPr>
      <w:rFonts w:ascii="Calibri" w:hAnsi="Calibri" w:eastAsia="宋体" w:cs="Times New Roman"/>
      <w:kern w:val="2"/>
      <w:sz w:val="24"/>
      <w:szCs w:val="22"/>
      <w:lang w:val="en-US" w:eastAsia="zh-CN" w:bidi="ar-SA"/>
    </w:rPr>
  </w:style>
  <w:style w:type="paragraph" w:customStyle="1" w:styleId="160">
    <w:name w:val="Char2"/>
    <w:basedOn w:val="1"/>
    <w:link w:val="161"/>
    <w:autoRedefine/>
    <w:qFormat/>
    <w:uiPriority w:val="0"/>
    <w:pPr>
      <w:tabs>
        <w:tab w:val="left" w:pos="0"/>
        <w:tab w:val="left" w:pos="992"/>
        <w:tab w:val="left" w:pos="1152"/>
      </w:tabs>
      <w:spacing w:line="360" w:lineRule="auto"/>
      <w:ind w:firstLine="0" w:firstLineChars="0"/>
    </w:pPr>
    <w:rPr>
      <w:lang w:val="zh-CN"/>
    </w:rPr>
  </w:style>
  <w:style w:type="character" w:customStyle="1" w:styleId="161">
    <w:name w:val="Char Char"/>
    <w:link w:val="160"/>
    <w:autoRedefine/>
    <w:qFormat/>
    <w:uiPriority w:val="0"/>
    <w:rPr>
      <w:rFonts w:ascii="Times New Roman" w:hAnsi="Times New Roman" w:eastAsia="宋体" w:cs="Times New Roman"/>
      <w:kern w:val="2"/>
      <w:sz w:val="24"/>
      <w:szCs w:val="24"/>
      <w:lang w:val="zh-CN"/>
    </w:rPr>
  </w:style>
  <w:style w:type="paragraph" w:customStyle="1" w:styleId="162">
    <w:name w:val="章标题"/>
    <w:next w:val="1"/>
    <w:autoRedefine/>
    <w:qFormat/>
    <w:uiPriority w:val="0"/>
    <w:pPr>
      <w:numPr>
        <w:ilvl w:val="1"/>
        <w:numId w:val="11"/>
      </w:numPr>
      <w:tabs>
        <w:tab w:val="left" w:pos="420"/>
      </w:tabs>
      <w:spacing w:before="156" w:beforeLines="50" w:after="156" w:afterLines="50"/>
      <w:jc w:val="both"/>
      <w:outlineLvl w:val="0"/>
    </w:pPr>
    <w:rPr>
      <w:rFonts w:ascii="Times New Roman" w:hAnsi="Times New Roman" w:eastAsia="黑体" w:cs="Times New Roman"/>
      <w:b/>
      <w:sz w:val="21"/>
      <w:lang w:val="en-US" w:eastAsia="zh-CN" w:bidi="ar-SA"/>
    </w:rPr>
  </w:style>
  <w:style w:type="paragraph" w:customStyle="1" w:styleId="163">
    <w:name w:val="一级条标题"/>
    <w:basedOn w:val="162"/>
    <w:next w:val="1"/>
    <w:autoRedefine/>
    <w:qFormat/>
    <w:uiPriority w:val="0"/>
    <w:pPr>
      <w:numPr>
        <w:ilvl w:val="2"/>
      </w:numPr>
      <w:tabs>
        <w:tab w:val="clear" w:pos="420"/>
      </w:tabs>
      <w:spacing w:before="0" w:beforeLines="0" w:after="0" w:afterLines="0"/>
      <w:ind w:left="0"/>
      <w:outlineLvl w:val="1"/>
    </w:pPr>
  </w:style>
  <w:style w:type="paragraph" w:customStyle="1" w:styleId="164">
    <w:name w:val="二级条标题"/>
    <w:basedOn w:val="163"/>
    <w:next w:val="1"/>
    <w:autoRedefine/>
    <w:qFormat/>
    <w:uiPriority w:val="0"/>
    <w:pPr>
      <w:numPr>
        <w:ilvl w:val="3"/>
      </w:numPr>
      <w:outlineLvl w:val="2"/>
    </w:pPr>
  </w:style>
  <w:style w:type="paragraph" w:customStyle="1" w:styleId="165">
    <w:name w:val="三级条标题"/>
    <w:basedOn w:val="164"/>
    <w:next w:val="1"/>
    <w:autoRedefine/>
    <w:qFormat/>
    <w:uiPriority w:val="0"/>
    <w:pPr>
      <w:numPr>
        <w:ilvl w:val="4"/>
      </w:numPr>
      <w:tabs>
        <w:tab w:val="left" w:pos="945"/>
      </w:tabs>
      <w:outlineLvl w:val="3"/>
    </w:pPr>
  </w:style>
  <w:style w:type="paragraph" w:customStyle="1" w:styleId="166">
    <w:name w:val="四级条标题"/>
    <w:basedOn w:val="165"/>
    <w:next w:val="1"/>
    <w:autoRedefine/>
    <w:qFormat/>
    <w:uiPriority w:val="0"/>
    <w:pPr>
      <w:numPr>
        <w:ilvl w:val="5"/>
      </w:numPr>
      <w:tabs>
        <w:tab w:val="left" w:pos="1155"/>
        <w:tab w:val="clear" w:pos="945"/>
      </w:tabs>
      <w:outlineLvl w:val="5"/>
    </w:pPr>
  </w:style>
  <w:style w:type="paragraph" w:customStyle="1" w:styleId="167">
    <w:name w:val="五级条标题"/>
    <w:basedOn w:val="166"/>
    <w:next w:val="1"/>
    <w:autoRedefine/>
    <w:qFormat/>
    <w:uiPriority w:val="0"/>
    <w:pPr>
      <w:numPr>
        <w:ilvl w:val="6"/>
      </w:numPr>
      <w:tabs>
        <w:tab w:val="left" w:pos="1407"/>
        <w:tab w:val="clear" w:pos="1155"/>
      </w:tabs>
      <w:outlineLvl w:val="6"/>
    </w:pPr>
  </w:style>
  <w:style w:type="paragraph" w:customStyle="1" w:styleId="168">
    <w:name w:val="_标准条文"/>
    <w:basedOn w:val="1"/>
    <w:link w:val="169"/>
    <w:autoRedefine/>
    <w:qFormat/>
    <w:uiPriority w:val="0"/>
    <w:pPr>
      <w:tabs>
        <w:tab w:val="left" w:pos="0"/>
        <w:tab w:val="left" w:pos="992"/>
        <w:tab w:val="left" w:pos="1152"/>
      </w:tabs>
      <w:overflowPunct w:val="0"/>
      <w:snapToGrid w:val="0"/>
      <w:spacing w:line="276" w:lineRule="auto"/>
      <w:ind w:firstLine="420"/>
    </w:pPr>
    <w:rPr>
      <w:rFonts w:ascii="Arial" w:hAnsi="Arial" w:cs="宋体"/>
      <w:sz w:val="21"/>
      <w:szCs w:val="20"/>
    </w:rPr>
  </w:style>
  <w:style w:type="character" w:customStyle="1" w:styleId="169">
    <w:name w:val="_标准条文 Char"/>
    <w:link w:val="168"/>
    <w:autoRedefine/>
    <w:qFormat/>
    <w:uiPriority w:val="0"/>
    <w:rPr>
      <w:rFonts w:ascii="Arial" w:hAnsi="Arial" w:eastAsia="宋体" w:cs="宋体"/>
      <w:kern w:val="2"/>
      <w:sz w:val="21"/>
    </w:rPr>
  </w:style>
  <w:style w:type="paragraph" w:customStyle="1" w:styleId="170">
    <w:name w:val="公式"/>
    <w:basedOn w:val="168"/>
    <w:autoRedefine/>
    <w:qFormat/>
    <w:uiPriority w:val="0"/>
    <w:pPr>
      <w:tabs>
        <w:tab w:val="center" w:pos="4706"/>
        <w:tab w:val="right" w:pos="9412"/>
      </w:tabs>
      <w:overflowPunct/>
      <w:topLinePunct/>
      <w:spacing w:before="40" w:after="40" w:line="240" w:lineRule="auto"/>
      <w:ind w:firstLine="0" w:firstLineChars="0"/>
    </w:pPr>
    <w:rPr>
      <w:rFonts w:ascii="Times New Roman" w:hAnsi="Times New Roman" w:cs="Times New Roman"/>
      <w:position w:val="-24"/>
      <w:szCs w:val="21"/>
      <w:lang w:val="zh-CN"/>
    </w:rPr>
  </w:style>
  <w:style w:type="paragraph" w:customStyle="1" w:styleId="171">
    <w:name w:val="font5"/>
    <w:basedOn w:val="1"/>
    <w:autoRedefine/>
    <w:qFormat/>
    <w:uiPriority w:val="0"/>
    <w:pPr>
      <w:widowControl/>
      <w:tabs>
        <w:tab w:val="left" w:pos="0"/>
        <w:tab w:val="left" w:pos="992"/>
        <w:tab w:val="left" w:pos="1152"/>
      </w:tabs>
      <w:spacing w:before="100" w:beforeAutospacing="1" w:after="100" w:afterAutospacing="1" w:line="240" w:lineRule="auto"/>
      <w:ind w:firstLine="0" w:firstLineChars="0"/>
      <w:jc w:val="left"/>
    </w:pPr>
    <w:rPr>
      <w:rFonts w:ascii="宋体" w:hAnsi="宋体" w:cs="宋体"/>
      <w:kern w:val="0"/>
      <w:sz w:val="18"/>
      <w:szCs w:val="18"/>
    </w:rPr>
  </w:style>
  <w:style w:type="paragraph" w:customStyle="1" w:styleId="172">
    <w:name w:val="font6"/>
    <w:basedOn w:val="1"/>
    <w:autoRedefine/>
    <w:qFormat/>
    <w:uiPriority w:val="0"/>
    <w:pPr>
      <w:widowControl/>
      <w:tabs>
        <w:tab w:val="left" w:pos="0"/>
        <w:tab w:val="left" w:pos="992"/>
        <w:tab w:val="left" w:pos="1152"/>
      </w:tabs>
      <w:spacing w:before="100" w:beforeAutospacing="1" w:after="100" w:afterAutospacing="1" w:line="240" w:lineRule="auto"/>
      <w:ind w:firstLine="0" w:firstLineChars="0"/>
      <w:jc w:val="left"/>
    </w:pPr>
    <w:rPr>
      <w:rFonts w:ascii="宋体" w:hAnsi="宋体" w:cs="宋体"/>
      <w:kern w:val="0"/>
      <w:sz w:val="18"/>
      <w:szCs w:val="18"/>
    </w:rPr>
  </w:style>
  <w:style w:type="paragraph" w:customStyle="1" w:styleId="173">
    <w:name w:val="font7"/>
    <w:basedOn w:val="1"/>
    <w:autoRedefine/>
    <w:qFormat/>
    <w:uiPriority w:val="0"/>
    <w:pPr>
      <w:widowControl/>
      <w:tabs>
        <w:tab w:val="left" w:pos="0"/>
        <w:tab w:val="left" w:pos="992"/>
        <w:tab w:val="left" w:pos="1152"/>
      </w:tabs>
      <w:spacing w:before="100" w:beforeAutospacing="1" w:after="100" w:afterAutospacing="1" w:line="240" w:lineRule="auto"/>
      <w:ind w:firstLine="0" w:firstLineChars="0"/>
      <w:jc w:val="left"/>
    </w:pPr>
    <w:rPr>
      <w:rFonts w:ascii="宋体" w:hAnsi="宋体" w:cs="宋体"/>
      <w:kern w:val="0"/>
      <w:sz w:val="18"/>
      <w:szCs w:val="18"/>
    </w:rPr>
  </w:style>
  <w:style w:type="paragraph" w:customStyle="1" w:styleId="174">
    <w:name w:val="xl66"/>
    <w:basedOn w:val="1"/>
    <w:autoRedefine/>
    <w:qFormat/>
    <w:uiPriority w:val="0"/>
    <w:pPr>
      <w:widowControl/>
      <w:tabs>
        <w:tab w:val="left" w:pos="0"/>
        <w:tab w:val="left" w:pos="992"/>
        <w:tab w:val="left" w:pos="1152"/>
      </w:tabs>
      <w:spacing w:before="100" w:beforeAutospacing="1" w:after="100" w:afterAutospacing="1" w:line="240" w:lineRule="auto"/>
      <w:ind w:firstLine="0" w:firstLineChars="0"/>
      <w:jc w:val="left"/>
    </w:pPr>
    <w:rPr>
      <w:rFonts w:ascii="微软雅黑" w:hAnsi="微软雅黑" w:eastAsia="微软雅黑" w:cs="宋体"/>
      <w:kern w:val="0"/>
    </w:rPr>
  </w:style>
  <w:style w:type="paragraph" w:customStyle="1" w:styleId="175">
    <w:name w:val="xl67"/>
    <w:basedOn w:val="1"/>
    <w:autoRedefine/>
    <w:qFormat/>
    <w:uiPriority w:val="0"/>
    <w:pPr>
      <w:widowControl/>
      <w:pBdr>
        <w:top w:val="single" w:color="auto" w:sz="4" w:space="0"/>
        <w:left w:val="single" w:color="auto" w:sz="4" w:space="0"/>
        <w:bottom w:val="single" w:color="auto" w:sz="4" w:space="0"/>
        <w:right w:val="single" w:color="auto" w:sz="4" w:space="0"/>
      </w:pBdr>
      <w:tabs>
        <w:tab w:val="left" w:pos="0"/>
        <w:tab w:val="left" w:pos="992"/>
        <w:tab w:val="left" w:pos="1152"/>
      </w:tabs>
      <w:spacing w:before="100" w:beforeAutospacing="1" w:after="100" w:afterAutospacing="1" w:line="240" w:lineRule="auto"/>
      <w:ind w:firstLine="0" w:firstLineChars="0"/>
      <w:jc w:val="center"/>
    </w:pPr>
    <w:rPr>
      <w:rFonts w:ascii="微软雅黑" w:hAnsi="微软雅黑" w:eastAsia="微软雅黑" w:cs="宋体"/>
      <w:b/>
      <w:bCs/>
      <w:kern w:val="0"/>
    </w:rPr>
  </w:style>
  <w:style w:type="paragraph" w:customStyle="1" w:styleId="176">
    <w:name w:val="xl68"/>
    <w:basedOn w:val="1"/>
    <w:autoRedefine/>
    <w:qFormat/>
    <w:uiPriority w:val="0"/>
    <w:pPr>
      <w:widowControl/>
      <w:pBdr>
        <w:top w:val="single" w:color="auto" w:sz="4" w:space="0"/>
        <w:left w:val="single" w:color="auto" w:sz="4" w:space="0"/>
        <w:bottom w:val="single" w:color="auto" w:sz="4" w:space="0"/>
        <w:right w:val="single" w:color="auto" w:sz="4" w:space="0"/>
      </w:pBdr>
      <w:tabs>
        <w:tab w:val="left" w:pos="0"/>
        <w:tab w:val="left" w:pos="992"/>
        <w:tab w:val="left" w:pos="1152"/>
      </w:tabs>
      <w:spacing w:before="100" w:beforeAutospacing="1" w:after="100" w:afterAutospacing="1" w:line="240" w:lineRule="auto"/>
      <w:ind w:firstLine="0" w:firstLineChars="0"/>
      <w:jc w:val="center"/>
    </w:pPr>
    <w:rPr>
      <w:rFonts w:ascii="微软雅黑" w:hAnsi="微软雅黑" w:eastAsia="微软雅黑" w:cs="宋体"/>
      <w:b/>
      <w:bCs/>
      <w:kern w:val="0"/>
    </w:rPr>
  </w:style>
  <w:style w:type="paragraph" w:customStyle="1" w:styleId="177">
    <w:name w:val="xl69"/>
    <w:basedOn w:val="1"/>
    <w:autoRedefine/>
    <w:qFormat/>
    <w:uiPriority w:val="0"/>
    <w:pPr>
      <w:widowControl/>
      <w:pBdr>
        <w:top w:val="single" w:color="auto" w:sz="4" w:space="0"/>
        <w:left w:val="single" w:color="auto" w:sz="4" w:space="0"/>
        <w:bottom w:val="single" w:color="auto" w:sz="4" w:space="0"/>
        <w:right w:val="single" w:color="auto" w:sz="4" w:space="0"/>
      </w:pBdr>
      <w:tabs>
        <w:tab w:val="left" w:pos="0"/>
        <w:tab w:val="left" w:pos="992"/>
        <w:tab w:val="left" w:pos="1152"/>
      </w:tabs>
      <w:spacing w:before="100" w:beforeAutospacing="1" w:after="100" w:afterAutospacing="1" w:line="240" w:lineRule="auto"/>
      <w:ind w:firstLine="0" w:firstLineChars="0"/>
      <w:jc w:val="left"/>
    </w:pPr>
    <w:rPr>
      <w:rFonts w:ascii="微软雅黑" w:hAnsi="微软雅黑" w:eastAsia="微软雅黑" w:cs="宋体"/>
      <w:b/>
      <w:bCs/>
      <w:kern w:val="0"/>
    </w:rPr>
  </w:style>
  <w:style w:type="paragraph" w:customStyle="1" w:styleId="178">
    <w:name w:val="xl70"/>
    <w:basedOn w:val="1"/>
    <w:autoRedefine/>
    <w:qFormat/>
    <w:uiPriority w:val="0"/>
    <w:pPr>
      <w:widowControl/>
      <w:pBdr>
        <w:top w:val="single" w:color="auto" w:sz="4" w:space="0"/>
        <w:left w:val="single" w:color="auto" w:sz="4" w:space="0"/>
        <w:bottom w:val="single" w:color="auto" w:sz="4" w:space="0"/>
        <w:right w:val="single" w:color="auto" w:sz="4" w:space="0"/>
      </w:pBdr>
      <w:tabs>
        <w:tab w:val="left" w:pos="0"/>
        <w:tab w:val="left" w:pos="992"/>
        <w:tab w:val="left" w:pos="1152"/>
      </w:tabs>
      <w:spacing w:before="100" w:beforeAutospacing="1" w:after="100" w:afterAutospacing="1" w:line="240" w:lineRule="auto"/>
      <w:ind w:firstLine="0" w:firstLineChars="0"/>
      <w:jc w:val="left"/>
    </w:pPr>
    <w:rPr>
      <w:rFonts w:ascii="微软雅黑" w:hAnsi="微软雅黑" w:eastAsia="微软雅黑" w:cs="宋体"/>
      <w:b/>
      <w:bCs/>
      <w:kern w:val="0"/>
    </w:rPr>
  </w:style>
  <w:style w:type="paragraph" w:customStyle="1" w:styleId="179">
    <w:name w:val="xl71"/>
    <w:basedOn w:val="1"/>
    <w:autoRedefine/>
    <w:qFormat/>
    <w:uiPriority w:val="0"/>
    <w:pPr>
      <w:widowControl/>
      <w:pBdr>
        <w:top w:val="single" w:color="auto" w:sz="4" w:space="0"/>
        <w:left w:val="single" w:color="auto" w:sz="4" w:space="0"/>
        <w:bottom w:val="single" w:color="auto" w:sz="4" w:space="0"/>
        <w:right w:val="single" w:color="auto" w:sz="4" w:space="0"/>
      </w:pBdr>
      <w:tabs>
        <w:tab w:val="left" w:pos="0"/>
        <w:tab w:val="left" w:pos="992"/>
        <w:tab w:val="left" w:pos="1152"/>
      </w:tabs>
      <w:spacing w:before="100" w:beforeAutospacing="1" w:after="100" w:afterAutospacing="1" w:line="240" w:lineRule="auto"/>
      <w:ind w:firstLine="0" w:firstLineChars="0"/>
      <w:jc w:val="left"/>
    </w:pPr>
    <w:rPr>
      <w:rFonts w:ascii="微软雅黑" w:hAnsi="微软雅黑" w:eastAsia="微软雅黑" w:cs="宋体"/>
      <w:kern w:val="0"/>
    </w:rPr>
  </w:style>
  <w:style w:type="paragraph" w:customStyle="1" w:styleId="180">
    <w:name w:val="xl72"/>
    <w:basedOn w:val="1"/>
    <w:autoRedefine/>
    <w:qFormat/>
    <w:uiPriority w:val="0"/>
    <w:pPr>
      <w:widowControl/>
      <w:pBdr>
        <w:top w:val="single" w:color="auto" w:sz="4" w:space="0"/>
        <w:left w:val="single" w:color="auto" w:sz="4" w:space="0"/>
        <w:bottom w:val="single" w:color="auto" w:sz="4" w:space="0"/>
        <w:right w:val="single" w:color="auto" w:sz="4" w:space="0"/>
      </w:pBdr>
      <w:tabs>
        <w:tab w:val="left" w:pos="0"/>
        <w:tab w:val="left" w:pos="992"/>
        <w:tab w:val="left" w:pos="1152"/>
      </w:tabs>
      <w:spacing w:before="100" w:beforeAutospacing="1" w:after="100" w:afterAutospacing="1" w:line="240" w:lineRule="auto"/>
      <w:ind w:firstLine="0" w:firstLineChars="0"/>
      <w:jc w:val="center"/>
    </w:pPr>
    <w:rPr>
      <w:rFonts w:ascii="微软雅黑" w:hAnsi="微软雅黑" w:eastAsia="微软雅黑" w:cs="宋体"/>
      <w:kern w:val="0"/>
    </w:rPr>
  </w:style>
  <w:style w:type="paragraph" w:customStyle="1" w:styleId="181">
    <w:name w:val="xl73"/>
    <w:basedOn w:val="1"/>
    <w:autoRedefine/>
    <w:qFormat/>
    <w:uiPriority w:val="0"/>
    <w:pPr>
      <w:widowControl/>
      <w:pBdr>
        <w:top w:val="single" w:color="auto" w:sz="4" w:space="0"/>
        <w:left w:val="single" w:color="auto" w:sz="4" w:space="0"/>
        <w:bottom w:val="single" w:color="auto" w:sz="4" w:space="0"/>
        <w:right w:val="single" w:color="auto" w:sz="4" w:space="0"/>
      </w:pBdr>
      <w:tabs>
        <w:tab w:val="left" w:pos="0"/>
        <w:tab w:val="left" w:pos="992"/>
        <w:tab w:val="left" w:pos="1152"/>
      </w:tabs>
      <w:spacing w:before="100" w:beforeAutospacing="1" w:after="100" w:afterAutospacing="1" w:line="240" w:lineRule="auto"/>
      <w:ind w:firstLine="0" w:firstLineChars="0"/>
      <w:jc w:val="left"/>
    </w:pPr>
    <w:rPr>
      <w:rFonts w:ascii="微软雅黑" w:hAnsi="微软雅黑" w:eastAsia="微软雅黑" w:cs="宋体"/>
      <w:b/>
      <w:bCs/>
      <w:kern w:val="0"/>
    </w:rPr>
  </w:style>
  <w:style w:type="paragraph" w:customStyle="1" w:styleId="182">
    <w:name w:val="xl74"/>
    <w:basedOn w:val="1"/>
    <w:autoRedefine/>
    <w:qFormat/>
    <w:uiPriority w:val="0"/>
    <w:pPr>
      <w:widowControl/>
      <w:pBdr>
        <w:top w:val="single" w:color="auto" w:sz="4" w:space="0"/>
        <w:left w:val="single" w:color="auto" w:sz="4" w:space="0"/>
        <w:bottom w:val="single" w:color="auto" w:sz="4" w:space="0"/>
        <w:right w:val="single" w:color="auto" w:sz="4" w:space="0"/>
      </w:pBdr>
      <w:tabs>
        <w:tab w:val="left" w:pos="0"/>
        <w:tab w:val="left" w:pos="992"/>
        <w:tab w:val="left" w:pos="1152"/>
      </w:tabs>
      <w:spacing w:before="100" w:beforeAutospacing="1" w:after="100" w:afterAutospacing="1" w:line="240" w:lineRule="auto"/>
      <w:ind w:firstLine="0" w:firstLineChars="0"/>
      <w:jc w:val="left"/>
    </w:pPr>
    <w:rPr>
      <w:rFonts w:ascii="微软雅黑" w:hAnsi="微软雅黑" w:eastAsia="微软雅黑" w:cs="宋体"/>
      <w:b/>
      <w:bCs/>
      <w:kern w:val="0"/>
    </w:rPr>
  </w:style>
  <w:style w:type="paragraph" w:customStyle="1" w:styleId="183">
    <w:name w:val="xl75"/>
    <w:basedOn w:val="1"/>
    <w:autoRedefine/>
    <w:qFormat/>
    <w:uiPriority w:val="0"/>
    <w:pPr>
      <w:widowControl/>
      <w:pBdr>
        <w:top w:val="single" w:color="auto" w:sz="4" w:space="0"/>
        <w:left w:val="single" w:color="auto" w:sz="4" w:space="0"/>
        <w:bottom w:val="single" w:color="auto" w:sz="4" w:space="0"/>
        <w:right w:val="single" w:color="auto" w:sz="4" w:space="0"/>
      </w:pBdr>
      <w:tabs>
        <w:tab w:val="left" w:pos="0"/>
        <w:tab w:val="left" w:pos="992"/>
        <w:tab w:val="left" w:pos="1152"/>
      </w:tabs>
      <w:spacing w:before="100" w:beforeAutospacing="1" w:after="100" w:afterAutospacing="1" w:line="240" w:lineRule="auto"/>
      <w:ind w:firstLine="0" w:firstLineChars="0"/>
      <w:jc w:val="center"/>
    </w:pPr>
    <w:rPr>
      <w:rFonts w:ascii="微软雅黑" w:hAnsi="微软雅黑" w:eastAsia="微软雅黑" w:cs="宋体"/>
      <w:kern w:val="0"/>
    </w:rPr>
  </w:style>
  <w:style w:type="paragraph" w:customStyle="1" w:styleId="184">
    <w:name w:val="xl76"/>
    <w:basedOn w:val="1"/>
    <w:autoRedefine/>
    <w:qFormat/>
    <w:uiPriority w:val="0"/>
    <w:pPr>
      <w:widowControl/>
      <w:pBdr>
        <w:top w:val="single" w:color="auto" w:sz="4" w:space="0"/>
        <w:left w:val="single" w:color="auto" w:sz="4" w:space="0"/>
        <w:bottom w:val="single" w:color="auto" w:sz="4" w:space="0"/>
        <w:right w:val="single" w:color="auto" w:sz="4" w:space="0"/>
      </w:pBdr>
      <w:tabs>
        <w:tab w:val="left" w:pos="0"/>
        <w:tab w:val="left" w:pos="992"/>
        <w:tab w:val="left" w:pos="1152"/>
      </w:tabs>
      <w:spacing w:before="100" w:beforeAutospacing="1" w:after="100" w:afterAutospacing="1" w:line="240" w:lineRule="auto"/>
      <w:ind w:firstLine="0" w:firstLineChars="0"/>
      <w:jc w:val="left"/>
    </w:pPr>
    <w:rPr>
      <w:rFonts w:ascii="微软雅黑" w:hAnsi="微软雅黑" w:eastAsia="微软雅黑" w:cs="宋体"/>
      <w:kern w:val="0"/>
    </w:rPr>
  </w:style>
  <w:style w:type="paragraph" w:customStyle="1" w:styleId="185">
    <w:name w:val="xl77"/>
    <w:basedOn w:val="1"/>
    <w:autoRedefine/>
    <w:qFormat/>
    <w:uiPriority w:val="0"/>
    <w:pPr>
      <w:widowControl/>
      <w:pBdr>
        <w:top w:val="single" w:color="auto" w:sz="4" w:space="0"/>
        <w:left w:val="single" w:color="auto" w:sz="4" w:space="0"/>
        <w:bottom w:val="single" w:color="auto" w:sz="4" w:space="0"/>
        <w:right w:val="single" w:color="auto" w:sz="4" w:space="0"/>
      </w:pBdr>
      <w:tabs>
        <w:tab w:val="left" w:pos="0"/>
        <w:tab w:val="left" w:pos="992"/>
        <w:tab w:val="left" w:pos="1152"/>
      </w:tabs>
      <w:spacing w:before="100" w:beforeAutospacing="1" w:after="100" w:afterAutospacing="1" w:line="240" w:lineRule="auto"/>
      <w:ind w:firstLine="0" w:firstLineChars="0"/>
      <w:jc w:val="left"/>
    </w:pPr>
    <w:rPr>
      <w:rFonts w:ascii="微软雅黑" w:hAnsi="微软雅黑" w:eastAsia="微软雅黑" w:cs="宋体"/>
      <w:kern w:val="0"/>
    </w:rPr>
  </w:style>
  <w:style w:type="paragraph" w:customStyle="1" w:styleId="186">
    <w:name w:val="xl78"/>
    <w:basedOn w:val="1"/>
    <w:autoRedefine/>
    <w:qFormat/>
    <w:uiPriority w:val="0"/>
    <w:pPr>
      <w:widowControl/>
      <w:tabs>
        <w:tab w:val="left" w:pos="0"/>
        <w:tab w:val="left" w:pos="992"/>
        <w:tab w:val="left" w:pos="1152"/>
      </w:tabs>
      <w:spacing w:before="100" w:beforeAutospacing="1" w:after="100" w:afterAutospacing="1" w:line="240" w:lineRule="auto"/>
      <w:ind w:firstLine="0" w:firstLineChars="0"/>
      <w:jc w:val="left"/>
    </w:pPr>
    <w:rPr>
      <w:rFonts w:ascii="微软雅黑" w:hAnsi="微软雅黑" w:eastAsia="微软雅黑" w:cs="宋体"/>
      <w:kern w:val="0"/>
    </w:rPr>
  </w:style>
  <w:style w:type="paragraph" w:customStyle="1" w:styleId="187">
    <w:name w:val="xl79"/>
    <w:basedOn w:val="1"/>
    <w:autoRedefine/>
    <w:qFormat/>
    <w:uiPriority w:val="0"/>
    <w:pPr>
      <w:widowControl/>
      <w:pBdr>
        <w:top w:val="single" w:color="auto" w:sz="4" w:space="0"/>
        <w:left w:val="single" w:color="auto" w:sz="4" w:space="0"/>
        <w:bottom w:val="single" w:color="auto" w:sz="4" w:space="0"/>
        <w:right w:val="single" w:color="auto" w:sz="4" w:space="0"/>
      </w:pBdr>
      <w:tabs>
        <w:tab w:val="left" w:pos="0"/>
        <w:tab w:val="left" w:pos="992"/>
        <w:tab w:val="left" w:pos="1152"/>
      </w:tabs>
      <w:spacing w:before="100" w:beforeAutospacing="1" w:after="100" w:afterAutospacing="1" w:line="240" w:lineRule="auto"/>
      <w:ind w:firstLine="0" w:firstLineChars="0"/>
      <w:jc w:val="center"/>
    </w:pPr>
    <w:rPr>
      <w:rFonts w:ascii="微软雅黑" w:hAnsi="微软雅黑" w:eastAsia="微软雅黑" w:cs="宋体"/>
      <w:kern w:val="0"/>
    </w:rPr>
  </w:style>
  <w:style w:type="paragraph" w:customStyle="1" w:styleId="188">
    <w:name w:val="xl80"/>
    <w:basedOn w:val="1"/>
    <w:autoRedefine/>
    <w:qFormat/>
    <w:uiPriority w:val="0"/>
    <w:pPr>
      <w:widowControl/>
      <w:pBdr>
        <w:top w:val="single" w:color="auto" w:sz="4" w:space="0"/>
        <w:left w:val="single" w:color="auto" w:sz="4" w:space="0"/>
        <w:bottom w:val="single" w:color="auto" w:sz="4" w:space="0"/>
        <w:right w:val="single" w:color="auto" w:sz="4" w:space="0"/>
      </w:pBdr>
      <w:tabs>
        <w:tab w:val="left" w:pos="0"/>
        <w:tab w:val="left" w:pos="992"/>
        <w:tab w:val="left" w:pos="1152"/>
      </w:tabs>
      <w:spacing w:before="100" w:beforeAutospacing="1" w:after="100" w:afterAutospacing="1" w:line="240" w:lineRule="auto"/>
      <w:ind w:firstLine="0" w:firstLineChars="0"/>
      <w:jc w:val="left"/>
    </w:pPr>
    <w:rPr>
      <w:rFonts w:ascii="微软雅黑" w:hAnsi="微软雅黑" w:eastAsia="微软雅黑" w:cs="宋体"/>
      <w:b/>
      <w:bCs/>
      <w:color w:val="FF0000"/>
      <w:kern w:val="0"/>
    </w:rPr>
  </w:style>
  <w:style w:type="paragraph" w:customStyle="1" w:styleId="189">
    <w:name w:val="xl81"/>
    <w:basedOn w:val="1"/>
    <w:autoRedefine/>
    <w:qFormat/>
    <w:uiPriority w:val="0"/>
    <w:pPr>
      <w:widowControl/>
      <w:pBdr>
        <w:top w:val="single" w:color="auto" w:sz="4" w:space="0"/>
        <w:left w:val="single" w:color="auto" w:sz="4" w:space="0"/>
        <w:bottom w:val="single" w:color="auto" w:sz="4" w:space="0"/>
        <w:right w:val="single" w:color="auto" w:sz="4" w:space="0"/>
      </w:pBdr>
      <w:tabs>
        <w:tab w:val="left" w:pos="0"/>
        <w:tab w:val="left" w:pos="992"/>
        <w:tab w:val="left" w:pos="1152"/>
      </w:tabs>
      <w:spacing w:before="100" w:beforeAutospacing="1" w:after="100" w:afterAutospacing="1" w:line="240" w:lineRule="auto"/>
      <w:ind w:firstLine="0" w:firstLineChars="0"/>
      <w:jc w:val="center"/>
    </w:pPr>
    <w:rPr>
      <w:rFonts w:ascii="微软雅黑" w:hAnsi="微软雅黑" w:eastAsia="微软雅黑" w:cs="宋体"/>
      <w:color w:val="FF0000"/>
      <w:kern w:val="0"/>
    </w:rPr>
  </w:style>
  <w:style w:type="paragraph" w:customStyle="1" w:styleId="190">
    <w:name w:val="xl82"/>
    <w:basedOn w:val="1"/>
    <w:autoRedefine/>
    <w:qFormat/>
    <w:uiPriority w:val="0"/>
    <w:pPr>
      <w:widowControl/>
      <w:pBdr>
        <w:top w:val="single" w:color="auto" w:sz="4" w:space="0"/>
        <w:left w:val="single" w:color="auto" w:sz="4" w:space="0"/>
        <w:bottom w:val="single" w:color="auto" w:sz="4" w:space="0"/>
        <w:right w:val="single" w:color="auto" w:sz="4" w:space="0"/>
      </w:pBdr>
      <w:tabs>
        <w:tab w:val="left" w:pos="0"/>
        <w:tab w:val="left" w:pos="992"/>
        <w:tab w:val="left" w:pos="1152"/>
      </w:tabs>
      <w:spacing w:before="100" w:beforeAutospacing="1" w:after="100" w:afterAutospacing="1" w:line="240" w:lineRule="auto"/>
      <w:ind w:firstLine="0" w:firstLineChars="0"/>
      <w:jc w:val="left"/>
    </w:pPr>
    <w:rPr>
      <w:rFonts w:ascii="微软雅黑" w:hAnsi="微软雅黑" w:eastAsia="微软雅黑" w:cs="宋体"/>
      <w:kern w:val="0"/>
    </w:rPr>
  </w:style>
  <w:style w:type="paragraph" w:customStyle="1" w:styleId="191">
    <w:name w:val="xl83"/>
    <w:basedOn w:val="1"/>
    <w:autoRedefine/>
    <w:qFormat/>
    <w:uiPriority w:val="0"/>
    <w:pPr>
      <w:widowControl/>
      <w:pBdr>
        <w:top w:val="single" w:color="auto" w:sz="4" w:space="0"/>
        <w:left w:val="single" w:color="auto" w:sz="4" w:space="0"/>
        <w:bottom w:val="single" w:color="auto" w:sz="4" w:space="0"/>
        <w:right w:val="single" w:color="auto" w:sz="4" w:space="0"/>
      </w:pBdr>
      <w:tabs>
        <w:tab w:val="left" w:pos="0"/>
        <w:tab w:val="left" w:pos="992"/>
        <w:tab w:val="left" w:pos="1152"/>
      </w:tabs>
      <w:spacing w:before="100" w:beforeAutospacing="1" w:after="100" w:afterAutospacing="1" w:line="240" w:lineRule="auto"/>
      <w:ind w:firstLine="0" w:firstLineChars="0"/>
      <w:jc w:val="left"/>
    </w:pPr>
    <w:rPr>
      <w:rFonts w:ascii="微软雅黑" w:hAnsi="微软雅黑" w:eastAsia="微软雅黑" w:cs="宋体"/>
      <w:kern w:val="0"/>
    </w:rPr>
  </w:style>
  <w:style w:type="paragraph" w:customStyle="1" w:styleId="192">
    <w:name w:val="xl84"/>
    <w:basedOn w:val="1"/>
    <w:autoRedefine/>
    <w:qFormat/>
    <w:uiPriority w:val="0"/>
    <w:pPr>
      <w:widowControl/>
      <w:pBdr>
        <w:top w:val="single" w:color="auto" w:sz="4" w:space="0"/>
        <w:left w:val="single" w:color="auto" w:sz="4" w:space="0"/>
        <w:bottom w:val="single" w:color="auto" w:sz="4" w:space="0"/>
        <w:right w:val="single" w:color="auto" w:sz="4" w:space="0"/>
      </w:pBdr>
      <w:tabs>
        <w:tab w:val="left" w:pos="0"/>
        <w:tab w:val="left" w:pos="992"/>
        <w:tab w:val="left" w:pos="1152"/>
      </w:tabs>
      <w:spacing w:before="100" w:beforeAutospacing="1" w:after="100" w:afterAutospacing="1" w:line="240" w:lineRule="auto"/>
      <w:ind w:firstLine="0" w:firstLineChars="0"/>
      <w:jc w:val="center"/>
    </w:pPr>
    <w:rPr>
      <w:rFonts w:ascii="微软雅黑" w:hAnsi="微软雅黑" w:eastAsia="微软雅黑" w:cs="宋体"/>
      <w:kern w:val="0"/>
    </w:rPr>
  </w:style>
  <w:style w:type="paragraph" w:customStyle="1" w:styleId="193">
    <w:name w:val="xl8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00"/>
      <w:tabs>
        <w:tab w:val="left" w:pos="0"/>
        <w:tab w:val="left" w:pos="992"/>
        <w:tab w:val="left" w:pos="1152"/>
      </w:tabs>
      <w:spacing w:before="100" w:beforeAutospacing="1" w:after="100" w:afterAutospacing="1" w:line="240" w:lineRule="auto"/>
      <w:ind w:firstLine="0" w:firstLineChars="0"/>
      <w:jc w:val="center"/>
    </w:pPr>
    <w:rPr>
      <w:rFonts w:ascii="微软雅黑" w:hAnsi="微软雅黑" w:eastAsia="微软雅黑" w:cs="宋体"/>
      <w:kern w:val="0"/>
    </w:rPr>
  </w:style>
  <w:style w:type="paragraph" w:customStyle="1" w:styleId="194">
    <w:name w:val="xl86"/>
    <w:basedOn w:val="1"/>
    <w:autoRedefine/>
    <w:qFormat/>
    <w:uiPriority w:val="0"/>
    <w:pPr>
      <w:widowControl/>
      <w:pBdr>
        <w:top w:val="single" w:color="auto" w:sz="4" w:space="0"/>
        <w:left w:val="single" w:color="auto" w:sz="4" w:space="0"/>
        <w:bottom w:val="single" w:color="auto" w:sz="4" w:space="0"/>
        <w:right w:val="single" w:color="auto" w:sz="4" w:space="0"/>
      </w:pBdr>
      <w:tabs>
        <w:tab w:val="left" w:pos="0"/>
        <w:tab w:val="left" w:pos="992"/>
        <w:tab w:val="left" w:pos="1152"/>
      </w:tabs>
      <w:spacing w:before="100" w:beforeAutospacing="1" w:after="100" w:afterAutospacing="1" w:line="240" w:lineRule="auto"/>
      <w:ind w:firstLine="0" w:firstLineChars="0"/>
      <w:jc w:val="left"/>
    </w:pPr>
    <w:rPr>
      <w:rFonts w:ascii="微软雅黑" w:hAnsi="微软雅黑" w:eastAsia="微软雅黑" w:cs="宋体"/>
      <w:kern w:val="0"/>
    </w:rPr>
  </w:style>
  <w:style w:type="paragraph" w:customStyle="1" w:styleId="195">
    <w:name w:val="xl87"/>
    <w:basedOn w:val="1"/>
    <w:autoRedefine/>
    <w:qFormat/>
    <w:uiPriority w:val="0"/>
    <w:pPr>
      <w:widowControl/>
      <w:pBdr>
        <w:top w:val="single" w:color="auto" w:sz="4" w:space="0"/>
        <w:left w:val="single" w:color="auto" w:sz="4" w:space="0"/>
        <w:bottom w:val="single" w:color="auto" w:sz="4" w:space="0"/>
        <w:right w:val="single" w:color="auto" w:sz="4" w:space="0"/>
      </w:pBdr>
      <w:tabs>
        <w:tab w:val="left" w:pos="0"/>
        <w:tab w:val="left" w:pos="992"/>
        <w:tab w:val="left" w:pos="1152"/>
      </w:tabs>
      <w:spacing w:before="100" w:beforeAutospacing="1" w:after="100" w:afterAutospacing="1" w:line="240" w:lineRule="auto"/>
      <w:ind w:firstLine="0" w:firstLineChars="0"/>
      <w:jc w:val="center"/>
    </w:pPr>
    <w:rPr>
      <w:rFonts w:ascii="微软雅黑" w:hAnsi="微软雅黑" w:eastAsia="微软雅黑" w:cs="宋体"/>
      <w:kern w:val="0"/>
    </w:rPr>
  </w:style>
  <w:style w:type="paragraph" w:customStyle="1" w:styleId="196">
    <w:name w:val="xl8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00"/>
      <w:tabs>
        <w:tab w:val="left" w:pos="0"/>
        <w:tab w:val="left" w:pos="992"/>
        <w:tab w:val="left" w:pos="1152"/>
      </w:tabs>
      <w:spacing w:before="100" w:beforeAutospacing="1" w:after="100" w:afterAutospacing="1" w:line="240" w:lineRule="auto"/>
      <w:ind w:firstLine="0" w:firstLineChars="0"/>
      <w:jc w:val="center"/>
    </w:pPr>
    <w:rPr>
      <w:rFonts w:ascii="微软雅黑" w:hAnsi="微软雅黑" w:eastAsia="微软雅黑" w:cs="宋体"/>
      <w:kern w:val="0"/>
    </w:rPr>
  </w:style>
  <w:style w:type="paragraph" w:customStyle="1" w:styleId="197">
    <w:name w:val="xl89"/>
    <w:basedOn w:val="1"/>
    <w:autoRedefine/>
    <w:qFormat/>
    <w:uiPriority w:val="0"/>
    <w:pPr>
      <w:widowControl/>
      <w:pBdr>
        <w:top w:val="single" w:color="auto" w:sz="4" w:space="0"/>
        <w:left w:val="single" w:color="auto" w:sz="4" w:space="0"/>
        <w:bottom w:val="single" w:color="auto" w:sz="4" w:space="0"/>
        <w:right w:val="single" w:color="auto" w:sz="4" w:space="0"/>
      </w:pBdr>
      <w:tabs>
        <w:tab w:val="left" w:pos="0"/>
        <w:tab w:val="left" w:pos="992"/>
        <w:tab w:val="left" w:pos="1152"/>
      </w:tabs>
      <w:spacing w:before="100" w:beforeAutospacing="1" w:after="100" w:afterAutospacing="1" w:line="240" w:lineRule="auto"/>
      <w:ind w:firstLine="0" w:firstLineChars="0"/>
      <w:jc w:val="center"/>
    </w:pPr>
    <w:rPr>
      <w:rFonts w:ascii="微软雅黑" w:hAnsi="微软雅黑" w:eastAsia="微软雅黑" w:cs="宋体"/>
      <w:kern w:val="0"/>
    </w:rPr>
  </w:style>
  <w:style w:type="paragraph" w:customStyle="1" w:styleId="198">
    <w:name w:val="xl90"/>
    <w:basedOn w:val="1"/>
    <w:autoRedefine/>
    <w:qFormat/>
    <w:uiPriority w:val="0"/>
    <w:pPr>
      <w:widowControl/>
      <w:pBdr>
        <w:top w:val="single" w:color="auto" w:sz="4" w:space="0"/>
        <w:left w:val="single" w:color="auto" w:sz="4" w:space="0"/>
        <w:bottom w:val="single" w:color="auto" w:sz="4" w:space="0"/>
        <w:right w:val="single" w:color="auto" w:sz="4" w:space="0"/>
      </w:pBdr>
      <w:tabs>
        <w:tab w:val="left" w:pos="0"/>
        <w:tab w:val="left" w:pos="992"/>
        <w:tab w:val="left" w:pos="1152"/>
      </w:tabs>
      <w:spacing w:before="100" w:beforeAutospacing="1" w:after="100" w:afterAutospacing="1" w:line="240" w:lineRule="auto"/>
      <w:ind w:firstLine="0" w:firstLineChars="0"/>
      <w:jc w:val="left"/>
      <w:textAlignment w:val="bottom"/>
    </w:pPr>
    <w:rPr>
      <w:rFonts w:ascii="微软雅黑" w:hAnsi="微软雅黑" w:eastAsia="微软雅黑" w:cs="宋体"/>
      <w:kern w:val="0"/>
    </w:rPr>
  </w:style>
  <w:style w:type="paragraph" w:customStyle="1" w:styleId="199">
    <w:name w:val="xl91"/>
    <w:basedOn w:val="1"/>
    <w:autoRedefine/>
    <w:qFormat/>
    <w:uiPriority w:val="0"/>
    <w:pPr>
      <w:widowControl/>
      <w:tabs>
        <w:tab w:val="left" w:pos="0"/>
        <w:tab w:val="left" w:pos="992"/>
        <w:tab w:val="left" w:pos="1152"/>
      </w:tabs>
      <w:spacing w:before="100" w:beforeAutospacing="1" w:after="100" w:afterAutospacing="1" w:line="240" w:lineRule="auto"/>
      <w:ind w:firstLine="0" w:firstLineChars="0"/>
      <w:jc w:val="left"/>
    </w:pPr>
    <w:rPr>
      <w:rFonts w:ascii="微软雅黑" w:hAnsi="微软雅黑" w:eastAsia="微软雅黑" w:cs="宋体"/>
      <w:b/>
      <w:bCs/>
      <w:kern w:val="0"/>
    </w:rPr>
  </w:style>
  <w:style w:type="paragraph" w:customStyle="1" w:styleId="200">
    <w:name w:val="gedi封面"/>
    <w:basedOn w:val="1"/>
    <w:autoRedefine/>
    <w:qFormat/>
    <w:uiPriority w:val="0"/>
    <w:pPr>
      <w:widowControl/>
      <w:tabs>
        <w:tab w:val="left" w:pos="0"/>
        <w:tab w:val="left" w:pos="992"/>
        <w:tab w:val="left" w:pos="1152"/>
      </w:tabs>
    </w:pPr>
    <w:rPr>
      <w:rFonts w:cs="Cambria Math"/>
    </w:rPr>
  </w:style>
  <w:style w:type="paragraph" w:customStyle="1" w:styleId="201">
    <w:name w:val="标准书眉一"/>
    <w:autoRedefine/>
    <w:qFormat/>
    <w:uiPriority w:val="99"/>
    <w:pPr>
      <w:jc w:val="both"/>
    </w:pPr>
    <w:rPr>
      <w:rFonts w:ascii="Times New Roman" w:hAnsi="Times New Roman" w:eastAsia="宋体" w:cs="Times New Roman"/>
      <w:lang w:val="en-US" w:eastAsia="zh-CN" w:bidi="ar-SA"/>
    </w:rPr>
  </w:style>
  <w:style w:type="character" w:customStyle="1" w:styleId="202">
    <w:name w:val="页脚 Char1"/>
    <w:autoRedefine/>
    <w:qFormat/>
    <w:uiPriority w:val="0"/>
    <w:rPr>
      <w:kern w:val="2"/>
      <w:sz w:val="18"/>
      <w:szCs w:val="18"/>
    </w:rPr>
  </w:style>
  <w:style w:type="paragraph" w:customStyle="1" w:styleId="203">
    <w:name w:val="图片"/>
    <w:next w:val="1"/>
    <w:autoRedefine/>
    <w:qFormat/>
    <w:uiPriority w:val="0"/>
    <w:pPr>
      <w:adjustRightInd w:val="0"/>
      <w:snapToGrid w:val="0"/>
      <w:spacing w:afterLines="50"/>
      <w:jc w:val="center"/>
    </w:pPr>
    <w:rPr>
      <w:rFonts w:ascii="Times New Roman" w:hAnsi="Times New Roman" w:eastAsia="宋体" w:cs="Times New Roman"/>
      <w:sz w:val="22"/>
      <w:lang w:val="en-US" w:eastAsia="zh-CN" w:bidi="ar-SA"/>
    </w:rPr>
  </w:style>
  <w:style w:type="paragraph" w:customStyle="1" w:styleId="204">
    <w:name w:val="图表样式"/>
    <w:autoRedefine/>
    <w:qFormat/>
    <w:uiPriority w:val="99"/>
    <w:pPr>
      <w:jc w:val="center"/>
    </w:pPr>
    <w:rPr>
      <w:rFonts w:ascii="宋体" w:hAnsi="宋体" w:eastAsia="宋体" w:cs="宋体"/>
      <w:sz w:val="21"/>
      <w:szCs w:val="21"/>
      <w:lang w:val="en-US" w:eastAsia="zh-CN" w:bidi="ar-SA"/>
    </w:rPr>
  </w:style>
  <w:style w:type="paragraph" w:customStyle="1" w:styleId="205">
    <w:name w:val="标题3"/>
    <w:basedOn w:val="3"/>
    <w:autoRedefine/>
    <w:qFormat/>
    <w:uiPriority w:val="0"/>
    <w:pPr>
      <w:keepNext w:val="0"/>
      <w:keepLines w:val="0"/>
      <w:numPr>
        <w:ilvl w:val="0"/>
        <w:numId w:val="0"/>
      </w:numPr>
      <w:tabs>
        <w:tab w:val="left" w:pos="0"/>
        <w:tab w:val="left" w:pos="576"/>
      </w:tabs>
      <w:adjustRightInd w:val="0"/>
      <w:outlineLvl w:val="2"/>
    </w:pPr>
    <w:rPr>
      <w:rFonts w:cstheme="majorBidi"/>
      <w:b w:val="0"/>
      <w:bCs w:val="0"/>
      <w:szCs w:val="28"/>
    </w:rPr>
  </w:style>
  <w:style w:type="paragraph" w:customStyle="1" w:styleId="206">
    <w:name w:val="表格文本 居左"/>
    <w:basedOn w:val="207"/>
    <w:autoRedefine/>
    <w:qFormat/>
    <w:uiPriority w:val="34"/>
    <w:pPr>
      <w:tabs>
        <w:tab w:val="left" w:pos="0"/>
        <w:tab w:val="left" w:pos="992"/>
        <w:tab w:val="left" w:pos="1152"/>
      </w:tabs>
      <w:jc w:val="left"/>
    </w:pPr>
    <w:rPr>
      <w:rFonts w:cs="宋体"/>
      <w:szCs w:val="20"/>
    </w:rPr>
  </w:style>
  <w:style w:type="paragraph" w:customStyle="1" w:styleId="207">
    <w:name w:val="表格文本  样式基准"/>
    <w:basedOn w:val="1"/>
    <w:autoRedefine/>
    <w:qFormat/>
    <w:uiPriority w:val="34"/>
    <w:pPr>
      <w:tabs>
        <w:tab w:val="left" w:pos="0"/>
        <w:tab w:val="left" w:pos="992"/>
        <w:tab w:val="left" w:pos="1152"/>
      </w:tabs>
      <w:suppressAutoHyphens/>
      <w:autoSpaceDN w:val="0"/>
      <w:jc w:val="center"/>
      <w:textAlignment w:val="baseline"/>
    </w:pPr>
    <w:rPr>
      <w:rFonts w:hAnsi="Calibri" w:asciiTheme="minorEastAsia" w:eastAsiaTheme="minorEastAsia"/>
      <w:kern w:val="0"/>
    </w:rPr>
  </w:style>
  <w:style w:type="paragraph" w:customStyle="1" w:styleId="208">
    <w:name w:val="段"/>
    <w:autoRedefine/>
    <w:qFormat/>
    <w:uiPriority w:val="0"/>
    <w:pPr>
      <w:tabs>
        <w:tab w:val="center" w:pos="4201"/>
        <w:tab w:val="right" w:leader="dot" w:pos="9298"/>
      </w:tabs>
      <w:autoSpaceDE w:val="0"/>
      <w:autoSpaceDN w:val="0"/>
      <w:spacing w:line="240" w:lineRule="exact"/>
      <w:ind w:firstLine="420" w:firstLineChars="200"/>
      <w:jc w:val="both"/>
    </w:pPr>
    <w:rPr>
      <w:rFonts w:ascii="宋体" w:hAnsi="宋体" w:eastAsia="等线" w:cs="Times New Roman"/>
      <w:sz w:val="21"/>
      <w:lang w:val="en-US" w:eastAsia="zh-CN" w:bidi="ar-SA"/>
    </w:rPr>
  </w:style>
  <w:style w:type="paragraph" w:customStyle="1" w:styleId="209">
    <w:name w:val="字母编号列项（一级）"/>
    <w:autoRedefine/>
    <w:qFormat/>
    <w:uiPriority w:val="0"/>
    <w:pPr>
      <w:numPr>
        <w:ilvl w:val="0"/>
        <w:numId w:val="12"/>
      </w:numPr>
      <w:jc w:val="both"/>
    </w:pPr>
    <w:rPr>
      <w:rFonts w:ascii="宋体" w:hAnsi="Times New Roman" w:eastAsia="宋体" w:cs="Times New Roman"/>
      <w:sz w:val="21"/>
      <w:lang w:val="en-US" w:eastAsia="zh-CN" w:bidi="ar-SA"/>
    </w:rPr>
  </w:style>
  <w:style w:type="paragraph" w:customStyle="1" w:styleId="210">
    <w:name w:val="表格文本 居左 + 小五"/>
    <w:basedOn w:val="206"/>
    <w:autoRedefine/>
    <w:unhideWhenUsed/>
    <w:qFormat/>
    <w:uiPriority w:val="34"/>
    <w:pPr>
      <w:suppressAutoHyphens w:val="0"/>
      <w:wordWrap w:val="0"/>
      <w:autoSpaceDN/>
      <w:textAlignment w:val="auto"/>
    </w:pPr>
    <w:rPr>
      <w:rFonts w:ascii="宋体" w:hAnsi="宋体" w:eastAsia="宋体" w:cstheme="minorBidi"/>
      <w:kern w:val="2"/>
      <w:sz w:val="18"/>
      <w:szCs w:val="21"/>
    </w:rPr>
  </w:style>
  <w:style w:type="paragraph" w:customStyle="1" w:styleId="211">
    <w:name w:val="表格标题"/>
    <w:basedOn w:val="207"/>
    <w:autoRedefine/>
    <w:qFormat/>
    <w:uiPriority w:val="0"/>
    <w:rPr>
      <w:b/>
    </w:rPr>
  </w:style>
  <w:style w:type="paragraph" w:customStyle="1" w:styleId="212">
    <w:name w:val="项目符号-WNT"/>
    <w:basedOn w:val="14"/>
    <w:link w:val="213"/>
    <w:autoRedefine/>
    <w:qFormat/>
    <w:uiPriority w:val="0"/>
    <w:pPr>
      <w:numPr>
        <w:ilvl w:val="0"/>
        <w:numId w:val="13"/>
      </w:numPr>
      <w:tabs>
        <w:tab w:val="left" w:pos="0"/>
        <w:tab w:val="left" w:pos="992"/>
        <w:tab w:val="left" w:pos="1152"/>
        <w:tab w:val="clear" w:pos="28"/>
        <w:tab w:val="clear" w:pos="1620"/>
      </w:tabs>
      <w:spacing w:line="360" w:lineRule="auto"/>
      <w:ind w:firstLine="0" w:firstLineChars="0"/>
    </w:pPr>
    <w:rPr>
      <w:bCs/>
      <w:sz w:val="24"/>
      <w:szCs w:val="24"/>
      <w:u w:color="C00000"/>
    </w:rPr>
  </w:style>
  <w:style w:type="character" w:customStyle="1" w:styleId="213">
    <w:name w:val="项目符号-WNT 字符"/>
    <w:link w:val="212"/>
    <w:autoRedefine/>
    <w:qFormat/>
    <w:uiPriority w:val="0"/>
    <w:rPr>
      <w:rFonts w:ascii="Times New Roman" w:hAnsi="Times New Roman" w:eastAsia="宋体" w:cs="Times New Roman"/>
      <w:b/>
      <w:bCs/>
      <w:kern w:val="2"/>
      <w:sz w:val="24"/>
      <w:szCs w:val="24"/>
      <w:u w:color="C00000"/>
    </w:rPr>
  </w:style>
  <w:style w:type="paragraph" w:customStyle="1" w:styleId="214">
    <w:name w:val="图例说明-WNT"/>
    <w:basedOn w:val="14"/>
    <w:link w:val="215"/>
    <w:autoRedefine/>
    <w:qFormat/>
    <w:uiPriority w:val="0"/>
    <w:pPr>
      <w:tabs>
        <w:tab w:val="left" w:pos="0"/>
        <w:tab w:val="left" w:pos="992"/>
        <w:tab w:val="left" w:pos="1152"/>
        <w:tab w:val="clear" w:pos="28"/>
        <w:tab w:val="clear" w:pos="1620"/>
      </w:tabs>
      <w:spacing w:line="360" w:lineRule="auto"/>
      <w:ind w:firstLine="200"/>
      <w:jc w:val="center"/>
    </w:pPr>
    <w:rPr>
      <w:rFonts w:ascii="宋体" w:hAnsi="宋体"/>
      <w:b w:val="0"/>
      <w:u w:color="C00000"/>
    </w:rPr>
  </w:style>
  <w:style w:type="character" w:customStyle="1" w:styleId="215">
    <w:name w:val="图例说明-WNT 字符"/>
    <w:link w:val="214"/>
    <w:autoRedefine/>
    <w:qFormat/>
    <w:uiPriority w:val="0"/>
    <w:rPr>
      <w:rFonts w:ascii="宋体" w:hAnsi="宋体" w:eastAsia="宋体" w:cs="Times New Roman"/>
      <w:kern w:val="2"/>
      <w:sz w:val="21"/>
      <w:szCs w:val="21"/>
      <w:u w:color="C00000"/>
    </w:rPr>
  </w:style>
  <w:style w:type="paragraph" w:customStyle="1" w:styleId="216">
    <w:name w:val="_Style 182"/>
    <w:basedOn w:val="1"/>
    <w:next w:val="61"/>
    <w:link w:val="217"/>
    <w:autoRedefine/>
    <w:qFormat/>
    <w:uiPriority w:val="99"/>
    <w:pPr>
      <w:tabs>
        <w:tab w:val="left" w:pos="0"/>
        <w:tab w:val="left" w:pos="992"/>
        <w:tab w:val="left" w:pos="1152"/>
      </w:tabs>
      <w:spacing w:line="240" w:lineRule="auto"/>
      <w:ind w:firstLine="420"/>
    </w:pPr>
    <w:rPr>
      <w:kern w:val="0"/>
      <w:sz w:val="20"/>
      <w:lang w:val="zh-CN"/>
    </w:rPr>
  </w:style>
  <w:style w:type="character" w:customStyle="1" w:styleId="217">
    <w:name w:val="列表段落 字符"/>
    <w:link w:val="216"/>
    <w:autoRedefine/>
    <w:qFormat/>
    <w:uiPriority w:val="99"/>
    <w:rPr>
      <w:rFonts w:ascii="Times New Roman" w:hAnsi="Times New Roman" w:eastAsia="宋体" w:cs="Times New Roman"/>
      <w:szCs w:val="24"/>
      <w:lang w:val="zh-CN"/>
    </w:rPr>
  </w:style>
  <w:style w:type="character" w:customStyle="1" w:styleId="218">
    <w:name w:val="正文文本首行缩进 字符"/>
    <w:autoRedefine/>
    <w:qFormat/>
    <w:uiPriority w:val="0"/>
    <w:rPr>
      <w:kern w:val="2"/>
      <w:sz w:val="21"/>
    </w:rPr>
  </w:style>
  <w:style w:type="paragraph" w:customStyle="1" w:styleId="219">
    <w:name w:val="表格内容"/>
    <w:basedOn w:val="1"/>
    <w:autoRedefine/>
    <w:qFormat/>
    <w:uiPriority w:val="0"/>
    <w:pPr>
      <w:tabs>
        <w:tab w:val="left" w:pos="0"/>
        <w:tab w:val="left" w:pos="992"/>
        <w:tab w:val="left" w:pos="1152"/>
      </w:tabs>
      <w:spacing w:line="240" w:lineRule="atLeast"/>
      <w:ind w:firstLine="0" w:firstLineChars="0"/>
    </w:pPr>
    <w:rPr>
      <w:rFonts w:eastAsia="仿宋"/>
      <w:kern w:val="0"/>
      <w:sz w:val="21"/>
    </w:rPr>
  </w:style>
  <w:style w:type="paragraph" w:customStyle="1" w:styleId="220">
    <w:name w:val="落款"/>
    <w:basedOn w:val="22"/>
    <w:next w:val="1"/>
    <w:autoRedefine/>
    <w:qFormat/>
    <w:uiPriority w:val="0"/>
    <w:pPr>
      <w:spacing w:before="93" w:after="187"/>
    </w:pPr>
    <w:rPr>
      <w:sz w:val="36"/>
    </w:rPr>
  </w:style>
  <w:style w:type="paragraph" w:customStyle="1" w:styleId="221">
    <w:name w:val="正文页眉"/>
    <w:basedOn w:val="37"/>
    <w:autoRedefine/>
    <w:qFormat/>
    <w:uiPriority w:val="0"/>
    <w:pPr>
      <w:tabs>
        <w:tab w:val="clear" w:pos="4153"/>
        <w:tab w:val="clear" w:pos="8306"/>
      </w:tabs>
      <w:spacing w:before="72" w:after="144" w:line="240" w:lineRule="auto"/>
      <w:ind w:firstLine="0" w:firstLineChars="0"/>
    </w:pPr>
    <w:rPr>
      <w:rFonts w:eastAsia="仿宋"/>
      <w:lang w:val="en-US"/>
    </w:rPr>
  </w:style>
  <w:style w:type="paragraph" w:customStyle="1" w:styleId="222">
    <w:name w:val="正文页角"/>
    <w:basedOn w:val="35"/>
    <w:autoRedefine/>
    <w:qFormat/>
    <w:uiPriority w:val="0"/>
    <w:pPr>
      <w:pBdr>
        <w:top w:val="single" w:color="auto" w:sz="6" w:space="1"/>
      </w:pBdr>
      <w:tabs>
        <w:tab w:val="clear" w:pos="4153"/>
        <w:tab w:val="clear" w:pos="8306"/>
      </w:tabs>
      <w:spacing w:before="72" w:after="144" w:line="240" w:lineRule="auto"/>
      <w:ind w:firstLine="0" w:firstLineChars="0"/>
    </w:pPr>
    <w:rPr>
      <w:rFonts w:eastAsia="仿宋"/>
    </w:rPr>
  </w:style>
  <w:style w:type="character" w:customStyle="1" w:styleId="223">
    <w:name w:val="ourfont21"/>
    <w:autoRedefine/>
    <w:qFormat/>
    <w:uiPriority w:val="0"/>
    <w:rPr>
      <w:sz w:val="18"/>
      <w:szCs w:val="18"/>
    </w:rPr>
  </w:style>
  <w:style w:type="paragraph" w:customStyle="1" w:styleId="224">
    <w:name w:val="段落"/>
    <w:basedOn w:val="1"/>
    <w:autoRedefine/>
    <w:qFormat/>
    <w:uiPriority w:val="0"/>
    <w:pPr>
      <w:tabs>
        <w:tab w:val="left" w:pos="0"/>
        <w:tab w:val="left" w:pos="992"/>
        <w:tab w:val="left" w:pos="1152"/>
      </w:tabs>
      <w:spacing w:before="120" w:after="120" w:line="0" w:lineRule="atLeast"/>
      <w:ind w:firstLine="567" w:firstLineChars="0"/>
    </w:pPr>
    <w:rPr>
      <w:rFonts w:eastAsia="仿宋"/>
      <w:sz w:val="28"/>
      <w:szCs w:val="20"/>
    </w:rPr>
  </w:style>
  <w:style w:type="paragraph" w:customStyle="1" w:styleId="225">
    <w:name w:val="正文1"/>
    <w:basedOn w:val="1"/>
    <w:autoRedefine/>
    <w:qFormat/>
    <w:uiPriority w:val="0"/>
    <w:pPr>
      <w:widowControl/>
      <w:tabs>
        <w:tab w:val="left" w:pos="0"/>
        <w:tab w:val="left" w:pos="992"/>
        <w:tab w:val="left" w:pos="1152"/>
      </w:tabs>
      <w:topLinePunct/>
      <w:spacing w:before="156" w:beforeLines="50" w:after="156" w:afterLines="50" w:line="300" w:lineRule="auto"/>
      <w:ind w:left="420" w:firstLine="0" w:firstLineChars="0"/>
    </w:pPr>
    <w:rPr>
      <w:rFonts w:eastAsia="仿宋"/>
      <w:sz w:val="21"/>
    </w:rPr>
  </w:style>
  <w:style w:type="paragraph" w:customStyle="1" w:styleId="226">
    <w:name w:val="7"/>
    <w:basedOn w:val="1"/>
    <w:next w:val="23"/>
    <w:autoRedefine/>
    <w:qFormat/>
    <w:uiPriority w:val="0"/>
    <w:pPr>
      <w:tabs>
        <w:tab w:val="left" w:pos="0"/>
        <w:tab w:val="left" w:pos="992"/>
        <w:tab w:val="left" w:pos="1152"/>
      </w:tabs>
      <w:spacing w:line="360" w:lineRule="auto"/>
      <w:ind w:firstLine="567" w:firstLineChars="0"/>
    </w:pPr>
    <w:rPr>
      <w:rFonts w:ascii="Abadi MT Condensed Light" w:hAnsi="Abadi MT Condensed Light" w:eastAsia="仿宋_GB2312"/>
      <w:color w:val="000000"/>
      <w:szCs w:val="20"/>
    </w:rPr>
  </w:style>
  <w:style w:type="paragraph" w:customStyle="1" w:styleId="227">
    <w:name w:val="项目符号2"/>
    <w:basedOn w:val="1"/>
    <w:autoRedefine/>
    <w:qFormat/>
    <w:uiPriority w:val="0"/>
    <w:pPr>
      <w:tabs>
        <w:tab w:val="left" w:pos="0"/>
        <w:tab w:val="left" w:pos="992"/>
        <w:tab w:val="left" w:pos="1152"/>
      </w:tabs>
      <w:adjustRightInd w:val="0"/>
      <w:spacing w:line="360" w:lineRule="auto"/>
      <w:ind w:firstLine="0" w:firstLineChars="0"/>
      <w:textAlignment w:val="baseline"/>
    </w:pPr>
    <w:rPr>
      <w:rFonts w:eastAsia="仿宋"/>
      <w:kern w:val="24"/>
      <w:szCs w:val="20"/>
    </w:rPr>
  </w:style>
  <w:style w:type="paragraph" w:customStyle="1" w:styleId="228">
    <w:name w:val="6"/>
    <w:basedOn w:val="1"/>
    <w:next w:val="42"/>
    <w:autoRedefine/>
    <w:qFormat/>
    <w:uiPriority w:val="0"/>
    <w:pPr>
      <w:tabs>
        <w:tab w:val="left" w:pos="0"/>
        <w:tab w:val="left" w:pos="992"/>
        <w:tab w:val="left" w:pos="1152"/>
      </w:tabs>
      <w:spacing w:line="360" w:lineRule="auto"/>
    </w:pPr>
    <w:rPr>
      <w:rFonts w:eastAsia="仿宋"/>
    </w:rPr>
  </w:style>
  <w:style w:type="character" w:customStyle="1" w:styleId="229">
    <w:name w:val="content1"/>
    <w:autoRedefine/>
    <w:qFormat/>
    <w:uiPriority w:val="0"/>
    <w:rPr>
      <w:sz w:val="16"/>
      <w:szCs w:val="16"/>
    </w:rPr>
  </w:style>
  <w:style w:type="character" w:customStyle="1" w:styleId="230">
    <w:name w:val="txt"/>
    <w:autoRedefine/>
    <w:qFormat/>
    <w:uiPriority w:val="0"/>
  </w:style>
  <w:style w:type="paragraph" w:customStyle="1" w:styleId="231">
    <w:name w:val="Char Char1 Char Char Char Char Char Char Char Char Char Char Char Char Char Char Char"/>
    <w:basedOn w:val="1"/>
    <w:autoRedefine/>
    <w:qFormat/>
    <w:uiPriority w:val="0"/>
    <w:pPr>
      <w:widowControl/>
      <w:tabs>
        <w:tab w:val="left" w:pos="0"/>
        <w:tab w:val="left" w:pos="992"/>
        <w:tab w:val="left" w:pos="1152"/>
      </w:tabs>
      <w:spacing w:after="160" w:line="240" w:lineRule="exact"/>
      <w:ind w:firstLine="0" w:firstLineChars="0"/>
      <w:jc w:val="left"/>
    </w:pPr>
    <w:rPr>
      <w:rFonts w:ascii="Verdana" w:hAnsi="Verdana" w:eastAsia="仿宋"/>
      <w:kern w:val="0"/>
      <w:sz w:val="20"/>
      <w:szCs w:val="20"/>
      <w:lang w:eastAsia="en-US"/>
    </w:rPr>
  </w:style>
  <w:style w:type="character" w:customStyle="1" w:styleId="232">
    <w:name w:val="正文缩进 Char1"/>
    <w:autoRedefine/>
    <w:qFormat/>
    <w:uiPriority w:val="0"/>
    <w:rPr>
      <w:rFonts w:eastAsia="宋体"/>
      <w:kern w:val="2"/>
      <w:sz w:val="24"/>
      <w:szCs w:val="24"/>
      <w:lang w:val="en-US" w:eastAsia="zh-CN" w:bidi="ar-SA"/>
    </w:rPr>
  </w:style>
  <w:style w:type="paragraph" w:customStyle="1" w:styleId="233">
    <w:name w:val="2级－1."/>
    <w:basedOn w:val="2"/>
    <w:autoRedefine/>
    <w:qFormat/>
    <w:uiPriority w:val="0"/>
    <w:pPr>
      <w:keepNext w:val="0"/>
      <w:pageBreakBefore/>
      <w:numPr>
        <w:numId w:val="0"/>
      </w:numPr>
      <w:tabs>
        <w:tab w:val="left" w:pos="0"/>
      </w:tabs>
      <w:spacing w:before="93" w:beforeLines="30" w:after="156" w:afterLines="50" w:line="360" w:lineRule="auto"/>
      <w:contextualSpacing w:val="0"/>
      <w:jc w:val="left"/>
    </w:pPr>
    <w:rPr>
      <w:rFonts w:eastAsia="黑体"/>
      <w:kern w:val="0"/>
      <w:sz w:val="32"/>
    </w:rPr>
  </w:style>
  <w:style w:type="paragraph" w:customStyle="1" w:styleId="234">
    <w:name w:val="Blockquote"/>
    <w:basedOn w:val="1"/>
    <w:autoRedefine/>
    <w:qFormat/>
    <w:uiPriority w:val="0"/>
    <w:pPr>
      <w:tabs>
        <w:tab w:val="left" w:pos="0"/>
        <w:tab w:val="left" w:pos="992"/>
        <w:tab w:val="left" w:pos="1152"/>
      </w:tabs>
      <w:autoSpaceDE w:val="0"/>
      <w:autoSpaceDN w:val="0"/>
      <w:adjustRightInd w:val="0"/>
      <w:spacing w:before="100" w:after="100" w:line="240" w:lineRule="auto"/>
      <w:ind w:left="360" w:right="360" w:firstLine="0" w:firstLineChars="0"/>
      <w:jc w:val="left"/>
      <w:textAlignment w:val="baseline"/>
    </w:pPr>
    <w:rPr>
      <w:rFonts w:eastAsia="仿宋"/>
      <w:kern w:val="0"/>
      <w:szCs w:val="20"/>
    </w:rPr>
  </w:style>
  <w:style w:type="paragraph" w:customStyle="1" w:styleId="235">
    <w:name w:val="Char Char Char Char"/>
    <w:basedOn w:val="1"/>
    <w:autoRedefine/>
    <w:qFormat/>
    <w:uiPriority w:val="0"/>
    <w:pPr>
      <w:tabs>
        <w:tab w:val="left" w:pos="0"/>
        <w:tab w:val="left" w:pos="992"/>
        <w:tab w:val="left" w:pos="1152"/>
      </w:tabs>
      <w:spacing w:line="240" w:lineRule="auto"/>
      <w:ind w:left="210" w:leftChars="100" w:right="100" w:rightChars="100" w:firstLine="0" w:firstLineChars="0"/>
    </w:pPr>
    <w:rPr>
      <w:rFonts w:ascii="Tahoma" w:hAnsi="Tahoma" w:eastAsia="仿宋"/>
      <w:szCs w:val="20"/>
    </w:rPr>
  </w:style>
  <w:style w:type="paragraph" w:customStyle="1" w:styleId="236">
    <w:name w:val="CM45"/>
    <w:basedOn w:val="92"/>
    <w:next w:val="92"/>
    <w:autoRedefine/>
    <w:qFormat/>
    <w:uiPriority w:val="0"/>
    <w:pPr>
      <w:spacing w:after="158"/>
    </w:pPr>
    <w:rPr>
      <w:rFonts w:ascii="Times New Roman" w:eastAsia="宋体" w:cs="Times New Roman"/>
      <w:color w:val="auto"/>
    </w:rPr>
  </w:style>
  <w:style w:type="paragraph" w:customStyle="1" w:styleId="237">
    <w:name w:val="CM24"/>
    <w:basedOn w:val="92"/>
    <w:next w:val="92"/>
    <w:autoRedefine/>
    <w:qFormat/>
    <w:uiPriority w:val="0"/>
    <w:pPr>
      <w:spacing w:line="360" w:lineRule="atLeast"/>
    </w:pPr>
    <w:rPr>
      <w:rFonts w:ascii="Times New Roman" w:eastAsia="宋体" w:cs="Times New Roman"/>
      <w:color w:val="auto"/>
    </w:rPr>
  </w:style>
  <w:style w:type="character" w:customStyle="1" w:styleId="238">
    <w:name w:val="正文首行缩进 Char1"/>
    <w:autoRedefine/>
    <w:qFormat/>
    <w:uiPriority w:val="0"/>
    <w:rPr>
      <w:rFonts w:eastAsia="华文仿宋"/>
      <w:kern w:val="2"/>
      <w:sz w:val="24"/>
      <w:szCs w:val="24"/>
    </w:rPr>
  </w:style>
  <w:style w:type="paragraph" w:customStyle="1" w:styleId="239">
    <w:name w:val="报告正文"/>
    <w:basedOn w:val="1"/>
    <w:autoRedefine/>
    <w:qFormat/>
    <w:uiPriority w:val="0"/>
    <w:pPr>
      <w:tabs>
        <w:tab w:val="left" w:pos="0"/>
        <w:tab w:val="left" w:pos="992"/>
        <w:tab w:val="left" w:pos="1152"/>
      </w:tabs>
      <w:spacing w:line="360" w:lineRule="auto"/>
    </w:pPr>
    <w:rPr>
      <w:rFonts w:eastAsia="华文中宋" w:cs="宋体"/>
      <w:bCs/>
      <w:color w:val="3A3A3A"/>
      <w:kern w:val="0"/>
    </w:rPr>
  </w:style>
  <w:style w:type="paragraph" w:customStyle="1" w:styleId="240">
    <w:name w:val="一级标题"/>
    <w:basedOn w:val="2"/>
    <w:next w:val="239"/>
    <w:autoRedefine/>
    <w:qFormat/>
    <w:uiPriority w:val="0"/>
    <w:pPr>
      <w:numPr>
        <w:numId w:val="11"/>
      </w:numPr>
      <w:tabs>
        <w:tab w:val="left" w:pos="0"/>
      </w:tabs>
      <w:spacing w:line="480" w:lineRule="auto"/>
      <w:contextualSpacing w:val="0"/>
      <w:jc w:val="center"/>
    </w:pPr>
    <w:rPr>
      <w:rFonts w:eastAsia="华文中宋"/>
      <w:sz w:val="30"/>
      <w:lang w:val="zh-CN"/>
    </w:rPr>
  </w:style>
  <w:style w:type="paragraph" w:customStyle="1" w:styleId="241">
    <w:name w:val="二级标题"/>
    <w:basedOn w:val="3"/>
    <w:next w:val="239"/>
    <w:autoRedefine/>
    <w:qFormat/>
    <w:uiPriority w:val="0"/>
    <w:pPr>
      <w:numPr>
        <w:ilvl w:val="0"/>
        <w:numId w:val="0"/>
      </w:numPr>
      <w:tabs>
        <w:tab w:val="left" w:pos="0"/>
        <w:tab w:val="left" w:pos="360"/>
        <w:tab w:val="left" w:pos="576"/>
      </w:tabs>
      <w:snapToGrid/>
      <w:spacing w:line="480" w:lineRule="auto"/>
      <w:jc w:val="left"/>
    </w:pPr>
    <w:rPr>
      <w:rFonts w:eastAsia="华文中宋"/>
      <w:kern w:val="0"/>
      <w:sz w:val="28"/>
      <w:lang w:val="zh-CN"/>
    </w:rPr>
  </w:style>
  <w:style w:type="paragraph" w:customStyle="1" w:styleId="242">
    <w:name w:val="三级标题"/>
    <w:basedOn w:val="4"/>
    <w:next w:val="239"/>
    <w:autoRedefine/>
    <w:qFormat/>
    <w:uiPriority w:val="0"/>
    <w:pPr>
      <w:numPr>
        <w:ilvl w:val="0"/>
        <w:numId w:val="0"/>
      </w:numPr>
      <w:tabs>
        <w:tab w:val="left" w:pos="738"/>
        <w:tab w:val="left" w:pos="1359"/>
        <w:tab w:val="left" w:pos="1430"/>
      </w:tabs>
      <w:spacing w:line="415" w:lineRule="auto"/>
      <w:ind w:left="639"/>
      <w:jc w:val="left"/>
    </w:pPr>
    <w:rPr>
      <w:rFonts w:ascii="Calibri" w:hAnsi="Calibri" w:eastAsia="华文中宋"/>
    </w:rPr>
  </w:style>
  <w:style w:type="paragraph" w:customStyle="1" w:styleId="243">
    <w:name w:val="四级标题"/>
    <w:basedOn w:val="5"/>
    <w:next w:val="239"/>
    <w:autoRedefine/>
    <w:qFormat/>
    <w:uiPriority w:val="0"/>
    <w:pPr>
      <w:numPr>
        <w:ilvl w:val="0"/>
        <w:numId w:val="0"/>
      </w:numPr>
      <w:tabs>
        <w:tab w:val="left" w:pos="567"/>
        <w:tab w:val="left" w:pos="864"/>
      </w:tabs>
      <w:adjustRightInd/>
      <w:snapToGrid/>
      <w:spacing w:line="377" w:lineRule="auto"/>
      <w:jc w:val="left"/>
    </w:pPr>
    <w:rPr>
      <w:rFonts w:ascii="Cambria" w:hAnsi="Cambria" w:eastAsia="华文中宋"/>
    </w:rPr>
  </w:style>
  <w:style w:type="paragraph" w:styleId="244">
    <w:name w:val="No Spacing"/>
    <w:link w:val="245"/>
    <w:autoRedefine/>
    <w:qFormat/>
    <w:uiPriority w:val="1"/>
    <w:rPr>
      <w:rFonts w:ascii="Calibri" w:hAnsi="Calibri" w:eastAsia="宋体" w:cs="Times New Roman"/>
      <w:sz w:val="22"/>
      <w:szCs w:val="22"/>
      <w:lang w:val="en-US" w:eastAsia="zh-CN" w:bidi="ar-SA"/>
    </w:rPr>
  </w:style>
  <w:style w:type="character" w:customStyle="1" w:styleId="245">
    <w:name w:val="无间隔 字符"/>
    <w:link w:val="244"/>
    <w:autoRedefine/>
    <w:qFormat/>
    <w:uiPriority w:val="1"/>
    <w:rPr>
      <w:rFonts w:ascii="Calibri" w:hAnsi="Calibri" w:eastAsia="宋体" w:cs="Times New Roman"/>
      <w:sz w:val="22"/>
      <w:szCs w:val="22"/>
    </w:rPr>
  </w:style>
  <w:style w:type="paragraph" w:customStyle="1" w:styleId="246">
    <w:name w:val="变更与声明内容（绿盟科技）"/>
    <w:basedOn w:val="1"/>
    <w:autoRedefine/>
    <w:qFormat/>
    <w:uiPriority w:val="0"/>
    <w:pPr>
      <w:widowControl/>
      <w:tabs>
        <w:tab w:val="left" w:pos="0"/>
        <w:tab w:val="left" w:pos="992"/>
        <w:tab w:val="left" w:pos="1152"/>
      </w:tabs>
      <w:spacing w:line="300" w:lineRule="auto"/>
      <w:ind w:left="50" w:leftChars="50" w:right="50" w:rightChars="50" w:firstLine="0" w:firstLineChars="0"/>
      <w:jc w:val="left"/>
    </w:pPr>
    <w:rPr>
      <w:rFonts w:ascii="Arial" w:hAnsi="Arial"/>
      <w:kern w:val="0"/>
      <w:sz w:val="18"/>
      <w:szCs w:val="21"/>
    </w:rPr>
  </w:style>
  <w:style w:type="paragraph" w:customStyle="1" w:styleId="247">
    <w:name w:val="标题 1（威努特）"/>
    <w:basedOn w:val="2"/>
    <w:next w:val="1"/>
    <w:link w:val="248"/>
    <w:autoRedefine/>
    <w:qFormat/>
    <w:uiPriority w:val="0"/>
    <w:pPr>
      <w:numPr>
        <w:numId w:val="0"/>
      </w:numPr>
      <w:pBdr>
        <w:bottom w:val="single" w:color="auto" w:sz="48" w:space="1"/>
      </w:pBdr>
      <w:tabs>
        <w:tab w:val="left" w:pos="0"/>
      </w:tabs>
      <w:topLinePunct/>
      <w:spacing w:before="240" w:after="240" w:line="240" w:lineRule="auto"/>
      <w:ind w:left="-1004" w:hanging="907"/>
      <w:contextualSpacing w:val="0"/>
      <w:jc w:val="left"/>
    </w:pPr>
    <w:rPr>
      <w:rFonts w:ascii="Arial" w:hAnsi="Arial" w:eastAsia="黑体"/>
      <w:sz w:val="44"/>
    </w:rPr>
  </w:style>
  <w:style w:type="character" w:customStyle="1" w:styleId="248">
    <w:name w:val="标题 1（威努特） Char"/>
    <w:link w:val="247"/>
    <w:autoRedefine/>
    <w:qFormat/>
    <w:uiPriority w:val="0"/>
    <w:rPr>
      <w:rFonts w:ascii="Arial" w:hAnsi="Arial" w:eastAsia="黑体" w:cs="Times New Roman"/>
      <w:b/>
      <w:bCs/>
      <w:kern w:val="44"/>
      <w:sz w:val="44"/>
      <w:szCs w:val="44"/>
    </w:rPr>
  </w:style>
  <w:style w:type="character" w:customStyle="1" w:styleId="249">
    <w:name w:val="列出段落 Char1"/>
    <w:autoRedefine/>
    <w:qFormat/>
    <w:locked/>
    <w:uiPriority w:val="0"/>
    <w:rPr>
      <w:rFonts w:ascii="Calibri" w:hAnsi="Calibri" w:cs="Times New Roman"/>
    </w:rPr>
  </w:style>
  <w:style w:type="paragraph" w:customStyle="1" w:styleId="250">
    <w:name w:val="列出段落1"/>
    <w:basedOn w:val="1"/>
    <w:autoRedefine/>
    <w:qFormat/>
    <w:uiPriority w:val="34"/>
    <w:pPr>
      <w:tabs>
        <w:tab w:val="left" w:pos="0"/>
        <w:tab w:val="left" w:pos="992"/>
        <w:tab w:val="left" w:pos="1152"/>
      </w:tabs>
      <w:spacing w:line="360" w:lineRule="auto"/>
      <w:ind w:firstLine="420"/>
    </w:pPr>
    <w:rPr>
      <w:rFonts w:ascii="Calibri" w:hAnsi="Calibri" w:cs="Calibri"/>
      <w:sz w:val="21"/>
      <w:szCs w:val="21"/>
    </w:rPr>
  </w:style>
  <w:style w:type="paragraph" w:customStyle="1" w:styleId="251">
    <w:name w:val="标题 11"/>
    <w:basedOn w:val="1"/>
    <w:next w:val="1"/>
    <w:autoRedefine/>
    <w:qFormat/>
    <w:uiPriority w:val="0"/>
    <w:pPr>
      <w:keepNext/>
      <w:keepLines/>
      <w:pageBreakBefore/>
      <w:numPr>
        <w:ilvl w:val="3"/>
        <w:numId w:val="12"/>
      </w:numPr>
      <w:spacing w:before="120" w:after="120" w:line="480" w:lineRule="auto"/>
      <w:ind w:left="3823" w:firstLine="0" w:firstLineChars="0"/>
      <w:jc w:val="center"/>
      <w:outlineLvl w:val="0"/>
    </w:pPr>
    <w:rPr>
      <w:b/>
      <w:bCs/>
      <w:kern w:val="44"/>
      <w:sz w:val="44"/>
      <w:szCs w:val="44"/>
    </w:rPr>
  </w:style>
  <w:style w:type="paragraph" w:customStyle="1" w:styleId="252">
    <w:name w:val="标题 21"/>
    <w:basedOn w:val="1"/>
    <w:next w:val="49"/>
    <w:autoRedefine/>
    <w:qFormat/>
    <w:uiPriority w:val="0"/>
    <w:pPr>
      <w:keepNext/>
      <w:keepLines/>
      <w:numPr>
        <w:ilvl w:val="4"/>
        <w:numId w:val="12"/>
      </w:numPr>
      <w:spacing w:line="600" w:lineRule="auto"/>
      <w:ind w:left="-480" w:firstLine="0" w:firstLineChars="0"/>
      <w:outlineLvl w:val="1"/>
    </w:pPr>
    <w:rPr>
      <w:rFonts w:ascii="Calibri Light" w:hAnsi="Calibri Light"/>
      <w:b/>
      <w:bCs/>
      <w:sz w:val="32"/>
      <w:szCs w:val="32"/>
    </w:rPr>
  </w:style>
  <w:style w:type="paragraph" w:customStyle="1" w:styleId="253">
    <w:name w:val="标题 31"/>
    <w:basedOn w:val="1"/>
    <w:next w:val="1"/>
    <w:autoRedefine/>
    <w:qFormat/>
    <w:uiPriority w:val="0"/>
    <w:pPr>
      <w:keepNext/>
      <w:keepLines/>
      <w:widowControl/>
      <w:numPr>
        <w:ilvl w:val="2"/>
        <w:numId w:val="12"/>
      </w:numPr>
      <w:spacing w:line="480" w:lineRule="auto"/>
      <w:ind w:firstLine="0" w:firstLineChars="0"/>
      <w:jc w:val="left"/>
      <w:outlineLvl w:val="2"/>
    </w:pPr>
    <w:rPr>
      <w:b/>
      <w:bCs/>
      <w:sz w:val="32"/>
      <w:szCs w:val="32"/>
    </w:rPr>
  </w:style>
  <w:style w:type="paragraph" w:customStyle="1" w:styleId="254">
    <w:name w:val="标题 61"/>
    <w:basedOn w:val="1"/>
    <w:next w:val="1"/>
    <w:autoRedefine/>
    <w:qFormat/>
    <w:uiPriority w:val="0"/>
    <w:pPr>
      <w:keepNext/>
      <w:keepLines/>
      <w:widowControl/>
      <w:numPr>
        <w:ilvl w:val="5"/>
        <w:numId w:val="12"/>
      </w:numPr>
      <w:spacing w:line="480" w:lineRule="auto"/>
      <w:ind w:firstLine="0" w:firstLineChars="0"/>
      <w:jc w:val="left"/>
      <w:outlineLvl w:val="5"/>
    </w:pPr>
    <w:rPr>
      <w:rFonts w:ascii="Arial" w:hAnsi="Arial" w:eastAsia="黑体"/>
      <w:b/>
      <w:kern w:val="0"/>
      <w:szCs w:val="20"/>
    </w:rPr>
  </w:style>
  <w:style w:type="paragraph" w:customStyle="1" w:styleId="255">
    <w:name w:val="标题 71"/>
    <w:basedOn w:val="1"/>
    <w:next w:val="1"/>
    <w:autoRedefine/>
    <w:qFormat/>
    <w:uiPriority w:val="0"/>
    <w:pPr>
      <w:keepNext/>
      <w:keepLines/>
      <w:widowControl/>
      <w:numPr>
        <w:ilvl w:val="6"/>
        <w:numId w:val="12"/>
      </w:numPr>
      <w:spacing w:line="360" w:lineRule="auto"/>
      <w:ind w:left="420" w:hanging="420" w:firstLineChars="0"/>
      <w:jc w:val="left"/>
      <w:outlineLvl w:val="6"/>
    </w:pPr>
    <w:rPr>
      <w:b/>
      <w:kern w:val="0"/>
      <w:szCs w:val="20"/>
    </w:rPr>
  </w:style>
  <w:style w:type="paragraph" w:customStyle="1" w:styleId="256">
    <w:name w:val="正文（威努特技术有限公司）"/>
    <w:link w:val="257"/>
    <w:autoRedefine/>
    <w:qFormat/>
    <w:uiPriority w:val="99"/>
    <w:pPr>
      <w:spacing w:line="300" w:lineRule="auto"/>
    </w:pPr>
    <w:rPr>
      <w:rFonts w:ascii="Arial" w:hAnsi="Arial" w:eastAsia="宋体" w:cs="Times New Roman"/>
      <w:sz w:val="21"/>
      <w:szCs w:val="21"/>
      <w:lang w:val="en-US" w:eastAsia="zh-CN" w:bidi="ar-SA"/>
    </w:rPr>
  </w:style>
  <w:style w:type="character" w:customStyle="1" w:styleId="257">
    <w:name w:val="正文（威努特技术有限公司） Char"/>
    <w:link w:val="256"/>
    <w:autoRedefine/>
    <w:qFormat/>
    <w:uiPriority w:val="99"/>
    <w:rPr>
      <w:rFonts w:ascii="Arial" w:hAnsi="Arial" w:eastAsia="宋体" w:cs="Times New Roman"/>
      <w:sz w:val="21"/>
      <w:szCs w:val="21"/>
    </w:rPr>
  </w:style>
  <w:style w:type="paragraph" w:customStyle="1" w:styleId="258">
    <w:name w:val="标题 1（威努特技术有限公司）"/>
    <w:basedOn w:val="2"/>
    <w:next w:val="256"/>
    <w:autoRedefine/>
    <w:qFormat/>
    <w:uiPriority w:val="0"/>
    <w:pPr>
      <w:widowControl/>
      <w:numPr>
        <w:numId w:val="0"/>
      </w:numPr>
      <w:pBdr>
        <w:bottom w:val="single" w:color="auto" w:sz="48" w:space="1"/>
      </w:pBdr>
      <w:tabs>
        <w:tab w:val="left" w:pos="0"/>
      </w:tabs>
      <w:spacing w:before="600" w:after="330" w:line="576" w:lineRule="auto"/>
      <w:ind w:left="400" w:leftChars="400" w:hanging="200" w:hangingChars="200"/>
      <w:contextualSpacing w:val="0"/>
      <w:jc w:val="left"/>
    </w:pPr>
    <w:rPr>
      <w:rFonts w:ascii="Arial" w:hAnsi="Arial" w:eastAsia="黑体"/>
      <w:sz w:val="44"/>
    </w:rPr>
  </w:style>
  <w:style w:type="paragraph" w:customStyle="1" w:styleId="259">
    <w:name w:val="标题 5（有编号）（威努特技术有限公司）"/>
    <w:basedOn w:val="1"/>
    <w:next w:val="256"/>
    <w:autoRedefine/>
    <w:qFormat/>
    <w:uiPriority w:val="0"/>
    <w:pPr>
      <w:keepNext/>
      <w:keepLines/>
      <w:numPr>
        <w:ilvl w:val="4"/>
        <w:numId w:val="13"/>
      </w:numPr>
      <w:tabs>
        <w:tab w:val="left" w:pos="0"/>
        <w:tab w:val="left" w:pos="992"/>
        <w:tab w:val="left" w:pos="1152"/>
      </w:tabs>
      <w:spacing w:before="280" w:after="156" w:line="377" w:lineRule="auto"/>
      <w:ind w:firstLine="0" w:firstLineChars="0"/>
      <w:jc w:val="left"/>
      <w:outlineLvl w:val="4"/>
    </w:pPr>
    <w:rPr>
      <w:rFonts w:ascii="Arial" w:hAnsi="Arial" w:eastAsia="黑体"/>
      <w:b/>
      <w:kern w:val="0"/>
      <w:szCs w:val="28"/>
    </w:rPr>
  </w:style>
  <w:style w:type="paragraph" w:customStyle="1" w:styleId="260">
    <w:name w:val="标题 6（有编号）（威努特技术有限公司）"/>
    <w:basedOn w:val="1"/>
    <w:next w:val="256"/>
    <w:autoRedefine/>
    <w:qFormat/>
    <w:uiPriority w:val="0"/>
    <w:pPr>
      <w:keepNext/>
      <w:keepLines/>
      <w:numPr>
        <w:ilvl w:val="5"/>
        <w:numId w:val="13"/>
      </w:numPr>
      <w:tabs>
        <w:tab w:val="left" w:pos="360"/>
      </w:tabs>
      <w:spacing w:before="240" w:after="64" w:line="319" w:lineRule="auto"/>
      <w:ind w:left="0" w:firstLine="0" w:firstLineChars="0"/>
      <w:jc w:val="left"/>
      <w:outlineLvl w:val="5"/>
    </w:pPr>
    <w:rPr>
      <w:rFonts w:ascii="Arial" w:hAnsi="Arial" w:eastAsia="黑体"/>
      <w:b/>
      <w:kern w:val="0"/>
      <w:sz w:val="21"/>
    </w:rPr>
  </w:style>
  <w:style w:type="paragraph" w:customStyle="1" w:styleId="261">
    <w:name w:val="插图标注（威努特技术有限公司）"/>
    <w:next w:val="256"/>
    <w:autoRedefine/>
    <w:qFormat/>
    <w:uiPriority w:val="0"/>
    <w:pPr>
      <w:numPr>
        <w:ilvl w:val="6"/>
        <w:numId w:val="13"/>
      </w:numPr>
      <w:spacing w:after="156"/>
      <w:jc w:val="center"/>
    </w:pPr>
    <w:rPr>
      <w:rFonts w:ascii="Arial" w:hAnsi="Arial" w:eastAsia="宋体" w:cs="Arial"/>
      <w:sz w:val="21"/>
      <w:szCs w:val="21"/>
      <w:lang w:val="en-US" w:eastAsia="zh-CN" w:bidi="ar-SA"/>
    </w:rPr>
  </w:style>
  <w:style w:type="paragraph" w:customStyle="1" w:styleId="262">
    <w:name w:val="表格标注（威努特技术有限公司）"/>
    <w:basedOn w:val="261"/>
    <w:next w:val="256"/>
    <w:autoRedefine/>
    <w:qFormat/>
    <w:uiPriority w:val="0"/>
    <w:pPr>
      <w:numPr>
        <w:ilvl w:val="7"/>
      </w:numPr>
    </w:pPr>
  </w:style>
  <w:style w:type="paragraph" w:customStyle="1" w:styleId="263">
    <w:name w:val="样式 段落缩进2 小四 + 段前: 15.6 磅"/>
    <w:basedOn w:val="1"/>
    <w:autoRedefine/>
    <w:qFormat/>
    <w:uiPriority w:val="0"/>
    <w:pPr>
      <w:tabs>
        <w:tab w:val="left" w:pos="0"/>
        <w:tab w:val="left" w:pos="992"/>
        <w:tab w:val="left" w:pos="1152"/>
      </w:tabs>
      <w:spacing w:before="312" w:line="360" w:lineRule="auto"/>
    </w:pPr>
    <w:rPr>
      <w:rFonts w:ascii="宋体" w:hAnsi="宋体"/>
      <w:szCs w:val="20"/>
    </w:rPr>
  </w:style>
  <w:style w:type="paragraph" w:customStyle="1" w:styleId="264">
    <w:name w:val="标题 2（威努特）"/>
    <w:basedOn w:val="3"/>
    <w:next w:val="1"/>
    <w:autoRedefine/>
    <w:qFormat/>
    <w:uiPriority w:val="0"/>
    <w:pPr>
      <w:numPr>
        <w:ilvl w:val="0"/>
        <w:numId w:val="14"/>
      </w:numPr>
      <w:tabs>
        <w:tab w:val="left" w:pos="0"/>
        <w:tab w:val="left" w:pos="432"/>
        <w:tab w:val="left" w:pos="576"/>
      </w:tabs>
      <w:snapToGrid/>
      <w:spacing w:before="260" w:after="260" w:line="415" w:lineRule="auto"/>
      <w:jc w:val="left"/>
    </w:pPr>
    <w:rPr>
      <w:rFonts w:ascii="Arial" w:hAnsi="Arial" w:eastAsia="黑体"/>
      <w:bCs w:val="0"/>
      <w:sz w:val="30"/>
    </w:rPr>
  </w:style>
  <w:style w:type="paragraph" w:customStyle="1" w:styleId="265">
    <w:name w:val="标题 3（威努特）"/>
    <w:basedOn w:val="4"/>
    <w:next w:val="1"/>
    <w:autoRedefine/>
    <w:qFormat/>
    <w:uiPriority w:val="0"/>
    <w:pPr>
      <w:numPr>
        <w:ilvl w:val="0"/>
        <w:numId w:val="0"/>
      </w:numPr>
      <w:tabs>
        <w:tab w:val="left" w:pos="960"/>
        <w:tab w:val="left" w:pos="1430"/>
      </w:tabs>
      <w:spacing w:before="120" w:after="120" w:line="360" w:lineRule="auto"/>
      <w:jc w:val="left"/>
    </w:pPr>
    <w:rPr>
      <w:rFonts w:ascii="Arial" w:hAnsi="Arial" w:eastAsia="黑体"/>
      <w:bCs w:val="0"/>
      <w:kern w:val="0"/>
      <w:sz w:val="28"/>
      <w:szCs w:val="30"/>
      <w:lang w:val="en-US"/>
    </w:rPr>
  </w:style>
  <w:style w:type="paragraph" w:customStyle="1" w:styleId="266">
    <w:name w:val="标题 4（威努特）"/>
    <w:basedOn w:val="5"/>
    <w:next w:val="1"/>
    <w:autoRedefine/>
    <w:qFormat/>
    <w:uiPriority w:val="0"/>
    <w:pPr>
      <w:widowControl/>
      <w:numPr>
        <w:ilvl w:val="0"/>
        <w:numId w:val="0"/>
      </w:numPr>
      <w:tabs>
        <w:tab w:val="left" w:pos="864"/>
      </w:tabs>
      <w:adjustRightInd/>
      <w:snapToGrid/>
      <w:spacing w:before="280" w:after="156" w:line="376" w:lineRule="auto"/>
      <w:jc w:val="left"/>
    </w:pPr>
    <w:rPr>
      <w:rFonts w:ascii="Arial" w:hAnsi="Arial" w:eastAsia="黑体"/>
      <w:bCs w:val="0"/>
      <w:kern w:val="0"/>
    </w:rPr>
  </w:style>
  <w:style w:type="paragraph" w:customStyle="1" w:styleId="267">
    <w:name w:val="标题 5（有编号）（绿盟科技）"/>
    <w:basedOn w:val="1"/>
    <w:next w:val="1"/>
    <w:autoRedefine/>
    <w:qFormat/>
    <w:uiPriority w:val="0"/>
    <w:pPr>
      <w:keepNext/>
      <w:keepLines/>
      <w:tabs>
        <w:tab w:val="left" w:pos="0"/>
        <w:tab w:val="left" w:pos="992"/>
        <w:tab w:val="left" w:pos="1152"/>
      </w:tabs>
      <w:spacing w:before="280" w:after="156" w:line="377" w:lineRule="auto"/>
      <w:ind w:left="1134" w:hanging="1134" w:firstLineChars="0"/>
      <w:jc w:val="left"/>
      <w:outlineLvl w:val="4"/>
    </w:pPr>
    <w:rPr>
      <w:rFonts w:ascii="Arial" w:hAnsi="Arial" w:eastAsia="黑体"/>
      <w:b/>
      <w:kern w:val="0"/>
      <w:szCs w:val="28"/>
    </w:rPr>
  </w:style>
  <w:style w:type="paragraph" w:customStyle="1" w:styleId="268">
    <w:name w:val="标题 6（有编号）（绿盟科技）"/>
    <w:basedOn w:val="1"/>
    <w:next w:val="1"/>
    <w:autoRedefine/>
    <w:qFormat/>
    <w:uiPriority w:val="0"/>
    <w:pPr>
      <w:keepNext/>
      <w:keepLines/>
      <w:tabs>
        <w:tab w:val="left" w:pos="0"/>
        <w:tab w:val="left" w:pos="992"/>
        <w:tab w:val="left" w:pos="1152"/>
      </w:tabs>
      <w:spacing w:before="240" w:after="64" w:line="319" w:lineRule="auto"/>
      <w:ind w:left="1247" w:hanging="1247" w:firstLineChars="0"/>
      <w:jc w:val="left"/>
      <w:outlineLvl w:val="5"/>
    </w:pPr>
    <w:rPr>
      <w:rFonts w:ascii="Arial" w:hAnsi="Arial" w:eastAsia="黑体"/>
      <w:b/>
      <w:kern w:val="0"/>
      <w:sz w:val="21"/>
    </w:rPr>
  </w:style>
  <w:style w:type="paragraph" w:customStyle="1" w:styleId="269">
    <w:name w:val="插图标注（绿盟科技）"/>
    <w:next w:val="1"/>
    <w:autoRedefine/>
    <w:qFormat/>
    <w:uiPriority w:val="0"/>
    <w:pPr>
      <w:spacing w:after="156"/>
      <w:jc w:val="center"/>
    </w:pPr>
    <w:rPr>
      <w:rFonts w:ascii="Arial" w:hAnsi="Arial" w:eastAsia="宋体" w:cs="Arial"/>
      <w:sz w:val="21"/>
      <w:szCs w:val="21"/>
      <w:lang w:val="en-US" w:eastAsia="zh-CN" w:bidi="ar-SA"/>
    </w:rPr>
  </w:style>
  <w:style w:type="paragraph" w:customStyle="1" w:styleId="270">
    <w:name w:val="表格标注（绿盟科技）"/>
    <w:basedOn w:val="269"/>
    <w:next w:val="1"/>
    <w:autoRedefine/>
    <w:qFormat/>
    <w:uiPriority w:val="0"/>
  </w:style>
  <w:style w:type="paragraph" w:customStyle="1" w:styleId="271">
    <w:name w:val="样式(正文)"/>
    <w:basedOn w:val="1"/>
    <w:autoRedefine/>
    <w:qFormat/>
    <w:uiPriority w:val="0"/>
    <w:pPr>
      <w:tabs>
        <w:tab w:val="left" w:pos="0"/>
        <w:tab w:val="left" w:pos="992"/>
        <w:tab w:val="left" w:pos="1152"/>
      </w:tabs>
      <w:spacing w:line="360" w:lineRule="auto"/>
      <w:jc w:val="left"/>
    </w:pPr>
    <w:rPr>
      <w:rFonts w:ascii="宋体" w:hAnsi="宋体"/>
      <w:sz w:val="21"/>
    </w:rPr>
  </w:style>
  <w:style w:type="paragraph" w:customStyle="1" w:styleId="272">
    <w:name w:val="正文空两格"/>
    <w:basedOn w:val="1"/>
    <w:link w:val="273"/>
    <w:autoRedefine/>
    <w:qFormat/>
    <w:uiPriority w:val="0"/>
    <w:pPr>
      <w:widowControl/>
      <w:tabs>
        <w:tab w:val="left" w:pos="0"/>
        <w:tab w:val="left" w:pos="992"/>
        <w:tab w:val="left" w:pos="1152"/>
      </w:tabs>
      <w:spacing w:before="120" w:after="120" w:line="360" w:lineRule="auto"/>
      <w:jc w:val="left"/>
    </w:pPr>
    <w:rPr>
      <w:sz w:val="21"/>
    </w:rPr>
  </w:style>
  <w:style w:type="character" w:customStyle="1" w:styleId="273">
    <w:name w:val="正文空两格 Char"/>
    <w:link w:val="272"/>
    <w:autoRedefine/>
    <w:qFormat/>
    <w:locked/>
    <w:uiPriority w:val="0"/>
    <w:rPr>
      <w:rFonts w:ascii="Times New Roman" w:hAnsi="Times New Roman" w:eastAsia="宋体" w:cs="Times New Roman"/>
      <w:kern w:val="2"/>
      <w:sz w:val="21"/>
      <w:szCs w:val="24"/>
    </w:rPr>
  </w:style>
  <w:style w:type="paragraph" w:customStyle="1" w:styleId="274">
    <w:name w:val="列表编号1"/>
    <w:basedOn w:val="1"/>
    <w:autoRedefine/>
    <w:qFormat/>
    <w:uiPriority w:val="0"/>
    <w:pPr>
      <w:numPr>
        <w:ilvl w:val="0"/>
        <w:numId w:val="15"/>
      </w:numPr>
      <w:tabs>
        <w:tab w:val="left" w:pos="0"/>
        <w:tab w:val="left" w:pos="992"/>
        <w:tab w:val="left" w:pos="1152"/>
      </w:tabs>
      <w:spacing w:line="360" w:lineRule="auto"/>
      <w:ind w:firstLine="0" w:firstLineChars="0"/>
      <w:jc w:val="left"/>
    </w:pPr>
    <w:rPr>
      <w:sz w:val="21"/>
    </w:rPr>
  </w:style>
  <w:style w:type="paragraph" w:customStyle="1" w:styleId="275">
    <w:name w:val="标题 2（威努特技术有限公司）"/>
    <w:basedOn w:val="3"/>
    <w:next w:val="256"/>
    <w:autoRedefine/>
    <w:qFormat/>
    <w:uiPriority w:val="0"/>
    <w:pPr>
      <w:numPr>
        <w:ilvl w:val="0"/>
        <w:numId w:val="0"/>
      </w:numPr>
      <w:tabs>
        <w:tab w:val="left" w:pos="0"/>
        <w:tab w:val="left" w:pos="576"/>
      </w:tabs>
      <w:snapToGrid/>
      <w:spacing w:before="260" w:after="260" w:line="415" w:lineRule="auto"/>
      <w:ind w:left="794" w:hanging="794"/>
      <w:jc w:val="left"/>
    </w:pPr>
    <w:rPr>
      <w:rFonts w:ascii="Arial" w:hAnsi="Arial" w:eastAsia="黑体"/>
      <w:bCs w:val="0"/>
      <w:sz w:val="30"/>
    </w:rPr>
  </w:style>
  <w:style w:type="paragraph" w:customStyle="1" w:styleId="276">
    <w:name w:val="标题 3（威努特技术有限公司）"/>
    <w:basedOn w:val="4"/>
    <w:next w:val="256"/>
    <w:autoRedefine/>
    <w:qFormat/>
    <w:uiPriority w:val="0"/>
    <w:pPr>
      <w:numPr>
        <w:ilvl w:val="0"/>
        <w:numId w:val="0"/>
      </w:numPr>
      <w:tabs>
        <w:tab w:val="left" w:pos="960"/>
        <w:tab w:val="left" w:pos="1430"/>
      </w:tabs>
      <w:spacing w:before="260" w:after="260" w:line="415" w:lineRule="auto"/>
      <w:ind w:left="907" w:hanging="907"/>
      <w:jc w:val="left"/>
    </w:pPr>
    <w:rPr>
      <w:rFonts w:ascii="Arial" w:hAnsi="Arial" w:eastAsia="黑体"/>
      <w:bCs w:val="0"/>
      <w:kern w:val="0"/>
      <w:sz w:val="28"/>
      <w:szCs w:val="30"/>
      <w:lang w:val="en-US"/>
    </w:rPr>
  </w:style>
  <w:style w:type="paragraph" w:customStyle="1" w:styleId="277">
    <w:name w:val="标题 4（威努特技术有限公司）"/>
    <w:basedOn w:val="5"/>
    <w:next w:val="256"/>
    <w:autoRedefine/>
    <w:qFormat/>
    <w:uiPriority w:val="0"/>
    <w:pPr>
      <w:widowControl/>
      <w:numPr>
        <w:ilvl w:val="0"/>
        <w:numId w:val="0"/>
      </w:numPr>
      <w:tabs>
        <w:tab w:val="left" w:pos="864"/>
      </w:tabs>
      <w:adjustRightInd/>
      <w:snapToGrid/>
      <w:spacing w:before="280" w:after="156" w:line="376" w:lineRule="auto"/>
      <w:ind w:left="1021" w:hanging="1021"/>
      <w:jc w:val="left"/>
    </w:pPr>
    <w:rPr>
      <w:rFonts w:ascii="Arial" w:hAnsi="Arial" w:eastAsia="黑体"/>
      <w:bCs w:val="0"/>
      <w:kern w:val="0"/>
    </w:rPr>
  </w:style>
  <w:style w:type="paragraph" w:styleId="278">
    <w:name w:val="Quote"/>
    <w:basedOn w:val="1"/>
    <w:next w:val="1"/>
    <w:link w:val="279"/>
    <w:autoRedefine/>
    <w:qFormat/>
    <w:uiPriority w:val="29"/>
    <w:pPr>
      <w:tabs>
        <w:tab w:val="left" w:pos="0"/>
        <w:tab w:val="left" w:pos="992"/>
        <w:tab w:val="left" w:pos="1152"/>
      </w:tabs>
      <w:spacing w:before="200" w:after="160" w:line="360" w:lineRule="auto"/>
      <w:ind w:left="864" w:right="864" w:firstLine="0" w:firstLineChars="0"/>
      <w:jc w:val="center"/>
    </w:pPr>
    <w:rPr>
      <w:rFonts w:ascii="宋体" w:hAnsi="宋体"/>
      <w:i/>
      <w:iCs/>
      <w:color w:val="404040"/>
      <w:szCs w:val="22"/>
    </w:rPr>
  </w:style>
  <w:style w:type="character" w:customStyle="1" w:styleId="279">
    <w:name w:val="引用 字符"/>
    <w:basedOn w:val="52"/>
    <w:link w:val="278"/>
    <w:autoRedefine/>
    <w:qFormat/>
    <w:uiPriority w:val="29"/>
    <w:rPr>
      <w:rFonts w:ascii="宋体" w:hAnsi="宋体" w:eastAsia="宋体" w:cs="Times New Roman"/>
      <w:i/>
      <w:iCs/>
      <w:color w:val="404040"/>
      <w:kern w:val="2"/>
      <w:sz w:val="24"/>
      <w:szCs w:val="22"/>
    </w:rPr>
  </w:style>
  <w:style w:type="paragraph" w:customStyle="1" w:styleId="280">
    <w:name w:val="a正文"/>
    <w:autoRedefine/>
    <w:qFormat/>
    <w:uiPriority w:val="0"/>
    <w:pPr>
      <w:spacing w:before="156" w:beforeLines="50" w:line="300" w:lineRule="auto"/>
      <w:ind w:firstLine="420" w:firstLineChars="200"/>
    </w:pPr>
    <w:rPr>
      <w:rFonts w:ascii="Times New Roman" w:hAnsi="Times New Roman" w:eastAsia="宋体" w:cs="Times New Roman"/>
      <w:kern w:val="2"/>
      <w:sz w:val="21"/>
      <w:lang w:val="en-US" w:eastAsia="zh-CN" w:bidi="ar-SA"/>
    </w:rPr>
  </w:style>
  <w:style w:type="paragraph" w:customStyle="1" w:styleId="281">
    <w:name w:val="附录二级标题"/>
    <w:basedOn w:val="1"/>
    <w:next w:val="1"/>
    <w:link w:val="282"/>
    <w:autoRedefine/>
    <w:qFormat/>
    <w:uiPriority w:val="0"/>
    <w:pPr>
      <w:tabs>
        <w:tab w:val="left" w:pos="0"/>
        <w:tab w:val="left" w:pos="992"/>
        <w:tab w:val="left" w:pos="1152"/>
      </w:tabs>
      <w:spacing w:line="360" w:lineRule="auto"/>
      <w:ind w:firstLine="0" w:firstLineChars="0"/>
      <w:outlineLvl w:val="1"/>
    </w:pPr>
    <w:rPr>
      <w:rFonts w:ascii="等线" w:hAnsi="等线" w:eastAsia="黑体"/>
      <w:b/>
      <w:sz w:val="28"/>
      <w:szCs w:val="21"/>
    </w:rPr>
  </w:style>
  <w:style w:type="character" w:customStyle="1" w:styleId="282">
    <w:name w:val="附录二级标题 字符"/>
    <w:link w:val="281"/>
    <w:autoRedefine/>
    <w:qFormat/>
    <w:uiPriority w:val="0"/>
    <w:rPr>
      <w:rFonts w:ascii="等线" w:hAnsi="等线" w:eastAsia="黑体" w:cs="Times New Roman"/>
      <w:b/>
      <w:kern w:val="2"/>
      <w:sz w:val="28"/>
      <w:szCs w:val="21"/>
    </w:rPr>
  </w:style>
  <w:style w:type="paragraph" w:customStyle="1" w:styleId="283">
    <w:name w:val="附录三级标题"/>
    <w:basedOn w:val="1"/>
    <w:next w:val="1"/>
    <w:link w:val="284"/>
    <w:autoRedefine/>
    <w:qFormat/>
    <w:uiPriority w:val="0"/>
    <w:pPr>
      <w:tabs>
        <w:tab w:val="left" w:pos="0"/>
        <w:tab w:val="left" w:pos="992"/>
        <w:tab w:val="left" w:pos="1152"/>
      </w:tabs>
      <w:spacing w:line="360" w:lineRule="auto"/>
      <w:ind w:left="1134" w:hanging="567" w:firstLineChars="0"/>
      <w:outlineLvl w:val="2"/>
    </w:pPr>
    <w:rPr>
      <w:rFonts w:ascii="等线" w:hAnsi="等线" w:eastAsia="黑体"/>
      <w:b/>
      <w:sz w:val="28"/>
      <w:szCs w:val="21"/>
    </w:rPr>
  </w:style>
  <w:style w:type="character" w:customStyle="1" w:styleId="284">
    <w:name w:val="附录三级标题 字符"/>
    <w:link w:val="283"/>
    <w:autoRedefine/>
    <w:qFormat/>
    <w:uiPriority w:val="0"/>
    <w:rPr>
      <w:rFonts w:ascii="等线" w:hAnsi="等线" w:eastAsia="黑体" w:cs="Times New Roman"/>
      <w:b/>
      <w:kern w:val="2"/>
      <w:sz w:val="28"/>
      <w:szCs w:val="21"/>
    </w:rPr>
  </w:style>
  <w:style w:type="paragraph" w:customStyle="1" w:styleId="285">
    <w:name w:val="附录四级标题"/>
    <w:basedOn w:val="1"/>
    <w:next w:val="1"/>
    <w:link w:val="286"/>
    <w:autoRedefine/>
    <w:qFormat/>
    <w:uiPriority w:val="0"/>
    <w:pPr>
      <w:tabs>
        <w:tab w:val="left" w:pos="0"/>
        <w:tab w:val="left" w:pos="992"/>
        <w:tab w:val="left" w:pos="1152"/>
      </w:tabs>
      <w:spacing w:line="360" w:lineRule="auto"/>
      <w:ind w:left="1984" w:hanging="708" w:firstLineChars="0"/>
      <w:outlineLvl w:val="3"/>
    </w:pPr>
    <w:rPr>
      <w:rFonts w:ascii="等线" w:hAnsi="等线" w:eastAsia="黑体"/>
      <w:b/>
      <w:sz w:val="28"/>
      <w:szCs w:val="21"/>
    </w:rPr>
  </w:style>
  <w:style w:type="character" w:customStyle="1" w:styleId="286">
    <w:name w:val="附录四级标题 字符"/>
    <w:link w:val="285"/>
    <w:autoRedefine/>
    <w:qFormat/>
    <w:uiPriority w:val="0"/>
    <w:rPr>
      <w:rFonts w:ascii="等线" w:hAnsi="等线" w:eastAsia="黑体" w:cs="Times New Roman"/>
      <w:b/>
      <w:kern w:val="2"/>
      <w:sz w:val="28"/>
      <w:szCs w:val="21"/>
    </w:rPr>
  </w:style>
  <w:style w:type="paragraph" w:customStyle="1" w:styleId="287">
    <w:name w:val="附录一级标题"/>
    <w:basedOn w:val="1"/>
    <w:next w:val="1"/>
    <w:link w:val="288"/>
    <w:autoRedefine/>
    <w:qFormat/>
    <w:uiPriority w:val="0"/>
    <w:pPr>
      <w:tabs>
        <w:tab w:val="left" w:pos="1276"/>
      </w:tabs>
      <w:spacing w:line="360" w:lineRule="auto"/>
      <w:ind w:left="425" w:hanging="425" w:firstLineChars="0"/>
      <w:jc w:val="left"/>
      <w:outlineLvl w:val="0"/>
    </w:pPr>
    <w:rPr>
      <w:rFonts w:ascii="等线" w:hAnsi="等线" w:eastAsia="黑体"/>
      <w:b/>
      <w:sz w:val="32"/>
      <w:szCs w:val="21"/>
    </w:rPr>
  </w:style>
  <w:style w:type="character" w:customStyle="1" w:styleId="288">
    <w:name w:val="附录一级标题 字符"/>
    <w:link w:val="287"/>
    <w:autoRedefine/>
    <w:qFormat/>
    <w:uiPriority w:val="0"/>
    <w:rPr>
      <w:rFonts w:ascii="等线" w:hAnsi="等线" w:eastAsia="黑体" w:cs="Times New Roman"/>
      <w:b/>
      <w:kern w:val="2"/>
      <w:sz w:val="32"/>
      <w:szCs w:val="21"/>
    </w:rPr>
  </w:style>
  <w:style w:type="paragraph" w:customStyle="1" w:styleId="289">
    <w:name w:val="样式30"/>
    <w:basedOn w:val="7"/>
    <w:autoRedefine/>
    <w:qFormat/>
    <w:uiPriority w:val="0"/>
    <w:pPr>
      <w:numPr>
        <w:ilvl w:val="0"/>
        <w:numId w:val="0"/>
      </w:numPr>
      <w:tabs>
        <w:tab w:val="left" w:pos="567"/>
        <w:tab w:val="left" w:pos="1152"/>
      </w:tabs>
      <w:spacing w:before="240" w:after="64"/>
      <w:jc w:val="left"/>
    </w:pPr>
    <w:rPr>
      <w:rFonts w:ascii="微软雅黑" w:hAnsi="微软雅黑" w:eastAsia="微软雅黑" w:cs="Times New Roman"/>
      <w:b/>
      <w:lang w:val="zh-CN"/>
    </w:rPr>
  </w:style>
  <w:style w:type="character" w:customStyle="1" w:styleId="290">
    <w:name w:val="未处理的提及2"/>
    <w:autoRedefine/>
    <w:unhideWhenUsed/>
    <w:qFormat/>
    <w:uiPriority w:val="99"/>
    <w:rPr>
      <w:color w:val="605E5C"/>
      <w:shd w:val="clear" w:color="auto" w:fill="E1DFDD"/>
    </w:rPr>
  </w:style>
  <w:style w:type="paragraph" w:customStyle="1" w:styleId="291">
    <w:name w:val="准正文样式"/>
    <w:basedOn w:val="14"/>
    <w:link w:val="292"/>
    <w:autoRedefine/>
    <w:qFormat/>
    <w:uiPriority w:val="0"/>
    <w:pPr>
      <w:tabs>
        <w:tab w:val="left" w:pos="0"/>
        <w:tab w:val="left" w:pos="992"/>
        <w:tab w:val="left" w:pos="1152"/>
        <w:tab w:val="clear" w:pos="28"/>
        <w:tab w:val="clear" w:pos="1620"/>
      </w:tabs>
      <w:spacing w:line="360" w:lineRule="auto"/>
      <w:ind w:firstLine="480"/>
    </w:pPr>
    <w:rPr>
      <w:rFonts w:ascii="宋体" w:hAnsi="宋体"/>
      <w:b w:val="0"/>
      <w:sz w:val="24"/>
      <w:szCs w:val="22"/>
      <w:u w:color="C00000"/>
    </w:rPr>
  </w:style>
  <w:style w:type="character" w:customStyle="1" w:styleId="292">
    <w:name w:val="准正文样式 字符"/>
    <w:link w:val="291"/>
    <w:autoRedefine/>
    <w:qFormat/>
    <w:uiPriority w:val="0"/>
    <w:rPr>
      <w:rFonts w:ascii="宋体" w:hAnsi="宋体" w:eastAsia="宋体" w:cs="Times New Roman"/>
      <w:kern w:val="2"/>
      <w:sz w:val="24"/>
      <w:szCs w:val="22"/>
      <w:u w:color="C00000"/>
    </w:rPr>
  </w:style>
  <w:style w:type="paragraph" w:customStyle="1" w:styleId="293">
    <w:name w:val="图形居中样式"/>
    <w:basedOn w:val="1"/>
    <w:link w:val="294"/>
    <w:autoRedefine/>
    <w:qFormat/>
    <w:uiPriority w:val="0"/>
    <w:pPr>
      <w:tabs>
        <w:tab w:val="left" w:pos="0"/>
        <w:tab w:val="left" w:pos="992"/>
        <w:tab w:val="left" w:pos="1152"/>
      </w:tabs>
      <w:spacing w:line="360" w:lineRule="auto"/>
      <w:ind w:firstLine="0" w:firstLineChars="0"/>
      <w:jc w:val="center"/>
    </w:pPr>
    <w:rPr>
      <w:rFonts w:ascii="宋体" w:hAnsi="宋体"/>
      <w:szCs w:val="22"/>
    </w:rPr>
  </w:style>
  <w:style w:type="character" w:customStyle="1" w:styleId="294">
    <w:name w:val="图形居中样式 字符"/>
    <w:link w:val="293"/>
    <w:autoRedefine/>
    <w:qFormat/>
    <w:uiPriority w:val="0"/>
    <w:rPr>
      <w:rFonts w:ascii="宋体" w:hAnsi="宋体" w:eastAsia="宋体" w:cs="Times New Roman"/>
      <w:kern w:val="2"/>
      <w:sz w:val="24"/>
      <w:szCs w:val="22"/>
    </w:rPr>
  </w:style>
  <w:style w:type="character" w:customStyle="1" w:styleId="295">
    <w:name w:val="未处理的提及3"/>
    <w:autoRedefine/>
    <w:unhideWhenUsed/>
    <w:qFormat/>
    <w:uiPriority w:val="99"/>
    <w:rPr>
      <w:color w:val="605E5C"/>
      <w:shd w:val="clear" w:color="auto" w:fill="E1DFDD"/>
    </w:rPr>
  </w:style>
  <w:style w:type="paragraph" w:customStyle="1" w:styleId="296">
    <w:name w:val="主标题2"/>
    <w:basedOn w:val="1"/>
    <w:autoRedefine/>
    <w:qFormat/>
    <w:uiPriority w:val="0"/>
    <w:pPr>
      <w:tabs>
        <w:tab w:val="left" w:pos="0"/>
        <w:tab w:val="left" w:pos="992"/>
        <w:tab w:val="left" w:pos="1152"/>
      </w:tabs>
      <w:spacing w:before="100" w:beforeAutospacing="1" w:after="100" w:afterAutospacing="1" w:line="600" w:lineRule="auto"/>
      <w:ind w:firstLine="0" w:firstLineChars="0"/>
      <w:outlineLvl w:val="1"/>
    </w:pPr>
    <w:rPr>
      <w:b/>
      <w:sz w:val="32"/>
      <w:szCs w:val="32"/>
    </w:rPr>
  </w:style>
  <w:style w:type="paragraph" w:customStyle="1" w:styleId="297">
    <w:name w:val="主正文"/>
    <w:basedOn w:val="1"/>
    <w:autoRedefine/>
    <w:qFormat/>
    <w:uiPriority w:val="0"/>
    <w:pPr>
      <w:tabs>
        <w:tab w:val="left" w:pos="0"/>
        <w:tab w:val="left" w:pos="992"/>
        <w:tab w:val="left" w:pos="1152"/>
      </w:tabs>
      <w:spacing w:before="100" w:beforeAutospacing="1" w:afterLines="50" w:line="360" w:lineRule="auto"/>
    </w:pPr>
  </w:style>
  <w:style w:type="paragraph" w:customStyle="1" w:styleId="298">
    <w:name w:val="List Paragraph1"/>
    <w:basedOn w:val="1"/>
    <w:autoRedefine/>
    <w:qFormat/>
    <w:uiPriority w:val="0"/>
    <w:pPr>
      <w:tabs>
        <w:tab w:val="left" w:pos="0"/>
        <w:tab w:val="left" w:pos="992"/>
        <w:tab w:val="left" w:pos="1152"/>
      </w:tabs>
      <w:spacing w:line="240" w:lineRule="auto"/>
      <w:ind w:firstLine="420"/>
    </w:pPr>
    <w:rPr>
      <w:sz w:val="21"/>
      <w:szCs w:val="21"/>
    </w:rPr>
  </w:style>
  <w:style w:type="character" w:customStyle="1" w:styleId="299">
    <w:name w:val="未处理的提及4"/>
    <w:autoRedefine/>
    <w:unhideWhenUsed/>
    <w:qFormat/>
    <w:uiPriority w:val="99"/>
    <w:rPr>
      <w:color w:val="605E5C"/>
      <w:shd w:val="clear" w:color="auto" w:fill="E1DFDD"/>
    </w:rPr>
  </w:style>
  <w:style w:type="paragraph" w:customStyle="1" w:styleId="300">
    <w:name w:val="列出段落2"/>
    <w:basedOn w:val="1"/>
    <w:autoRedefine/>
    <w:qFormat/>
    <w:uiPriority w:val="0"/>
    <w:pPr>
      <w:tabs>
        <w:tab w:val="left" w:pos="0"/>
        <w:tab w:val="left" w:pos="992"/>
        <w:tab w:val="left" w:pos="1152"/>
      </w:tabs>
      <w:spacing w:line="240" w:lineRule="auto"/>
      <w:ind w:firstLine="420"/>
    </w:pPr>
    <w:rPr>
      <w:kern w:val="0"/>
      <w:sz w:val="20"/>
      <w:szCs w:val="20"/>
    </w:rPr>
  </w:style>
  <w:style w:type="character" w:customStyle="1" w:styleId="301">
    <w:name w:val="font21"/>
    <w:autoRedefine/>
    <w:qFormat/>
    <w:uiPriority w:val="0"/>
    <w:rPr>
      <w:rFonts w:hint="default" w:ascii="Calibri" w:hAnsi="Calibri" w:cs="Calibri"/>
      <w:color w:val="000000"/>
      <w:sz w:val="22"/>
      <w:szCs w:val="22"/>
      <w:u w:val="none"/>
    </w:rPr>
  </w:style>
  <w:style w:type="character" w:customStyle="1" w:styleId="302">
    <w:name w:val="font11"/>
    <w:autoRedefine/>
    <w:qFormat/>
    <w:uiPriority w:val="0"/>
    <w:rPr>
      <w:rFonts w:hint="eastAsia" w:ascii="宋体" w:hAnsi="宋体" w:eastAsia="宋体"/>
      <w:color w:val="000000"/>
      <w:sz w:val="22"/>
      <w:szCs w:val="22"/>
      <w:u w:val="none"/>
    </w:rPr>
  </w:style>
  <w:style w:type="paragraph" w:customStyle="1" w:styleId="303">
    <w:name w:val="正文2"/>
    <w:autoRedefine/>
    <w:qFormat/>
    <w:uiPriority w:val="0"/>
    <w:pPr>
      <w:jc w:val="both"/>
    </w:pPr>
    <w:rPr>
      <w:rFonts w:ascii="Times New Roman" w:hAnsi="Times New Roman" w:eastAsia="宋体" w:cs="Times New Roman"/>
      <w:kern w:val="2"/>
      <w:sz w:val="21"/>
      <w:szCs w:val="21"/>
      <w:lang w:val="en-US" w:eastAsia="zh-CN" w:bidi="ar-SA"/>
    </w:rPr>
  </w:style>
  <w:style w:type="character" w:customStyle="1" w:styleId="304">
    <w:name w:val="15"/>
    <w:autoRedefine/>
    <w:qFormat/>
    <w:uiPriority w:val="0"/>
    <w:rPr>
      <w:rFonts w:hint="default" w:ascii="Times New Roman" w:hAnsi="Times New Roman" w:cs="Times New Roman"/>
      <w:sz w:val="21"/>
      <w:szCs w:val="21"/>
    </w:rPr>
  </w:style>
  <w:style w:type="paragraph" w:customStyle="1" w:styleId="305">
    <w:name w:val="表头-WNT"/>
    <w:basedOn w:val="14"/>
    <w:link w:val="306"/>
    <w:autoRedefine/>
    <w:qFormat/>
    <w:uiPriority w:val="0"/>
    <w:pPr>
      <w:tabs>
        <w:tab w:val="left" w:pos="0"/>
        <w:tab w:val="left" w:pos="992"/>
        <w:tab w:val="left" w:pos="1152"/>
        <w:tab w:val="clear" w:pos="28"/>
        <w:tab w:val="clear" w:pos="1620"/>
      </w:tabs>
      <w:spacing w:line="360" w:lineRule="auto"/>
      <w:ind w:firstLine="422"/>
      <w:jc w:val="center"/>
    </w:pPr>
    <w:rPr>
      <w:rFonts w:ascii="宋体" w:hAnsi="宋体"/>
      <w:bCs/>
      <w:u w:color="C00000"/>
    </w:rPr>
  </w:style>
  <w:style w:type="character" w:customStyle="1" w:styleId="306">
    <w:name w:val="表头-WNT 字符"/>
    <w:link w:val="305"/>
    <w:autoRedefine/>
    <w:qFormat/>
    <w:uiPriority w:val="0"/>
    <w:rPr>
      <w:rFonts w:ascii="宋体" w:hAnsi="宋体" w:eastAsia="宋体" w:cs="Times New Roman"/>
      <w:b/>
      <w:bCs/>
      <w:kern w:val="2"/>
      <w:sz w:val="21"/>
      <w:szCs w:val="21"/>
      <w:u w:color="C00000"/>
    </w:rPr>
  </w:style>
  <w:style w:type="paragraph" w:customStyle="1" w:styleId="307">
    <w:name w:val="文档标题"/>
    <w:basedOn w:val="247"/>
    <w:link w:val="308"/>
    <w:autoRedefine/>
    <w:qFormat/>
    <w:uiPriority w:val="0"/>
    <w:pPr>
      <w:spacing w:before="163" w:after="163"/>
      <w:ind w:left="0" w:firstLine="0"/>
      <w:jc w:val="center"/>
    </w:pPr>
    <w:rPr>
      <w:rFonts w:ascii="黑体" w:hAnsi="黑体"/>
    </w:rPr>
  </w:style>
  <w:style w:type="character" w:customStyle="1" w:styleId="308">
    <w:name w:val="文档标题 字符"/>
    <w:link w:val="307"/>
    <w:autoRedefine/>
    <w:qFormat/>
    <w:uiPriority w:val="0"/>
    <w:rPr>
      <w:rFonts w:ascii="黑体" w:hAnsi="黑体" w:eastAsia="黑体" w:cs="Times New Roman"/>
      <w:b/>
      <w:bCs/>
      <w:kern w:val="44"/>
      <w:sz w:val="44"/>
      <w:szCs w:val="44"/>
    </w:rPr>
  </w:style>
  <w:style w:type="character" w:customStyle="1" w:styleId="309">
    <w:name w:val="列表段落 字符1"/>
    <w:autoRedefine/>
    <w:qFormat/>
    <w:uiPriority w:val="99"/>
    <w:rPr>
      <w:szCs w:val="24"/>
      <w:lang w:val="zh-CN"/>
    </w:rPr>
  </w:style>
  <w:style w:type="paragraph" w:customStyle="1" w:styleId="310">
    <w:name w:val="正文列表"/>
    <w:basedOn w:val="1"/>
    <w:autoRedefine/>
    <w:qFormat/>
    <w:uiPriority w:val="0"/>
    <w:pPr>
      <w:widowControl/>
      <w:numPr>
        <w:ilvl w:val="0"/>
        <w:numId w:val="16"/>
      </w:numPr>
      <w:spacing w:after="4" w:line="360" w:lineRule="auto"/>
      <w:ind w:firstLine="420" w:firstLineChars="0"/>
      <w:jc w:val="left"/>
    </w:pPr>
    <w:rPr>
      <w:rFonts w:ascii="宋体" w:hAnsi="宋体" w:cs="宋体"/>
      <w:sz w:val="21"/>
    </w:rPr>
  </w:style>
  <w:style w:type="paragraph" w:customStyle="1" w:styleId="311">
    <w:name w:val="黑点列表"/>
    <w:basedOn w:val="310"/>
    <w:link w:val="312"/>
    <w:autoRedefine/>
    <w:qFormat/>
    <w:uiPriority w:val="0"/>
    <w:pPr>
      <w:spacing w:after="0" w:line="400" w:lineRule="exact"/>
    </w:pPr>
    <w:rPr>
      <w:rFonts w:ascii="微软雅黑" w:hAnsi="微软雅黑"/>
    </w:rPr>
  </w:style>
  <w:style w:type="character" w:customStyle="1" w:styleId="312">
    <w:name w:val="黑点列表 Char"/>
    <w:basedOn w:val="52"/>
    <w:link w:val="311"/>
    <w:autoRedefine/>
    <w:qFormat/>
    <w:uiPriority w:val="0"/>
    <w:rPr>
      <w:rFonts w:ascii="微软雅黑" w:hAnsi="微软雅黑" w:eastAsia="宋体" w:cs="宋体"/>
      <w:kern w:val="2"/>
      <w:sz w:val="21"/>
      <w:szCs w:val="24"/>
    </w:rPr>
  </w:style>
  <w:style w:type="paragraph" w:customStyle="1" w:styleId="313">
    <w:name w:val="正文图片"/>
    <w:basedOn w:val="14"/>
    <w:autoRedefine/>
    <w:qFormat/>
    <w:uiPriority w:val="0"/>
    <w:pPr>
      <w:tabs>
        <w:tab w:val="clear" w:pos="28"/>
        <w:tab w:val="clear" w:pos="1620"/>
      </w:tabs>
      <w:spacing w:after="120" w:afterLines="50" w:line="360" w:lineRule="auto"/>
      <w:ind w:firstLine="0" w:firstLineChars="0"/>
      <w:jc w:val="center"/>
    </w:pPr>
    <w:rPr>
      <w:b w:val="0"/>
    </w:rPr>
  </w:style>
  <w:style w:type="paragraph" w:customStyle="1" w:styleId="314">
    <w:name w:val="图表标题"/>
    <w:basedOn w:val="15"/>
    <w:link w:val="315"/>
    <w:autoRedefine/>
    <w:qFormat/>
    <w:uiPriority w:val="0"/>
    <w:pPr>
      <w:widowControl/>
      <w:spacing w:line="400" w:lineRule="exact"/>
      <w:ind w:firstLine="0" w:firstLineChars="0"/>
      <w:jc w:val="center"/>
    </w:pPr>
    <w:rPr>
      <w:rFonts w:ascii="Calibri Light" w:hAnsi="Calibri Light" w:eastAsia="宋体" w:cs="Arial"/>
      <w:b/>
      <w:sz w:val="18"/>
    </w:rPr>
  </w:style>
  <w:style w:type="character" w:customStyle="1" w:styleId="315">
    <w:name w:val="图表标题 Char"/>
    <w:basedOn w:val="74"/>
    <w:link w:val="314"/>
    <w:autoRedefine/>
    <w:qFormat/>
    <w:uiPriority w:val="0"/>
    <w:rPr>
      <w:rFonts w:ascii="Calibri Light" w:hAnsi="Calibri Light" w:eastAsia="宋体" w:cs="Arial"/>
      <w:b/>
      <w:kern w:val="2"/>
      <w:sz w:val="18"/>
    </w:rPr>
  </w:style>
  <w:style w:type="paragraph" w:customStyle="1" w:styleId="316">
    <w:name w:val="标题_一级"/>
    <w:autoRedefine/>
    <w:qFormat/>
    <w:uiPriority w:val="0"/>
    <w:pPr>
      <w:numPr>
        <w:ilvl w:val="0"/>
        <w:numId w:val="17"/>
      </w:numPr>
      <w:spacing w:before="100" w:beforeLines="100" w:after="100" w:afterLines="100" w:line="400" w:lineRule="exact"/>
      <w:outlineLvl w:val="0"/>
    </w:pPr>
    <w:rPr>
      <w:rFonts w:ascii="仿宋" w:hAnsi="仿宋" w:eastAsia="宋体" w:cstheme="minorBidi"/>
      <w:kern w:val="2"/>
      <w:sz w:val="32"/>
      <w:szCs w:val="24"/>
      <w:lang w:val="en-US" w:eastAsia="zh-CN" w:bidi="ar-SA"/>
    </w:rPr>
  </w:style>
  <w:style w:type="paragraph" w:customStyle="1" w:styleId="317">
    <w:name w:val="标题_二级"/>
    <w:autoRedefine/>
    <w:qFormat/>
    <w:uiPriority w:val="0"/>
    <w:pPr>
      <w:numPr>
        <w:ilvl w:val="1"/>
        <w:numId w:val="17"/>
      </w:numPr>
      <w:adjustRightInd w:val="0"/>
      <w:spacing w:before="100" w:beforeLines="100" w:after="100" w:afterLines="100" w:line="400" w:lineRule="exact"/>
      <w:textAlignment w:val="baseline"/>
      <w:outlineLvl w:val="1"/>
    </w:pPr>
    <w:rPr>
      <w:rFonts w:ascii="仿宋_GB2312" w:hAnsi="Times New Roman" w:eastAsia="宋体" w:cs="宋体"/>
      <w:position w:val="-6"/>
      <w:sz w:val="30"/>
      <w:lang w:val="en-US" w:eastAsia="zh-CN" w:bidi="ar-SA"/>
    </w:rPr>
  </w:style>
  <w:style w:type="paragraph" w:customStyle="1" w:styleId="318">
    <w:name w:val="标题_三级"/>
    <w:link w:val="319"/>
    <w:autoRedefine/>
    <w:qFormat/>
    <w:uiPriority w:val="0"/>
    <w:pPr>
      <w:numPr>
        <w:ilvl w:val="2"/>
        <w:numId w:val="17"/>
      </w:numPr>
      <w:spacing w:before="100" w:beforeLines="100" w:after="100" w:afterLines="100" w:line="400" w:lineRule="exact"/>
      <w:outlineLvl w:val="2"/>
    </w:pPr>
    <w:rPr>
      <w:rFonts w:ascii="微软雅黑" w:hAnsi="微软雅黑" w:cs="Times New Roman" w:eastAsiaTheme="minorEastAsia"/>
      <w:bCs/>
      <w:kern w:val="2"/>
      <w:sz w:val="28"/>
      <w:szCs w:val="32"/>
      <w:lang w:val="en-US" w:eastAsia="zh-CN" w:bidi="ar-SA"/>
    </w:rPr>
  </w:style>
  <w:style w:type="character" w:customStyle="1" w:styleId="319">
    <w:name w:val="标题_三级 Char"/>
    <w:basedOn w:val="52"/>
    <w:link w:val="318"/>
    <w:autoRedefine/>
    <w:qFormat/>
    <w:uiPriority w:val="0"/>
    <w:rPr>
      <w:rFonts w:ascii="微软雅黑" w:hAnsi="微软雅黑" w:cs="Times New Roman"/>
      <w:bCs/>
      <w:kern w:val="2"/>
      <w:sz w:val="28"/>
      <w:szCs w:val="32"/>
    </w:rPr>
  </w:style>
  <w:style w:type="paragraph" w:customStyle="1" w:styleId="320">
    <w:name w:val="标题_四级"/>
    <w:autoRedefine/>
    <w:qFormat/>
    <w:uiPriority w:val="0"/>
    <w:pPr>
      <w:numPr>
        <w:ilvl w:val="3"/>
        <w:numId w:val="17"/>
      </w:numPr>
      <w:spacing w:before="100" w:beforeLines="100" w:after="100" w:afterLines="100" w:line="400" w:lineRule="exact"/>
      <w:outlineLvl w:val="3"/>
    </w:pPr>
    <w:rPr>
      <w:rFonts w:ascii="微软雅黑" w:hAnsi="微软雅黑" w:eastAsia="宋体" w:cs="Times New Roman"/>
      <w:kern w:val="2"/>
      <w:sz w:val="24"/>
      <w:szCs w:val="24"/>
      <w:lang w:val="en-US" w:eastAsia="zh-CN" w:bidi="ar-SA"/>
    </w:rPr>
  </w:style>
  <w:style w:type="character" w:customStyle="1" w:styleId="321">
    <w:name w:val="12-E3-正文 Char Char"/>
    <w:link w:val="322"/>
    <w:autoRedefine/>
    <w:qFormat/>
    <w:locked/>
    <w:uiPriority w:val="0"/>
    <w:rPr>
      <w:rFonts w:ascii="仿宋_GB2312" w:eastAsia="仿宋_GB2312"/>
      <w:sz w:val="24"/>
      <w:szCs w:val="24"/>
    </w:rPr>
  </w:style>
  <w:style w:type="paragraph" w:customStyle="1" w:styleId="322">
    <w:name w:val="12-E3-正文"/>
    <w:basedOn w:val="1"/>
    <w:link w:val="321"/>
    <w:autoRedefine/>
    <w:qFormat/>
    <w:uiPriority w:val="0"/>
    <w:pPr>
      <w:spacing w:line="360" w:lineRule="auto"/>
      <w:ind w:firstLine="420" w:firstLineChars="0"/>
    </w:pPr>
    <w:rPr>
      <w:rFonts w:ascii="仿宋_GB2312" w:eastAsia="仿宋_GB2312" w:hAnsiTheme="minorHAnsi" w:cstheme="minorBidi"/>
      <w:kern w:val="0"/>
    </w:rPr>
  </w:style>
  <w:style w:type="paragraph" w:customStyle="1" w:styleId="323">
    <w:name w:val="样式7"/>
    <w:basedOn w:val="1"/>
    <w:link w:val="324"/>
    <w:autoRedefine/>
    <w:qFormat/>
    <w:uiPriority w:val="0"/>
    <w:pPr>
      <w:ind w:firstLine="0" w:firstLineChars="0"/>
    </w:pPr>
    <w:rPr>
      <w:rFonts w:ascii="宋体" w:hAnsi="宋体"/>
      <w:color w:val="4F81BD"/>
      <w:sz w:val="21"/>
      <w:lang w:val="zh-CN"/>
    </w:rPr>
  </w:style>
  <w:style w:type="character" w:customStyle="1" w:styleId="324">
    <w:name w:val="样式7 Char"/>
    <w:link w:val="323"/>
    <w:autoRedefine/>
    <w:qFormat/>
    <w:uiPriority w:val="0"/>
    <w:rPr>
      <w:rFonts w:ascii="宋体" w:hAnsi="宋体" w:eastAsia="宋体" w:cs="Times New Roman"/>
      <w:color w:val="4F81BD"/>
      <w:kern w:val="2"/>
      <w:sz w:val="21"/>
      <w:szCs w:val="24"/>
      <w:lang w:val="zh-CN"/>
    </w:rPr>
  </w:style>
  <w:style w:type="paragraph" w:customStyle="1" w:styleId="325">
    <w:name w:val="标题4"/>
    <w:basedOn w:val="205"/>
    <w:autoRedefine/>
    <w:qFormat/>
    <w:uiPriority w:val="0"/>
    <w:pPr>
      <w:adjustRightInd/>
      <w:snapToGrid/>
      <w:spacing w:line="480" w:lineRule="exact"/>
      <w:outlineLvl w:val="3"/>
    </w:pPr>
    <w:rPr>
      <w:rFonts w:ascii="宋体" w:hAnsi="宋体" w:cs="Times New Roman"/>
      <w:b/>
      <w:kern w:val="2"/>
    </w:rPr>
  </w:style>
  <w:style w:type="character" w:customStyle="1" w:styleId="326">
    <w:name w:val="标题 7 字符1"/>
    <w:autoRedefine/>
    <w:qFormat/>
    <w:uiPriority w:val="9"/>
    <w:rPr>
      <w:rFonts w:ascii="Times New Roman" w:hAnsi="Times New Roman" w:eastAsia="宋体" w:cs="Times New Roman"/>
      <w:bCs/>
      <w:sz w:val="24"/>
      <w:szCs w:val="24"/>
    </w:rPr>
  </w:style>
  <w:style w:type="character" w:customStyle="1" w:styleId="327">
    <w:name w:val="正文文本 字符2"/>
    <w:autoRedefine/>
    <w:qFormat/>
    <w:uiPriority w:val="99"/>
    <w:rPr>
      <w:rFonts w:ascii="Times New Roman" w:hAnsi="Times New Roman" w:eastAsia="宋体" w:cs="Times New Roman"/>
      <w:sz w:val="24"/>
      <w:szCs w:val="24"/>
    </w:rPr>
  </w:style>
  <w:style w:type="character" w:customStyle="1" w:styleId="328">
    <w:name w:val="页脚 字符1"/>
    <w:autoRedefine/>
    <w:qFormat/>
    <w:uiPriority w:val="99"/>
    <w:rPr>
      <w:rFonts w:ascii="Times New Roman" w:hAnsi="Times New Roman" w:eastAsia="宋体" w:cs="Times New Roman"/>
      <w:sz w:val="18"/>
      <w:szCs w:val="18"/>
    </w:rPr>
  </w:style>
  <w:style w:type="character" w:customStyle="1" w:styleId="329">
    <w:name w:val="页眉 字符1"/>
    <w:autoRedefine/>
    <w:qFormat/>
    <w:uiPriority w:val="99"/>
    <w:rPr>
      <w:rFonts w:ascii="Times New Roman" w:hAnsi="Times New Roman" w:eastAsia="宋体" w:cs="Times New Roman"/>
      <w:sz w:val="18"/>
      <w:szCs w:val="18"/>
    </w:rPr>
  </w:style>
  <w:style w:type="paragraph" w:customStyle="1" w:styleId="330">
    <w:name w:val="页脚-"/>
    <w:basedOn w:val="1"/>
    <w:autoRedefine/>
    <w:qFormat/>
    <w:uiPriority w:val="0"/>
    <w:pPr>
      <w:tabs>
        <w:tab w:val="center" w:pos="4153"/>
        <w:tab w:val="right" w:pos="8306"/>
      </w:tabs>
      <w:snapToGrid w:val="0"/>
      <w:spacing w:line="240" w:lineRule="auto"/>
      <w:ind w:firstLine="0" w:firstLineChars="0"/>
      <w:jc w:val="center"/>
    </w:pPr>
    <w:rPr>
      <w:sz w:val="21"/>
      <w:szCs w:val="21"/>
    </w:rPr>
  </w:style>
  <w:style w:type="paragraph" w:customStyle="1" w:styleId="331">
    <w:name w:val="图"/>
    <w:basedOn w:val="22"/>
    <w:link w:val="332"/>
    <w:autoRedefine/>
    <w:qFormat/>
    <w:uiPriority w:val="0"/>
    <w:pPr>
      <w:keepNext/>
      <w:widowControl/>
      <w:tabs>
        <w:tab w:val="clear" w:pos="0"/>
        <w:tab w:val="clear" w:pos="992"/>
        <w:tab w:val="clear" w:pos="1152"/>
      </w:tabs>
      <w:spacing w:line="480" w:lineRule="atLeast"/>
      <w:outlineLvl w:val="4"/>
    </w:pPr>
    <w:rPr>
      <w:rFonts w:eastAsia="宋体" w:cs="Times New Roman"/>
      <w:b w:val="0"/>
      <w:sz w:val="18"/>
    </w:rPr>
  </w:style>
  <w:style w:type="character" w:customStyle="1" w:styleId="332">
    <w:name w:val="图 字符"/>
    <w:link w:val="331"/>
    <w:autoRedefine/>
    <w:qFormat/>
    <w:uiPriority w:val="0"/>
    <w:rPr>
      <w:rFonts w:ascii="Times New Roman" w:hAnsi="Times New Roman" w:eastAsia="宋体" w:cs="Times New Roman"/>
      <w:bCs/>
      <w:kern w:val="2"/>
      <w:sz w:val="18"/>
      <w:szCs w:val="32"/>
    </w:rPr>
  </w:style>
  <w:style w:type="paragraph" w:customStyle="1" w:styleId="333">
    <w:name w:val="表"/>
    <w:basedOn w:val="331"/>
    <w:link w:val="334"/>
    <w:autoRedefine/>
    <w:qFormat/>
    <w:uiPriority w:val="0"/>
    <w:pPr/>
  </w:style>
  <w:style w:type="character" w:customStyle="1" w:styleId="334">
    <w:name w:val="表 字符"/>
    <w:link w:val="333"/>
    <w:autoRedefine/>
    <w:qFormat/>
    <w:uiPriority w:val="0"/>
    <w:rPr>
      <w:rFonts w:ascii="Times New Roman" w:hAnsi="Times New Roman" w:eastAsia="宋体" w:cs="Times New Roman"/>
      <w:bCs/>
      <w:kern w:val="2"/>
      <w:sz w:val="18"/>
      <w:szCs w:val="32"/>
    </w:rPr>
  </w:style>
  <w:style w:type="paragraph" w:customStyle="1" w:styleId="335">
    <w:name w:val="表格正文"/>
    <w:basedOn w:val="1"/>
    <w:link w:val="336"/>
    <w:autoRedefine/>
    <w:qFormat/>
    <w:uiPriority w:val="0"/>
    <w:pPr>
      <w:spacing w:line="240" w:lineRule="auto"/>
      <w:ind w:firstLine="0" w:firstLineChars="0"/>
      <w:jc w:val="center"/>
    </w:pPr>
    <w:rPr>
      <w:sz w:val="21"/>
      <w:szCs w:val="36"/>
    </w:rPr>
  </w:style>
  <w:style w:type="character" w:customStyle="1" w:styleId="336">
    <w:name w:val="表格正文 字符"/>
    <w:link w:val="335"/>
    <w:autoRedefine/>
    <w:qFormat/>
    <w:uiPriority w:val="0"/>
    <w:rPr>
      <w:rFonts w:ascii="Times New Roman" w:hAnsi="Times New Roman" w:eastAsia="宋体" w:cs="Times New Roman"/>
      <w:kern w:val="2"/>
      <w:sz w:val="21"/>
      <w:szCs w:val="36"/>
    </w:rPr>
  </w:style>
  <w:style w:type="character" w:customStyle="1" w:styleId="337">
    <w:name w:val="页脚 Char"/>
    <w:autoRedefine/>
    <w:qFormat/>
    <w:uiPriority w:val="99"/>
    <w:rPr>
      <w:rFonts w:eastAsia="宋体"/>
      <w:kern w:val="2"/>
      <w:sz w:val="18"/>
      <w:szCs w:val="18"/>
      <w:lang w:val="en-US" w:eastAsia="zh-CN" w:bidi="ar-SA"/>
    </w:rPr>
  </w:style>
  <w:style w:type="character" w:customStyle="1" w:styleId="338">
    <w:name w:val="页眉 Char"/>
    <w:autoRedefine/>
    <w:qFormat/>
    <w:uiPriority w:val="0"/>
    <w:rPr>
      <w:kern w:val="2"/>
      <w:sz w:val="18"/>
      <w:szCs w:val="18"/>
    </w:rPr>
  </w:style>
  <w:style w:type="character" w:customStyle="1" w:styleId="339">
    <w:name w:val="书籍标题1"/>
    <w:autoRedefine/>
    <w:qFormat/>
    <w:uiPriority w:val="33"/>
    <w:rPr>
      <w:b/>
      <w:bCs/>
      <w:i/>
      <w:iCs/>
      <w:spacing w:val="5"/>
    </w:rPr>
  </w:style>
  <w:style w:type="paragraph" w:customStyle="1" w:styleId="340">
    <w:name w:val="列表段落11"/>
    <w:basedOn w:val="1"/>
    <w:autoRedefine/>
    <w:qFormat/>
    <w:uiPriority w:val="34"/>
    <w:pPr>
      <w:widowControl/>
      <w:ind w:left="900" w:firstLine="0" w:firstLineChars="0"/>
      <w:contextualSpacing/>
      <w:jc w:val="left"/>
    </w:pPr>
    <w:rPr>
      <w:lang w:bidi="en-US"/>
    </w:rPr>
  </w:style>
  <w:style w:type="paragraph" w:customStyle="1" w:styleId="341">
    <w:name w:val="样式4"/>
    <w:basedOn w:val="5"/>
    <w:link w:val="342"/>
    <w:autoRedefine/>
    <w:qFormat/>
    <w:uiPriority w:val="0"/>
    <w:pPr>
      <w:numPr>
        <w:ilvl w:val="2"/>
        <w:numId w:val="18"/>
      </w:numPr>
      <w:tabs>
        <w:tab w:val="left" w:pos="432"/>
        <w:tab w:val="left" w:pos="864"/>
        <w:tab w:val="left" w:pos="1430"/>
      </w:tabs>
      <w:adjustRightInd/>
      <w:snapToGrid/>
      <w:spacing w:before="260" w:after="260" w:line="415" w:lineRule="auto"/>
    </w:pPr>
    <w:rPr>
      <w:rFonts w:ascii="等线 Light" w:hAnsi="等线 Light" w:eastAsia="等线 Light"/>
      <w:szCs w:val="32"/>
    </w:rPr>
  </w:style>
  <w:style w:type="character" w:customStyle="1" w:styleId="342">
    <w:name w:val="样式4 Char"/>
    <w:link w:val="341"/>
    <w:autoRedefine/>
    <w:qFormat/>
    <w:uiPriority w:val="0"/>
    <w:rPr>
      <w:rFonts w:ascii="等线 Light" w:hAnsi="等线 Light" w:eastAsia="等线 Light" w:cs="Times New Roman"/>
      <w:b/>
      <w:bCs/>
      <w:kern w:val="2"/>
      <w:sz w:val="24"/>
      <w:szCs w:val="32"/>
    </w:rPr>
  </w:style>
  <w:style w:type="paragraph" w:customStyle="1" w:styleId="343">
    <w:name w:val="列表段落2"/>
    <w:basedOn w:val="1"/>
    <w:autoRedefine/>
    <w:qFormat/>
    <w:uiPriority w:val="34"/>
    <w:pPr>
      <w:spacing w:line="240" w:lineRule="auto"/>
      <w:ind w:firstLine="420"/>
    </w:pPr>
    <w:rPr>
      <w:sz w:val="28"/>
      <w:szCs w:val="20"/>
    </w:rPr>
  </w:style>
  <w:style w:type="character" w:customStyle="1" w:styleId="344">
    <w:name w:val="正文文本 字符1"/>
    <w:autoRedefine/>
    <w:qFormat/>
    <w:uiPriority w:val="99"/>
    <w:rPr>
      <w:rFonts w:ascii="Times New Roman" w:hAnsi="Times New Roman" w:eastAsia="宋体" w:cs="Times New Roman"/>
      <w:sz w:val="24"/>
      <w:szCs w:val="24"/>
    </w:rPr>
  </w:style>
  <w:style w:type="paragraph" w:customStyle="1" w:styleId="345">
    <w:name w:val="标题2"/>
    <w:basedOn w:val="2"/>
    <w:next w:val="2"/>
    <w:autoRedefine/>
    <w:qFormat/>
    <w:uiPriority w:val="0"/>
    <w:pPr>
      <w:keepNext w:val="0"/>
      <w:keepLines w:val="0"/>
      <w:numPr>
        <w:numId w:val="0"/>
      </w:numPr>
      <w:tabs>
        <w:tab w:val="left" w:pos="0"/>
      </w:tabs>
      <w:adjustRightInd w:val="0"/>
      <w:snapToGrid w:val="0"/>
      <w:contextualSpacing w:val="0"/>
      <w:jc w:val="left"/>
    </w:pPr>
  </w:style>
  <w:style w:type="paragraph" w:customStyle="1" w:styleId="346">
    <w:name w:val="ql-indent-2"/>
    <w:basedOn w:val="1"/>
    <w:autoRedefine/>
    <w:qFormat/>
    <w:uiPriority w:val="0"/>
    <w:pPr>
      <w:widowControl/>
      <w:spacing w:before="100" w:beforeAutospacing="1" w:after="100" w:afterAutospacing="1" w:line="240" w:lineRule="auto"/>
      <w:ind w:firstLine="0" w:firstLineChars="0"/>
      <w:jc w:val="left"/>
    </w:pPr>
    <w:rPr>
      <w:rFonts w:ascii="宋体" w:hAnsi="宋体" w:cs="宋体"/>
      <w:kern w:val="0"/>
    </w:rPr>
  </w:style>
  <w:style w:type="character" w:customStyle="1" w:styleId="347">
    <w:name w:val="文档正文 Char Char Char Char Char Char Char1 Char Char Char Char Char Char"/>
    <w:link w:val="348"/>
    <w:autoRedefine/>
    <w:qFormat/>
    <w:locked/>
    <w:uiPriority w:val="0"/>
    <w:rPr>
      <w:rFonts w:ascii="Arial" w:hAnsi="Arial" w:cs="Arial"/>
      <w:sz w:val="24"/>
      <w:szCs w:val="24"/>
    </w:rPr>
  </w:style>
  <w:style w:type="paragraph" w:customStyle="1" w:styleId="348">
    <w:name w:val="文档正文 Char Char Char Char Char Char Char1 Char Char Char Char Char"/>
    <w:basedOn w:val="1"/>
    <w:link w:val="347"/>
    <w:autoRedefine/>
    <w:qFormat/>
    <w:uiPriority w:val="0"/>
    <w:pPr>
      <w:adjustRightInd w:val="0"/>
      <w:ind w:firstLine="567"/>
    </w:pPr>
    <w:rPr>
      <w:rFonts w:ascii="Arial" w:hAnsi="Arial" w:cs="Arial" w:eastAsiaTheme="minorEastAsia"/>
      <w:kern w:val="0"/>
    </w:rPr>
  </w:style>
  <w:style w:type="paragraph" w:customStyle="1" w:styleId="349">
    <w:name w:val="样式10"/>
    <w:basedOn w:val="1"/>
    <w:autoRedefine/>
    <w:qFormat/>
    <w:uiPriority w:val="0"/>
    <w:pPr>
      <w:tabs>
        <w:tab w:val="left" w:pos="426"/>
      </w:tabs>
      <w:ind w:firstLine="0" w:firstLineChars="0"/>
      <w:outlineLvl w:val="4"/>
    </w:pPr>
    <w:rPr>
      <w:rFonts w:ascii="宋体"/>
    </w:rPr>
  </w:style>
  <w:style w:type="paragraph" w:customStyle="1" w:styleId="350">
    <w:name w:val="样式 正文首行缩进 + 宋体 五号 首行缩进:  2 字符 行距: 单倍行距"/>
    <w:basedOn w:val="49"/>
    <w:autoRedefine/>
    <w:qFormat/>
    <w:uiPriority w:val="0"/>
    <w:pPr>
      <w:autoSpaceDN w:val="0"/>
      <w:spacing w:before="97" w:line="480" w:lineRule="atLeast"/>
      <w:ind w:firstLine="480"/>
    </w:pPr>
    <w:rPr>
      <w:rFonts w:ascii="宋体" w:hAnsi="宋体" w:cs="宋体"/>
    </w:rPr>
  </w:style>
  <w:style w:type="paragraph" w:customStyle="1" w:styleId="351">
    <w:name w:val="正文 首行缩进"/>
    <w:basedOn w:val="1"/>
    <w:autoRedefine/>
    <w:qFormat/>
    <w:uiPriority w:val="0"/>
    <w:rPr>
      <w:rFonts w:cs="宋体"/>
      <w:sz w:val="21"/>
      <w:szCs w:val="20"/>
    </w:rPr>
  </w:style>
  <w:style w:type="character" w:customStyle="1" w:styleId="352">
    <w:name w:val="font112"/>
    <w:autoRedefine/>
    <w:qFormat/>
    <w:uiPriority w:val="0"/>
    <w:rPr>
      <w:rFonts w:hint="eastAsia" w:ascii="宋体" w:hAnsi="宋体" w:eastAsia="宋体" w:cs="宋体"/>
      <w:color w:val="000000"/>
      <w:sz w:val="21"/>
      <w:szCs w:val="21"/>
      <w:u w:val="none"/>
    </w:rPr>
  </w:style>
  <w:style w:type="character" w:customStyle="1" w:styleId="353">
    <w:name w:val="font81"/>
    <w:autoRedefine/>
    <w:qFormat/>
    <w:uiPriority w:val="0"/>
    <w:rPr>
      <w:rFonts w:hint="eastAsia" w:ascii="宋体" w:hAnsi="宋体" w:eastAsia="宋体" w:cs="宋体"/>
      <w:b/>
      <w:color w:val="000000"/>
      <w:sz w:val="21"/>
      <w:szCs w:val="21"/>
      <w:u w:val="none"/>
    </w:rPr>
  </w:style>
  <w:style w:type="paragraph" w:customStyle="1" w:styleId="354">
    <w:name w:val="样式 首行缩进:  0 字符"/>
    <w:basedOn w:val="1"/>
    <w:autoRedefine/>
    <w:qFormat/>
    <w:uiPriority w:val="0"/>
    <w:pPr>
      <w:spacing w:line="240" w:lineRule="auto"/>
    </w:pPr>
    <w:rPr>
      <w:rFonts w:ascii="Calibri" w:hAnsi="Calibri" w:cs="宋体"/>
      <w:sz w:val="21"/>
    </w:rPr>
  </w:style>
  <w:style w:type="paragraph" w:customStyle="1" w:styleId="355">
    <w:name w:val="WPSOffice手动目录 1"/>
    <w:autoRedefine/>
    <w:qFormat/>
    <w:uiPriority w:val="0"/>
    <w:rPr>
      <w:rFonts w:ascii="Calibri" w:hAnsi="Calibri" w:eastAsia="宋体" w:cs="Times New Roman"/>
      <w:lang w:val="en-US" w:eastAsia="zh-CN" w:bidi="ar-SA"/>
    </w:rPr>
  </w:style>
  <w:style w:type="paragraph" w:customStyle="1" w:styleId="356">
    <w:name w:val="WPSOffice手动目录 2"/>
    <w:autoRedefine/>
    <w:qFormat/>
    <w:uiPriority w:val="0"/>
    <w:pPr>
      <w:ind w:left="200" w:leftChars="200"/>
    </w:pPr>
    <w:rPr>
      <w:rFonts w:ascii="Calibri" w:hAnsi="Calibri" w:eastAsia="宋体" w:cs="Times New Roman"/>
      <w:lang w:val="en-US" w:eastAsia="zh-CN" w:bidi="ar-SA"/>
    </w:rPr>
  </w:style>
  <w:style w:type="paragraph" w:customStyle="1" w:styleId="357">
    <w:name w:val="WPSOffice手动目录 3"/>
    <w:autoRedefine/>
    <w:qFormat/>
    <w:uiPriority w:val="0"/>
    <w:pPr>
      <w:ind w:left="400" w:leftChars="400"/>
    </w:pPr>
    <w:rPr>
      <w:rFonts w:ascii="Calibri" w:hAnsi="Calibri" w:eastAsia="宋体" w:cs="Times New Roman"/>
      <w:lang w:val="en-US" w:eastAsia="zh-CN" w:bidi="ar-SA"/>
    </w:rPr>
  </w:style>
  <w:style w:type="character" w:customStyle="1" w:styleId="358">
    <w:name w:val="font41"/>
    <w:autoRedefine/>
    <w:qFormat/>
    <w:uiPriority w:val="0"/>
    <w:rPr>
      <w:rFonts w:hint="default" w:ascii="Times New Roman" w:hAnsi="Times New Roman" w:cs="Times New Roman"/>
      <w:color w:val="000000"/>
      <w:sz w:val="21"/>
      <w:szCs w:val="21"/>
      <w:u w:val="none"/>
    </w:rPr>
  </w:style>
  <w:style w:type="character" w:customStyle="1" w:styleId="359">
    <w:name w:val="font71"/>
    <w:autoRedefine/>
    <w:qFormat/>
    <w:uiPriority w:val="0"/>
    <w:rPr>
      <w:rFonts w:hint="eastAsia" w:ascii="宋体" w:hAnsi="宋体" w:eastAsia="宋体" w:cs="宋体"/>
      <w:color w:val="000000"/>
      <w:sz w:val="21"/>
      <w:szCs w:val="21"/>
      <w:u w:val="none"/>
    </w:rPr>
  </w:style>
  <w:style w:type="character" w:customStyle="1" w:styleId="360">
    <w:name w:val="font91"/>
    <w:autoRedefine/>
    <w:qFormat/>
    <w:uiPriority w:val="0"/>
    <w:rPr>
      <w:rFonts w:hint="eastAsia" w:ascii="宋体" w:hAnsi="宋体" w:eastAsia="宋体" w:cs="宋体"/>
      <w:b/>
      <w:bCs/>
      <w:color w:val="000000"/>
      <w:sz w:val="21"/>
      <w:szCs w:val="21"/>
      <w:u w:val="none"/>
    </w:rPr>
  </w:style>
  <w:style w:type="paragraph" w:customStyle="1" w:styleId="361">
    <w:name w:val="本文正文"/>
    <w:basedOn w:val="1"/>
    <w:autoRedefine/>
    <w:qFormat/>
    <w:uiPriority w:val="0"/>
    <w:rPr>
      <w:rFonts w:ascii="宋体" w:hAnsi="宋体"/>
      <w:sz w:val="21"/>
    </w:rPr>
  </w:style>
  <w:style w:type="character" w:customStyle="1" w:styleId="362">
    <w:name w:val="font31"/>
    <w:autoRedefine/>
    <w:qFormat/>
    <w:uiPriority w:val="0"/>
    <w:rPr>
      <w:rFonts w:hint="eastAsia" w:ascii="宋体" w:hAnsi="宋体" w:eastAsia="宋体" w:cs="宋体"/>
      <w:color w:val="000000"/>
      <w:sz w:val="21"/>
      <w:szCs w:val="21"/>
      <w:u w:val="none"/>
    </w:rPr>
  </w:style>
  <w:style w:type="character" w:customStyle="1" w:styleId="363">
    <w:name w:val="font61"/>
    <w:autoRedefine/>
    <w:qFormat/>
    <w:uiPriority w:val="0"/>
    <w:rPr>
      <w:rFonts w:hint="default" w:ascii="Times New Roman" w:hAnsi="Times New Roman" w:cs="Times New Roman"/>
      <w:color w:val="000000"/>
      <w:sz w:val="21"/>
      <w:szCs w:val="21"/>
      <w:u w:val="none"/>
    </w:rPr>
  </w:style>
  <w:style w:type="character" w:styleId="364">
    <w:name w:val="Placeholder Text"/>
    <w:basedOn w:val="52"/>
    <w:autoRedefine/>
    <w:unhideWhenUsed/>
    <w:qFormat/>
    <w:uiPriority w:val="99"/>
    <w:rPr>
      <w:color w:val="808080"/>
    </w:rPr>
  </w:style>
  <w:style w:type="character" w:customStyle="1" w:styleId="365">
    <w:name w:val="表格正文 Char"/>
    <w:autoRedefine/>
    <w:qFormat/>
    <w:uiPriority w:val="0"/>
    <w:rPr>
      <w:rFonts w:ascii="Times New Roman" w:hAnsi="Times New Roman" w:eastAsia="宋体" w:cs="Times New Roman"/>
      <w:kern w:val="0"/>
      <w:szCs w:val="24"/>
    </w:rPr>
  </w:style>
  <w:style w:type="paragraph" w:customStyle="1" w:styleId="366">
    <w:name w:val="3级"/>
    <w:basedOn w:val="4"/>
    <w:autoRedefine/>
    <w:qFormat/>
    <w:uiPriority w:val="0"/>
    <w:pPr>
      <w:keepNext w:val="0"/>
      <w:keepLines w:val="0"/>
      <w:numPr>
        <w:ilvl w:val="0"/>
        <w:numId w:val="0"/>
      </w:numPr>
      <w:tabs>
        <w:tab w:val="left" w:pos="1430"/>
      </w:tabs>
      <w:spacing w:before="120" w:after="120" w:line="360" w:lineRule="auto"/>
      <w:ind w:firstLine="200" w:firstLineChars="200"/>
    </w:pPr>
    <w:rPr>
      <w:rFonts w:ascii="黑体" w:hAnsi="宋体" w:eastAsia="黑体"/>
      <w:b w:val="0"/>
      <w:bCs w:val="0"/>
      <w:sz w:val="30"/>
      <w:szCs w:val="30"/>
      <w:lang w:val="en-US"/>
    </w:rPr>
  </w:style>
  <w:style w:type="paragraph" w:customStyle="1" w:styleId="367">
    <w:name w:val="图名"/>
    <w:basedOn w:val="1"/>
    <w:next w:val="1"/>
    <w:autoRedefine/>
    <w:qFormat/>
    <w:uiPriority w:val="0"/>
    <w:pPr>
      <w:numPr>
        <w:ilvl w:val="0"/>
        <w:numId w:val="19"/>
      </w:numPr>
      <w:spacing w:line="300" w:lineRule="auto"/>
      <w:ind w:firstLineChars="0"/>
      <w:jc w:val="center"/>
    </w:pPr>
    <w:rPr>
      <w:rFonts w:ascii="黑体" w:hAnsi="黑体"/>
      <w:b/>
      <w:sz w:val="20"/>
      <w:szCs w:val="21"/>
    </w:rPr>
  </w:style>
  <w:style w:type="paragraph" w:customStyle="1" w:styleId="368">
    <w:name w:val="表名"/>
    <w:basedOn w:val="1"/>
    <w:autoRedefine/>
    <w:qFormat/>
    <w:uiPriority w:val="0"/>
    <w:pPr>
      <w:numPr>
        <w:ilvl w:val="0"/>
        <w:numId w:val="20"/>
      </w:numPr>
      <w:tabs>
        <w:tab w:val="left" w:pos="397"/>
        <w:tab w:val="clear" w:pos="420"/>
      </w:tabs>
      <w:spacing w:before="100" w:after="100" w:line="240" w:lineRule="auto"/>
      <w:ind w:left="0" w:firstLine="0" w:firstLineChars="0"/>
      <w:jc w:val="center"/>
    </w:pPr>
    <w:rPr>
      <w:rFonts w:hint="eastAsia" w:ascii="Arial" w:hAnsi="Arial"/>
      <w:b/>
      <w:sz w:val="20"/>
    </w:rPr>
  </w:style>
  <w:style w:type="paragraph" w:customStyle="1" w:styleId="369">
    <w:name w:val="表中字"/>
    <w:basedOn w:val="1"/>
    <w:autoRedefine/>
    <w:qFormat/>
    <w:uiPriority w:val="0"/>
    <w:pPr>
      <w:spacing w:line="240" w:lineRule="auto"/>
      <w:ind w:firstLine="0" w:firstLineChars="0"/>
      <w:jc w:val="center"/>
    </w:pPr>
    <w:rPr>
      <w:szCs w:val="21"/>
    </w:rPr>
  </w:style>
  <w:style w:type="paragraph" w:customStyle="1" w:styleId="370">
    <w:name w:val="样式 正文首行缩进 + 段前: 0.5 行 段后: 0.5 行"/>
    <w:basedOn w:val="371"/>
    <w:autoRedefine/>
    <w:qFormat/>
    <w:uiPriority w:val="0"/>
    <w:pPr>
      <w:spacing w:after="156"/>
    </w:pPr>
    <w:rPr>
      <w:sz w:val="24"/>
    </w:rPr>
  </w:style>
  <w:style w:type="paragraph" w:customStyle="1" w:styleId="371">
    <w:name w:val="正文首行缩进1"/>
    <w:basedOn w:val="20"/>
    <w:autoRedefine/>
    <w:qFormat/>
    <w:uiPriority w:val="0"/>
    <w:pPr>
      <w:ind w:firstLine="420"/>
    </w:pPr>
    <w:rPr>
      <w:sz w:val="21"/>
    </w:rPr>
  </w:style>
  <w:style w:type="paragraph" w:customStyle="1" w:styleId="372">
    <w:name w:val="*正文"/>
    <w:basedOn w:val="1"/>
    <w:autoRedefine/>
    <w:qFormat/>
    <w:uiPriority w:val="0"/>
    <w:rPr>
      <w:rFonts w:ascii="Calibri" w:hAnsi="Calibri"/>
      <w:szCs w:val="28"/>
    </w:rPr>
  </w:style>
  <w:style w:type="paragraph" w:customStyle="1" w:styleId="373">
    <w:name w:val="修订2"/>
    <w:hidden/>
    <w:unhideWhenUsed/>
    <w:qFormat/>
    <w:uiPriority w:val="99"/>
    <w:rPr>
      <w:rFonts w:ascii="Times New Roman" w:hAnsi="Times New Roman" w:eastAsia="宋体" w:cs="Times New Roman"/>
      <w:kern w:val="2"/>
      <w:sz w:val="24"/>
      <w:szCs w:val="24"/>
      <w:lang w:val="en-US" w:eastAsia="zh-CN" w:bidi="ar-SA"/>
    </w:rPr>
  </w:style>
  <w:style w:type="character" w:customStyle="1" w:styleId="374">
    <w:name w:val="批注文字 字符1"/>
    <w:basedOn w:val="52"/>
    <w:qFormat/>
    <w:uiPriority w:val="0"/>
    <w:rPr>
      <w:rFonts w:hint="default" w:ascii="Calibri" w:hAnsi="Calibri" w:eastAsia="宋体" w:cs="Times New Roman"/>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3.png"/><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E813E6-F4FC-49EC-9128-BABFAF24761F}">
  <ds:schemaRefs/>
</ds:datastoreItem>
</file>

<file path=docProps/app.xml><?xml version="1.0" encoding="utf-8"?>
<Properties xmlns="http://schemas.openxmlformats.org/officeDocument/2006/extended-properties" xmlns:vt="http://schemas.openxmlformats.org/officeDocument/2006/docPropsVTypes">
  <Template>Normal</Template>
  <Company>HP Inc.</Company>
  <Pages>32</Pages>
  <Words>18523</Words>
  <Characters>19472</Characters>
  <Lines>630</Lines>
  <Paragraphs>710</Paragraphs>
  <TotalTime>18</TotalTime>
  <ScaleCrop>false</ScaleCrop>
  <LinksUpToDate>false</LinksUpToDate>
  <CharactersWithSpaces>19856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2023-10-30T03:46:00Z</dcterms:created>
  <dc:creator>陈 仕恳</dc:creator>
  <cp:lastModifiedBy>力宇</cp:lastModifiedBy>
  <cp:lastPrinted>2022-03-30T08:59:00Z</cp:lastPrinted>
  <dcterms:modified xsi:type="dcterms:W3CDTF">2025-05-12T09:39:03Z</dcterms:modified>
  <cp:revision>205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E5A3E407E75149C590DE9D41EA279970_13</vt:lpwstr>
  </property>
  <property fmtid="{D5CDD505-2E9C-101B-9397-08002B2CF9AE}" pid="4" name="KSOTemplateDocerSaveRecord">
    <vt:lpwstr>eyJoZGlkIjoiYjJiODQ3OTQ1ZjhmZTRkM2JlYTU1ODk4NWJlNTBkY2IiLCJ1c2VySWQiOiIxMTg1NTQxNzkzIn0=</vt:lpwstr>
  </property>
</Properties>
</file>