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3A3B64">
      <w:pPr>
        <w:spacing w:beforeLines="200"/>
        <w:rPr>
          <w:rFonts w:asciiTheme="minorEastAsia" w:hAnsiTheme="minorEastAsia" w:eastAsiaTheme="minorEastAsia"/>
        </w:rPr>
      </w:pPr>
      <w:r>
        <w:rPr>
          <w:rFonts w:asciiTheme="minorEastAsia" w:hAnsiTheme="minorEastAsia" w:eastAsiaTheme="minorEastAsia"/>
          <w:b/>
          <w:sz w:val="52"/>
          <w:szCs w:val="22"/>
        </w:rPr>
        <w:drawing>
          <wp:anchor distT="0" distB="0" distL="114300" distR="114300" simplePos="0" relativeHeight="251659264" behindDoc="1" locked="0" layoutInCell="1" allowOverlap="1">
            <wp:simplePos x="0" y="0"/>
            <wp:positionH relativeFrom="column">
              <wp:posOffset>-1139190</wp:posOffset>
            </wp:positionH>
            <wp:positionV relativeFrom="paragraph">
              <wp:posOffset>-955040</wp:posOffset>
            </wp:positionV>
            <wp:extent cx="8915400" cy="2736850"/>
            <wp:effectExtent l="0" t="0" r="0" b="6350"/>
            <wp:wrapTight wrapText="bothSides">
              <wp:wrapPolygon>
                <wp:start x="-23" y="0"/>
                <wp:lineTo x="-23" y="21525"/>
                <wp:lineTo x="21600" y="21525"/>
                <wp:lineTo x="21600" y="0"/>
                <wp:lineTo x="-23" y="0"/>
              </wp:wrapPolygon>
            </wp:wrapTight>
            <wp:docPr id="2" name="Picture 6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8" descr="模板-3"/>
                    <pic:cNvPicPr>
                      <a:picLocks noChangeAspect="1"/>
                    </pic:cNvPicPr>
                  </pic:nvPicPr>
                  <pic:blipFill>
                    <a:blip r:embed="rId6"/>
                    <a:stretch>
                      <a:fillRect/>
                    </a:stretch>
                  </pic:blipFill>
                  <pic:spPr>
                    <a:xfrm>
                      <a:off x="0" y="0"/>
                      <a:ext cx="8915400" cy="2736850"/>
                    </a:xfrm>
                    <a:prstGeom prst="rect">
                      <a:avLst/>
                    </a:prstGeom>
                    <a:noFill/>
                    <a:ln w="9525">
                      <a:noFill/>
                    </a:ln>
                  </pic:spPr>
                </pic:pic>
              </a:graphicData>
            </a:graphic>
          </wp:anchor>
        </w:drawing>
      </w:r>
    </w:p>
    <w:p w14:paraId="4864F777">
      <w:pPr>
        <w:pStyle w:val="3"/>
        <w:ind w:right="210"/>
        <w:jc w:val="center"/>
        <w:rPr>
          <w:rFonts w:hint="eastAsia" w:asciiTheme="minorEastAsia" w:hAnsiTheme="minorEastAsia" w:eastAsiaTheme="minorEastAsia"/>
          <w:b/>
          <w:bCs/>
          <w:sz w:val="44"/>
          <w:szCs w:val="44"/>
        </w:rPr>
      </w:pPr>
      <w:bookmarkStart w:id="0" w:name="_Toc490836987"/>
      <w:bookmarkStart w:id="1" w:name="_Toc490836685"/>
      <w:bookmarkStart w:id="2" w:name="_Toc490827275"/>
      <w:bookmarkStart w:id="3" w:name="_Toc490992882"/>
      <w:bookmarkStart w:id="4" w:name="_Toc529463209"/>
      <w:bookmarkStart w:id="5" w:name="_Toc490836196"/>
      <w:bookmarkStart w:id="6" w:name="_Toc490994883"/>
      <w:bookmarkStart w:id="7" w:name="_Toc490993881"/>
      <w:bookmarkStart w:id="8" w:name="_Toc490833902"/>
      <w:bookmarkStart w:id="9" w:name="_Toc490828824"/>
      <w:bookmarkStart w:id="10" w:name="_Toc490993917"/>
      <w:bookmarkStart w:id="11" w:name="_Toc490828342"/>
      <w:bookmarkStart w:id="12" w:name="_Toc490836508"/>
      <w:r>
        <w:rPr>
          <w:rFonts w:hint="eastAsia" w:ascii="Times New Roman" w:hAnsi="Times New Roman" w:eastAsia="宋体" w:cs="Times New Roman"/>
          <w:b/>
          <w:sz w:val="44"/>
          <w:szCs w:val="44"/>
          <w:lang w:val="en-US" w:eastAsia="zh-CN"/>
        </w:rPr>
        <w:t>三亚变电运检分公司</w:t>
      </w:r>
      <w:r>
        <w:rPr>
          <w:rFonts w:hint="eastAsia" w:asciiTheme="minorEastAsia" w:hAnsiTheme="minorEastAsia" w:eastAsiaTheme="minorEastAsia"/>
          <w:b/>
          <w:bCs/>
          <w:sz w:val="44"/>
          <w:szCs w:val="44"/>
        </w:rPr>
        <w:t>研制一套便携式GIS气室漏气收集装置</w:t>
      </w:r>
    </w:p>
    <w:p w14:paraId="3C68162A">
      <w:pPr>
        <w:pStyle w:val="3"/>
        <w:ind w:right="210"/>
        <w:jc w:val="center"/>
        <w:rPr>
          <w:rFonts w:asciiTheme="minorEastAsia" w:hAnsiTheme="minorEastAsia" w:eastAsiaTheme="minorEastAsia"/>
          <w:sz w:val="44"/>
          <w:szCs w:val="44"/>
        </w:rPr>
      </w:pPr>
      <w:r>
        <w:rPr>
          <w:rFonts w:asciiTheme="minorEastAsia" w:hAnsiTheme="minorEastAsia" w:eastAsiaTheme="minorEastAsia"/>
          <w:sz w:val="44"/>
          <w:szCs w:val="44"/>
        </w:rPr>
        <w:t>技术</w:t>
      </w:r>
      <w:r>
        <w:rPr>
          <w:rFonts w:hint="eastAsia" w:asciiTheme="minorEastAsia" w:hAnsiTheme="minorEastAsia" w:eastAsiaTheme="minorEastAsia"/>
          <w:sz w:val="44"/>
          <w:szCs w:val="44"/>
        </w:rPr>
        <w:t>规范书</w:t>
      </w:r>
      <w:bookmarkEnd w:id="0"/>
      <w:bookmarkEnd w:id="1"/>
      <w:bookmarkEnd w:id="2"/>
      <w:bookmarkEnd w:id="3"/>
      <w:bookmarkEnd w:id="4"/>
      <w:bookmarkEnd w:id="5"/>
      <w:bookmarkEnd w:id="6"/>
      <w:bookmarkEnd w:id="7"/>
      <w:bookmarkEnd w:id="8"/>
      <w:bookmarkEnd w:id="9"/>
      <w:bookmarkEnd w:id="10"/>
      <w:bookmarkEnd w:id="11"/>
      <w:bookmarkEnd w:id="12"/>
    </w:p>
    <w:p w14:paraId="307C8C8A">
      <w:pPr>
        <w:spacing w:beforeLines="200"/>
        <w:rPr>
          <w:rFonts w:asciiTheme="minorEastAsia" w:hAnsiTheme="minorEastAsia" w:eastAsiaTheme="minorEastAsia"/>
          <w:b/>
          <w:sz w:val="52"/>
          <w:szCs w:val="22"/>
        </w:rPr>
      </w:pPr>
    </w:p>
    <w:p w14:paraId="41C6CA18">
      <w:pPr>
        <w:spacing w:beforeLines="200"/>
        <w:rPr>
          <w:rFonts w:asciiTheme="minorEastAsia" w:hAnsiTheme="minorEastAsia" w:eastAsiaTheme="minorEastAsia"/>
          <w:b/>
          <w:sz w:val="52"/>
          <w:szCs w:val="22"/>
        </w:rPr>
      </w:pPr>
    </w:p>
    <w:p w14:paraId="03E74818">
      <w:pPr>
        <w:spacing w:beforeLines="200"/>
        <w:rPr>
          <w:rFonts w:asciiTheme="minorEastAsia" w:hAnsiTheme="minorEastAsia" w:eastAsiaTheme="minorEastAsia"/>
          <w:b/>
          <w:sz w:val="52"/>
          <w:szCs w:val="22"/>
        </w:rPr>
      </w:pPr>
      <w:bookmarkStart w:id="31" w:name="_GoBack"/>
      <w:bookmarkEnd w:id="31"/>
    </w:p>
    <w:p w14:paraId="13E468E3">
      <w:pPr>
        <w:jc w:val="center"/>
        <w:rPr>
          <w:rFonts w:hint="eastAsia"/>
          <w:b/>
          <w:sz w:val="30"/>
          <w:szCs w:val="30"/>
        </w:rPr>
      </w:pPr>
      <w:r>
        <w:rPr>
          <w:rFonts w:hint="eastAsia"/>
          <w:b/>
          <w:sz w:val="30"/>
          <w:szCs w:val="30"/>
        </w:rPr>
        <w:t>三亚变电运检分公司</w:t>
      </w:r>
    </w:p>
    <w:p w14:paraId="7609E788">
      <w:pPr>
        <w:jc w:val="center"/>
        <w:rPr>
          <w:b/>
          <w:sz w:val="30"/>
          <w:szCs w:val="30"/>
        </w:rPr>
      </w:pPr>
      <w:r>
        <w:rPr>
          <w:b/>
          <w:sz w:val="30"/>
          <w:szCs w:val="30"/>
        </w:rPr>
        <w:t>二〇</w:t>
      </w:r>
      <w:r>
        <w:rPr>
          <w:rFonts w:hint="eastAsia"/>
          <w:b/>
          <w:sz w:val="30"/>
          <w:szCs w:val="30"/>
          <w:lang w:eastAsia="zh-CN"/>
        </w:rPr>
        <w:t>二</w:t>
      </w:r>
      <w:r>
        <w:rPr>
          <w:rFonts w:hint="eastAsia"/>
          <w:b/>
          <w:sz w:val="30"/>
          <w:szCs w:val="30"/>
          <w:lang w:val="en-US" w:eastAsia="zh-CN"/>
        </w:rPr>
        <w:t>五</w:t>
      </w:r>
      <w:r>
        <w:rPr>
          <w:b/>
          <w:sz w:val="30"/>
          <w:szCs w:val="30"/>
        </w:rPr>
        <w:t>年</w:t>
      </w:r>
      <w:r>
        <w:rPr>
          <w:rFonts w:hint="eastAsia"/>
          <w:b/>
          <w:sz w:val="30"/>
          <w:szCs w:val="30"/>
          <w:lang w:val="en-US" w:eastAsia="zh-CN"/>
        </w:rPr>
        <w:t>六</w:t>
      </w:r>
      <w:r>
        <w:rPr>
          <w:b/>
          <w:sz w:val="30"/>
          <w:szCs w:val="30"/>
        </w:rPr>
        <w:t>月</w:t>
      </w:r>
    </w:p>
    <w:p w14:paraId="517F325F">
      <w:pPr>
        <w:jc w:val="center"/>
        <w:rPr>
          <w:rFonts w:hint="default" w:eastAsia="宋体"/>
          <w:b/>
          <w:sz w:val="30"/>
          <w:szCs w:val="30"/>
          <w:lang w:val="en-US" w:eastAsia="zh-CN"/>
        </w:rPr>
      </w:pPr>
      <w:r>
        <w:rPr>
          <w:rFonts w:hint="eastAsia"/>
          <w:b/>
          <w:sz w:val="30"/>
          <w:szCs w:val="30"/>
          <w:lang w:val="en-US" w:eastAsia="zh-CN"/>
        </w:rPr>
        <w:t>项目负责人：</w:t>
      </w:r>
      <w:r>
        <w:rPr>
          <w:rFonts w:hint="eastAsia"/>
          <w:b/>
          <w:sz w:val="30"/>
          <w:szCs w:val="30"/>
          <w:u w:val="single"/>
          <w:lang w:val="en-US" w:eastAsia="zh-CN"/>
        </w:rPr>
        <w:t xml:space="preserve">     </w:t>
      </w:r>
      <w:r>
        <w:rPr>
          <w:rFonts w:hint="eastAsia"/>
          <w:b/>
          <w:sz w:val="30"/>
          <w:szCs w:val="30"/>
          <w:lang w:val="en-US" w:eastAsia="zh-CN"/>
        </w:rPr>
        <w:t>（签名）</w:t>
      </w:r>
    </w:p>
    <w:p w14:paraId="06BD1221">
      <w:pPr>
        <w:rPr>
          <w:rFonts w:hint="eastAsia"/>
        </w:rPr>
      </w:pPr>
      <w:bookmarkStart w:id="13" w:name="_Toc490993882"/>
    </w:p>
    <w:p w14:paraId="75B65AC9">
      <w:pPr>
        <w:pStyle w:val="3"/>
        <w:pageBreakBefore w:val="0"/>
        <w:kinsoku/>
        <w:wordWrap/>
        <w:overflowPunct/>
        <w:autoSpaceDE/>
        <w:autoSpaceDN/>
        <w:bidi w:val="0"/>
        <w:spacing w:line="560" w:lineRule="exact"/>
        <w:ind w:right="0" w:rightChars="0"/>
        <w:rPr>
          <w:sz w:val="32"/>
          <w:szCs w:val="32"/>
        </w:rPr>
      </w:pPr>
      <w:bookmarkStart w:id="14" w:name="_Toc529463210"/>
      <w:r>
        <w:rPr>
          <w:rFonts w:hint="eastAsia"/>
          <w:sz w:val="32"/>
          <w:szCs w:val="32"/>
        </w:rPr>
        <w:t>1.总则</w:t>
      </w:r>
      <w:bookmarkEnd w:id="13"/>
      <w:bookmarkEnd w:id="14"/>
    </w:p>
    <w:p w14:paraId="3D29D130">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本技术规范书适用于海口供电局</w:t>
      </w:r>
      <w:r>
        <w:rPr>
          <w:rFonts w:hint="eastAsia" w:asciiTheme="minorEastAsia" w:hAnsiTheme="minorEastAsia" w:eastAsiaTheme="minorEastAsia" w:cstheme="minorEastAsia"/>
          <w:sz w:val="24"/>
          <w:szCs w:val="24"/>
          <w:lang w:val="en-US" w:eastAsia="zh-CN"/>
        </w:rPr>
        <w:t>的</w:t>
      </w:r>
      <w:r>
        <w:rPr>
          <w:rFonts w:hint="eastAsia" w:asciiTheme="minorEastAsia" w:hAnsiTheme="minorEastAsia" w:eastAsiaTheme="minorEastAsia" w:cstheme="minorEastAsia"/>
          <w:sz w:val="24"/>
          <w:szCs w:val="24"/>
        </w:rPr>
        <w:t>便携式GIS气室漏气收集装置。</w:t>
      </w:r>
    </w:p>
    <w:p w14:paraId="14C32760">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1.1本技术规范书规定了便携式GIS气室漏气收集装置的</w:t>
      </w:r>
      <w:r>
        <w:rPr>
          <w:rFonts w:hint="eastAsia" w:asciiTheme="minorEastAsia" w:hAnsiTheme="minorEastAsia" w:eastAsiaTheme="minorEastAsia" w:cstheme="minorEastAsia"/>
          <w:sz w:val="24"/>
          <w:szCs w:val="24"/>
          <w:lang w:eastAsia="zh-CN"/>
        </w:rPr>
        <w:t>服务界限</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技术要求、安全要求等</w:t>
      </w:r>
      <w:r>
        <w:rPr>
          <w:rFonts w:hint="eastAsia" w:asciiTheme="minorEastAsia" w:hAnsiTheme="minorEastAsia" w:eastAsiaTheme="minorEastAsia" w:cstheme="minorEastAsia"/>
          <w:sz w:val="24"/>
          <w:szCs w:val="24"/>
        </w:rPr>
        <w:t>具体内容。</w:t>
      </w:r>
    </w:p>
    <w:p w14:paraId="42E1A80A">
      <w:pPr>
        <w:pageBreakBefore w:val="0"/>
        <w:kinsoku/>
        <w:wordWrap/>
        <w:overflowPunct/>
        <w:autoSpaceDE/>
        <w:autoSpaceDN/>
        <w:bidi w:val="0"/>
        <w:spacing w:line="560" w:lineRule="exact"/>
        <w:ind w:right="0" w:rightChars="0" w:firstLine="480" w:firstLineChars="200"/>
        <w:rPr>
          <w:rFonts w:hint="eastAsia"/>
          <w:sz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本技术规范书提出的技术要求。除技术规范书中规定的技术参数和要求外，其余均遵循最新版本的国家标准（GB）、电力行业标准（DL）、IEC标准和国际单位（SI）。</w:t>
      </w:r>
    </w:p>
    <w:p w14:paraId="748C6366">
      <w:pPr>
        <w:pStyle w:val="3"/>
        <w:pageBreakBefore w:val="0"/>
        <w:kinsoku/>
        <w:wordWrap/>
        <w:overflowPunct/>
        <w:autoSpaceDE/>
        <w:autoSpaceDN/>
        <w:bidi w:val="0"/>
        <w:spacing w:line="560" w:lineRule="exact"/>
        <w:ind w:right="0" w:rightChars="0"/>
        <w:rPr>
          <w:sz w:val="32"/>
          <w:szCs w:val="32"/>
        </w:rPr>
      </w:pPr>
      <w:bookmarkStart w:id="15" w:name="_Toc490993883"/>
      <w:bookmarkStart w:id="16" w:name="_Toc529463211"/>
      <w:r>
        <w:rPr>
          <w:rFonts w:hint="eastAsia"/>
          <w:sz w:val="32"/>
          <w:szCs w:val="32"/>
        </w:rPr>
        <w:t>2.</w:t>
      </w:r>
      <w:bookmarkEnd w:id="15"/>
      <w:bookmarkStart w:id="17" w:name="_Toc445396910"/>
      <w:bookmarkStart w:id="18" w:name="_Toc476060462"/>
      <w:bookmarkStart w:id="19" w:name="_Toc351722589"/>
      <w:r>
        <w:rPr>
          <w:rFonts w:hint="eastAsia"/>
          <w:sz w:val="32"/>
          <w:szCs w:val="32"/>
        </w:rPr>
        <w:t>项目目标</w:t>
      </w:r>
      <w:bookmarkEnd w:id="16"/>
      <w:bookmarkEnd w:id="17"/>
      <w:bookmarkEnd w:id="18"/>
      <w:bookmarkEnd w:id="19"/>
    </w:p>
    <w:p w14:paraId="4C5E7F86">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rPr>
      </w:pPr>
      <w:bookmarkStart w:id="20" w:name="OLE_LINK1"/>
      <w:bookmarkStart w:id="21" w:name="OLE_LINK2"/>
      <w:bookmarkStart w:id="22" w:name="_Toc351722590"/>
      <w:bookmarkStart w:id="23" w:name="_Toc291690055"/>
      <w:bookmarkStart w:id="24" w:name="_Toc445396911"/>
      <w:bookmarkStart w:id="25" w:name="_Toc529463212"/>
      <w:bookmarkStart w:id="26" w:name="_Toc476060463"/>
      <w:r>
        <w:rPr>
          <w:rFonts w:hint="eastAsia" w:asciiTheme="minorEastAsia" w:hAnsiTheme="minorEastAsia" w:eastAsiaTheme="minorEastAsia" w:cstheme="minorEastAsia"/>
          <w:sz w:val="24"/>
          <w:szCs w:val="24"/>
          <w:lang w:val="en-US" w:eastAsia="zh-CN"/>
        </w:rPr>
        <w:t>通过该项目的研发，我们将为GIS设备的运行和维护</w:t>
      </w:r>
      <w:r>
        <w:rPr>
          <w:rFonts w:hint="default" w:asciiTheme="minorEastAsia" w:hAnsiTheme="minorEastAsia" w:eastAsiaTheme="minorEastAsia" w:cstheme="minorEastAsia"/>
          <w:sz w:val="24"/>
          <w:szCs w:val="24"/>
          <w:lang w:val="en-US" w:eastAsia="zh-CN"/>
        </w:rPr>
        <w:t>研制一套便携式GIS气室漏气收集装置</w:t>
      </w:r>
      <w:r>
        <w:rPr>
          <w:rFonts w:hint="eastAsia" w:asciiTheme="minorEastAsia" w:hAnsiTheme="minorEastAsia" w:eastAsiaTheme="minorEastAsia" w:cstheme="minorEastAsia"/>
          <w:sz w:val="24"/>
          <w:szCs w:val="24"/>
          <w:lang w:val="en-US" w:eastAsia="zh-CN"/>
        </w:rPr>
        <w:t>，设置专用采样放气口便于气体分析设备接入以及检测压力表实时显示内部压强，进一步提升了检测的便捷性和准确性。该设备的连接轴和变径密封垫可进行拆卸，可适用于不同规格法兰管径。</w:t>
      </w:r>
    </w:p>
    <w:bookmarkEnd w:id="20"/>
    <w:bookmarkEnd w:id="21"/>
    <w:p w14:paraId="79BB1504">
      <w:pPr>
        <w:pStyle w:val="3"/>
        <w:pageBreakBefore w:val="0"/>
        <w:kinsoku/>
        <w:wordWrap/>
        <w:overflowPunct/>
        <w:autoSpaceDE/>
        <w:autoSpaceDN/>
        <w:bidi w:val="0"/>
        <w:spacing w:line="560" w:lineRule="exact"/>
        <w:ind w:right="0" w:rightChars="0"/>
        <w:rPr>
          <w:rFonts w:hint="eastAsia" w:ascii="宋体" w:hAnsi="宋体" w:eastAsia="宋体" w:cs="宋体"/>
          <w:sz w:val="32"/>
          <w:szCs w:val="32"/>
          <w:lang w:eastAsia="zh-CN"/>
        </w:rPr>
      </w:pPr>
      <w:r>
        <w:rPr>
          <w:rFonts w:hint="eastAsia" w:ascii="宋体" w:hAnsi="宋体" w:eastAsia="宋体" w:cs="宋体"/>
          <w:sz w:val="32"/>
          <w:szCs w:val="32"/>
        </w:rPr>
        <w:t>3.服务</w:t>
      </w:r>
      <w:bookmarkEnd w:id="22"/>
      <w:bookmarkEnd w:id="23"/>
      <w:bookmarkEnd w:id="24"/>
      <w:bookmarkEnd w:id="25"/>
      <w:bookmarkEnd w:id="26"/>
      <w:r>
        <w:rPr>
          <w:rFonts w:hint="eastAsia" w:ascii="宋体" w:hAnsi="宋体" w:eastAsia="宋体" w:cs="宋体"/>
          <w:sz w:val="32"/>
          <w:szCs w:val="32"/>
          <w:lang w:eastAsia="zh-CN"/>
        </w:rPr>
        <w:t>要求</w:t>
      </w:r>
    </w:p>
    <w:p w14:paraId="6FCA6F5A">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lang w:val="en-US" w:eastAsia="zh-CN"/>
        </w:rPr>
      </w:pPr>
      <w:bookmarkStart w:id="27" w:name="_Toc529463214"/>
      <w:bookmarkStart w:id="28" w:name="_Toc490993885"/>
      <w:r>
        <w:rPr>
          <w:rFonts w:hint="eastAsia" w:asciiTheme="minorEastAsia" w:hAnsiTheme="minorEastAsia" w:eastAsiaTheme="minorEastAsia" w:cstheme="minorEastAsia"/>
          <w:sz w:val="24"/>
          <w:szCs w:val="24"/>
          <w:lang w:val="en-US" w:eastAsia="zh-CN"/>
        </w:rPr>
        <w:t>本服务要求中标单位严格保障加工精度，按技术规范完成装置部件加工与组装，同时做好测试过程控制，针对密封性能、管径适配性、功能联动性及便携性开展全面测试，同步落实各环节质量管控，确保便携式 GIS 气室漏气收集装置符合技术指标和实际使用需求。</w:t>
      </w:r>
    </w:p>
    <w:p w14:paraId="3A4DCC98">
      <w:pPr>
        <w:pStyle w:val="3"/>
        <w:pageBreakBefore w:val="0"/>
        <w:kinsoku/>
        <w:wordWrap/>
        <w:overflowPunct/>
        <w:autoSpaceDE/>
        <w:autoSpaceDN/>
        <w:bidi w:val="0"/>
        <w:spacing w:line="560" w:lineRule="exact"/>
        <w:ind w:right="0" w:rightChars="0"/>
        <w:rPr>
          <w:rFonts w:hint="eastAsia" w:ascii="宋体" w:hAnsi="宋体" w:eastAsia="宋体" w:cs="宋体"/>
          <w:sz w:val="32"/>
          <w:szCs w:val="32"/>
        </w:rPr>
      </w:pPr>
      <w:r>
        <w:rPr>
          <w:rFonts w:hint="eastAsia" w:ascii="宋体" w:hAnsi="宋体" w:eastAsia="宋体" w:cs="宋体"/>
          <w:sz w:val="32"/>
          <w:szCs w:val="32"/>
          <w:lang w:val="en-US" w:eastAsia="zh-CN"/>
        </w:rPr>
        <w:t>4</w:t>
      </w:r>
      <w:r>
        <w:rPr>
          <w:rFonts w:hint="eastAsia" w:ascii="宋体" w:hAnsi="宋体" w:eastAsia="宋体" w:cs="宋体"/>
          <w:sz w:val="32"/>
          <w:szCs w:val="32"/>
        </w:rPr>
        <w:t>.技术要求</w:t>
      </w:r>
      <w:bookmarkEnd w:id="27"/>
      <w:bookmarkEnd w:id="28"/>
    </w:p>
    <w:p w14:paraId="47B8E401">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lang w:val="en-US" w:eastAsia="zh-CN"/>
        </w:rPr>
      </w:pPr>
      <w:bookmarkStart w:id="29" w:name="_Toc529463215"/>
      <w:bookmarkStart w:id="30" w:name="_Toc490993886"/>
      <w:r>
        <w:rPr>
          <w:rFonts w:hint="eastAsia" w:asciiTheme="minorEastAsia" w:hAnsiTheme="minorEastAsia" w:eastAsiaTheme="minorEastAsia" w:cstheme="minorEastAsia"/>
          <w:sz w:val="24"/>
          <w:szCs w:val="24"/>
          <w:lang w:val="en-US" w:eastAsia="zh-CN"/>
        </w:rPr>
        <w:t>4.1 设备密封试验标准：根据《电气设备交接试验标准》，GIS设备密封试验通过检测SF₆气体的泄漏量来判定气室的年漏气率是否合格，控制标准是每一独立气室的年漏气率不大于0.5%。收集装置需满足这一标准，确保能够及时发现泄漏的SF₆气体。</w:t>
      </w:r>
    </w:p>
    <w:p w14:paraId="6D928E53">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4.2 设备符合GB/T 10123-2022耐腐蚀标准。</w:t>
      </w:r>
    </w:p>
    <w:bookmarkEnd w:id="29"/>
    <w:bookmarkEnd w:id="30"/>
    <w:p w14:paraId="70A5BCBE">
      <w:pPr>
        <w:pStyle w:val="3"/>
        <w:pageBreakBefore w:val="0"/>
        <w:kinsoku/>
        <w:wordWrap/>
        <w:overflowPunct/>
        <w:autoSpaceDE/>
        <w:autoSpaceDN/>
        <w:bidi w:val="0"/>
        <w:spacing w:line="560" w:lineRule="exact"/>
        <w:ind w:right="0" w:rightChars="0"/>
        <w:rPr>
          <w:rFonts w:hint="eastAsia"/>
          <w:sz w:val="32"/>
          <w:szCs w:val="32"/>
        </w:rPr>
      </w:pPr>
      <w:r>
        <w:rPr>
          <w:rFonts w:hint="eastAsia"/>
          <w:sz w:val="32"/>
          <w:szCs w:val="32"/>
          <w:lang w:val="en-US" w:eastAsia="zh-CN"/>
        </w:rPr>
        <w:t>5</w:t>
      </w:r>
      <w:r>
        <w:rPr>
          <w:rFonts w:hint="eastAsia"/>
          <w:sz w:val="32"/>
          <w:szCs w:val="32"/>
        </w:rPr>
        <w:t>.</w:t>
      </w:r>
      <w:r>
        <w:rPr>
          <w:rFonts w:hint="eastAsia"/>
          <w:sz w:val="32"/>
          <w:szCs w:val="32"/>
          <w:lang w:eastAsia="zh-CN"/>
        </w:rPr>
        <w:t>安全责任</w:t>
      </w:r>
      <w:r>
        <w:rPr>
          <w:rFonts w:hint="eastAsia"/>
          <w:sz w:val="32"/>
          <w:szCs w:val="32"/>
        </w:rPr>
        <w:t>要求</w:t>
      </w:r>
    </w:p>
    <w:p w14:paraId="4582AE4A">
      <w:pPr>
        <w:pageBreakBefore w:val="0"/>
        <w:kinsoku/>
        <w:wordWrap/>
        <w:overflowPunct/>
        <w:autoSpaceDE/>
        <w:autoSpaceDN/>
        <w:bidi w:val="0"/>
        <w:spacing w:line="560" w:lineRule="exact"/>
        <w:ind w:right="0" w:rightChars="0" w:firstLine="480" w:firstLineChars="200"/>
        <w:contextualSpacing/>
        <w:rPr>
          <w:rFonts w:hint="default" w:eastAsia="宋体" w:cs="Times New Roman"/>
          <w:kern w:val="0"/>
          <w:sz w:val="24"/>
          <w:lang w:val="en-US" w:eastAsia="zh-CN"/>
        </w:rPr>
      </w:pPr>
      <w:r>
        <w:rPr>
          <w:rFonts w:hint="default" w:eastAsia="宋体" w:cs="Times New Roman"/>
          <w:kern w:val="0"/>
          <w:sz w:val="24"/>
          <w:lang w:val="en-US" w:eastAsia="zh-CN"/>
        </w:rPr>
        <w:t>5.1 乙方应确保参与项目的人员具备相应资质，严格遵守电力行业安全作业规范，并承担装置加工、测试及运输过程中的安全责任。</w:t>
      </w:r>
    </w:p>
    <w:p w14:paraId="004504B7">
      <w:pPr>
        <w:pageBreakBefore w:val="0"/>
        <w:kinsoku/>
        <w:wordWrap/>
        <w:overflowPunct/>
        <w:autoSpaceDE/>
        <w:autoSpaceDN/>
        <w:bidi w:val="0"/>
        <w:spacing w:line="560" w:lineRule="exact"/>
        <w:ind w:right="0" w:rightChars="0" w:firstLine="480" w:firstLineChars="200"/>
        <w:contextualSpacing/>
        <w:rPr>
          <w:rFonts w:hint="default" w:eastAsia="宋体" w:cs="Times New Roman"/>
          <w:kern w:val="0"/>
          <w:sz w:val="24"/>
          <w:lang w:val="en-US" w:eastAsia="zh-CN"/>
        </w:rPr>
      </w:pPr>
      <w:r>
        <w:rPr>
          <w:rFonts w:hint="default" w:eastAsia="宋体" w:cs="Times New Roman"/>
          <w:kern w:val="0"/>
          <w:sz w:val="24"/>
          <w:lang w:val="en-US" w:eastAsia="zh-CN"/>
        </w:rPr>
        <w:t>5.2 乙方应制定项目安全操作规程，定期对加工设备、测试仪器进行安全检查，甲方应对乙方安全措施落实情况进行监督。</w:t>
      </w:r>
    </w:p>
    <w:sectPr>
      <w:headerReference r:id="rId3" w:type="default"/>
      <w:footerReference r:id="rId4" w:type="default"/>
      <w:pgSz w:w="11906" w:h="16838"/>
      <w:pgMar w:top="1670" w:right="1800" w:bottom="1440" w:left="1800" w:header="1135"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8741D">
    <w:pPr>
      <w:pStyle w:val="40"/>
      <w:rPr>
        <w:sz w:val="21"/>
        <w:szCs w:val="21"/>
      </w:rPr>
    </w:pPr>
    <w:r>
      <w:rPr>
        <w:rFonts w:hint="eastAsia"/>
      </w:rPr>
      <w:t xml:space="preserve"> </w:t>
    </w:r>
    <w:r>
      <w:t xml:space="preserve">                     </w:t>
    </w:r>
    <w:r>
      <w:rPr>
        <w:sz w:val="21"/>
        <w:szCs w:val="21"/>
      </w:rPr>
      <w:t xml:space="preserve"> </w:t>
    </w:r>
    <w:r>
      <w:rPr>
        <w:sz w:val="21"/>
        <w:szCs w:val="21"/>
        <w:lang w:val="zh-CN"/>
      </w:rPr>
      <w:t xml:space="preserve">~ </w:t>
    </w:r>
    <w:r>
      <w:rPr>
        <w:rFonts w:asciiTheme="minorHAnsi" w:hAnsiTheme="minorHAnsi" w:eastAsiaTheme="minorEastAsia" w:cstheme="minorBidi"/>
        <w:sz w:val="21"/>
        <w:szCs w:val="21"/>
      </w:rPr>
      <w:fldChar w:fldCharType="begin"/>
    </w:r>
    <w:r>
      <w:rPr>
        <w:sz w:val="21"/>
        <w:szCs w:val="21"/>
      </w:rPr>
      <w:instrText xml:space="preserve">PAGE    \* MERGEFORMAT</w:instrText>
    </w:r>
    <w:r>
      <w:rPr>
        <w:rFonts w:asciiTheme="minorHAnsi" w:hAnsiTheme="minorHAnsi" w:eastAsiaTheme="minorEastAsia" w:cstheme="minorBidi"/>
        <w:sz w:val="21"/>
        <w:szCs w:val="21"/>
      </w:rPr>
      <w:fldChar w:fldCharType="separate"/>
    </w:r>
    <w:r>
      <w:rPr>
        <w:sz w:val="21"/>
        <w:szCs w:val="21"/>
        <w:lang w:val="zh-CN"/>
      </w:rPr>
      <w:t>1</w:t>
    </w:r>
    <w:r>
      <w:rPr>
        <w:sz w:val="21"/>
        <w:szCs w:val="21"/>
      </w:rPr>
      <w:fldChar w:fldCharType="end"/>
    </w:r>
    <w:r>
      <w:rPr>
        <w:sz w:val="21"/>
        <w:szCs w:val="21"/>
        <w:lang w:val="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CFEDE">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3"/>
    <w:multiLevelType w:val="multilevel"/>
    <w:tmpl w:val="00000013"/>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34"/>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33"/>
      <w:lvlText w:val="%1%2.%3"/>
      <w:lvlJc w:val="left"/>
      <w:pPr>
        <w:tabs>
          <w:tab w:val="left" w:pos="720"/>
        </w:tabs>
        <w:ind w:left="0" w:firstLine="0"/>
      </w:pPr>
      <w:rPr>
        <w:rFonts w:hint="eastAsia" w:ascii="黑体" w:hAnsi="Times New Roman" w:eastAsia="黑体"/>
        <w:b/>
        <w:i w:val="0"/>
        <w:sz w:val="21"/>
      </w:rPr>
    </w:lvl>
    <w:lvl w:ilvl="3" w:tentative="0">
      <w:start w:val="1"/>
      <w:numFmt w:val="decimal"/>
      <w:lvlText w:val="%1%2.%3.%4"/>
      <w:lvlJc w:val="left"/>
      <w:pPr>
        <w:tabs>
          <w:tab w:val="left" w:pos="720"/>
        </w:tabs>
        <w:ind w:left="0" w:firstLine="0"/>
      </w:pPr>
      <w:rPr>
        <w:rFonts w:hint="eastAsia" w:ascii="黑体" w:hAnsi="Times New Roman" w:eastAsia="黑体"/>
        <w:b/>
        <w:i w:val="0"/>
        <w:sz w:val="21"/>
      </w:rPr>
    </w:lvl>
    <w:lvl w:ilvl="4" w:tentative="0">
      <w:start w:val="1"/>
      <w:numFmt w:val="decimal"/>
      <w:lvlText w:val="%2.%3.%4.%5"/>
      <w:lvlJc w:val="left"/>
      <w:pPr>
        <w:tabs>
          <w:tab w:val="left" w:pos="1080"/>
        </w:tabs>
        <w:ind w:left="0" w:firstLine="0"/>
      </w:pPr>
      <w:rPr>
        <w:rFonts w:hint="eastAsia" w:ascii="黑体" w:hAnsi="Times New Roman" w:eastAsia="黑体"/>
        <w:b/>
        <w:i w:val="0"/>
        <w:sz w:val="21"/>
      </w:rPr>
    </w:lvl>
    <w:lvl w:ilvl="5" w:tentative="0">
      <w:start w:val="1"/>
      <w:numFmt w:val="decimal"/>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2"/>
  </w:compat>
  <w:rsids>
    <w:rsidRoot w:val="79180014"/>
    <w:rsid w:val="000130DC"/>
    <w:rsid w:val="00013BEA"/>
    <w:rsid w:val="00017942"/>
    <w:rsid w:val="0002391A"/>
    <w:rsid w:val="00050526"/>
    <w:rsid w:val="00076B1C"/>
    <w:rsid w:val="00085CFF"/>
    <w:rsid w:val="000A7712"/>
    <w:rsid w:val="000D737C"/>
    <w:rsid w:val="00107F72"/>
    <w:rsid w:val="00132756"/>
    <w:rsid w:val="00172B95"/>
    <w:rsid w:val="001859E9"/>
    <w:rsid w:val="00185AA2"/>
    <w:rsid w:val="001A6D90"/>
    <w:rsid w:val="001C2E12"/>
    <w:rsid w:val="001C72F7"/>
    <w:rsid w:val="001D2314"/>
    <w:rsid w:val="001D3301"/>
    <w:rsid w:val="002100E8"/>
    <w:rsid w:val="00225A3C"/>
    <w:rsid w:val="00247834"/>
    <w:rsid w:val="00262BDA"/>
    <w:rsid w:val="00273884"/>
    <w:rsid w:val="00290A6F"/>
    <w:rsid w:val="00290F7D"/>
    <w:rsid w:val="002A538F"/>
    <w:rsid w:val="002F124B"/>
    <w:rsid w:val="0031179A"/>
    <w:rsid w:val="00347DDA"/>
    <w:rsid w:val="00383BE1"/>
    <w:rsid w:val="00384DA6"/>
    <w:rsid w:val="003A2B05"/>
    <w:rsid w:val="003A5992"/>
    <w:rsid w:val="003B1A44"/>
    <w:rsid w:val="003C0E5F"/>
    <w:rsid w:val="003D2ACE"/>
    <w:rsid w:val="00416E50"/>
    <w:rsid w:val="0042357C"/>
    <w:rsid w:val="004254C0"/>
    <w:rsid w:val="004544A0"/>
    <w:rsid w:val="0048080D"/>
    <w:rsid w:val="004D3D3B"/>
    <w:rsid w:val="004D7F27"/>
    <w:rsid w:val="004E63D7"/>
    <w:rsid w:val="004E6699"/>
    <w:rsid w:val="00541C16"/>
    <w:rsid w:val="005558F8"/>
    <w:rsid w:val="00591249"/>
    <w:rsid w:val="005D5321"/>
    <w:rsid w:val="005F6B46"/>
    <w:rsid w:val="00603106"/>
    <w:rsid w:val="00617DE6"/>
    <w:rsid w:val="00621AF7"/>
    <w:rsid w:val="00692926"/>
    <w:rsid w:val="00694FCF"/>
    <w:rsid w:val="006B0925"/>
    <w:rsid w:val="006B19F7"/>
    <w:rsid w:val="006B1FEE"/>
    <w:rsid w:val="006E0D21"/>
    <w:rsid w:val="006E4024"/>
    <w:rsid w:val="00712AEF"/>
    <w:rsid w:val="007410A1"/>
    <w:rsid w:val="00786671"/>
    <w:rsid w:val="007A14DC"/>
    <w:rsid w:val="007C2DAF"/>
    <w:rsid w:val="007E7481"/>
    <w:rsid w:val="007F34ED"/>
    <w:rsid w:val="007F7D2A"/>
    <w:rsid w:val="0080340F"/>
    <w:rsid w:val="008272FB"/>
    <w:rsid w:val="00840277"/>
    <w:rsid w:val="008463BB"/>
    <w:rsid w:val="008620D3"/>
    <w:rsid w:val="00885ABC"/>
    <w:rsid w:val="008B6C01"/>
    <w:rsid w:val="00903D7C"/>
    <w:rsid w:val="00906157"/>
    <w:rsid w:val="009103FD"/>
    <w:rsid w:val="00941A0A"/>
    <w:rsid w:val="00941E94"/>
    <w:rsid w:val="009505D1"/>
    <w:rsid w:val="00953977"/>
    <w:rsid w:val="00996538"/>
    <w:rsid w:val="009A7DBE"/>
    <w:rsid w:val="009D39F9"/>
    <w:rsid w:val="00A3574F"/>
    <w:rsid w:val="00A41CA2"/>
    <w:rsid w:val="00A43D49"/>
    <w:rsid w:val="00A521AC"/>
    <w:rsid w:val="00A548F0"/>
    <w:rsid w:val="00A6074C"/>
    <w:rsid w:val="00A64A3E"/>
    <w:rsid w:val="00A7401E"/>
    <w:rsid w:val="00AA194B"/>
    <w:rsid w:val="00AC5547"/>
    <w:rsid w:val="00AC5590"/>
    <w:rsid w:val="00AF2444"/>
    <w:rsid w:val="00B40611"/>
    <w:rsid w:val="00B42A4C"/>
    <w:rsid w:val="00B467BA"/>
    <w:rsid w:val="00B53DFC"/>
    <w:rsid w:val="00B560CE"/>
    <w:rsid w:val="00B720C7"/>
    <w:rsid w:val="00B845E1"/>
    <w:rsid w:val="00B93E0E"/>
    <w:rsid w:val="00BE3AF9"/>
    <w:rsid w:val="00BF1ED3"/>
    <w:rsid w:val="00C01920"/>
    <w:rsid w:val="00C0523B"/>
    <w:rsid w:val="00C154B8"/>
    <w:rsid w:val="00C321A1"/>
    <w:rsid w:val="00C734D9"/>
    <w:rsid w:val="00C73B3B"/>
    <w:rsid w:val="00C95E5D"/>
    <w:rsid w:val="00CC6F04"/>
    <w:rsid w:val="00D25086"/>
    <w:rsid w:val="00D25776"/>
    <w:rsid w:val="00D5709A"/>
    <w:rsid w:val="00D8670C"/>
    <w:rsid w:val="00DD1A75"/>
    <w:rsid w:val="00DE46ED"/>
    <w:rsid w:val="00E03840"/>
    <w:rsid w:val="00E04657"/>
    <w:rsid w:val="00E44A4B"/>
    <w:rsid w:val="00E564D4"/>
    <w:rsid w:val="00E66055"/>
    <w:rsid w:val="00E906D3"/>
    <w:rsid w:val="00EA153F"/>
    <w:rsid w:val="00EA2C97"/>
    <w:rsid w:val="00EC7232"/>
    <w:rsid w:val="00ED3B47"/>
    <w:rsid w:val="00ED78D5"/>
    <w:rsid w:val="00EE3C2F"/>
    <w:rsid w:val="00F07E86"/>
    <w:rsid w:val="00F54C14"/>
    <w:rsid w:val="00F75A56"/>
    <w:rsid w:val="00F822B1"/>
    <w:rsid w:val="00F95F26"/>
    <w:rsid w:val="00FD1C84"/>
    <w:rsid w:val="00FE45A4"/>
    <w:rsid w:val="01427513"/>
    <w:rsid w:val="023175F6"/>
    <w:rsid w:val="02BF7916"/>
    <w:rsid w:val="03472883"/>
    <w:rsid w:val="035A08D4"/>
    <w:rsid w:val="043E60E5"/>
    <w:rsid w:val="044353B7"/>
    <w:rsid w:val="04445771"/>
    <w:rsid w:val="04B16F17"/>
    <w:rsid w:val="04D27709"/>
    <w:rsid w:val="08011098"/>
    <w:rsid w:val="084E378E"/>
    <w:rsid w:val="08A27553"/>
    <w:rsid w:val="09152D91"/>
    <w:rsid w:val="09657434"/>
    <w:rsid w:val="09A228DE"/>
    <w:rsid w:val="0A2B721E"/>
    <w:rsid w:val="0B2240B4"/>
    <w:rsid w:val="0BE36F7D"/>
    <w:rsid w:val="0CE1665B"/>
    <w:rsid w:val="0D19047D"/>
    <w:rsid w:val="0E5B6A37"/>
    <w:rsid w:val="0EA03C30"/>
    <w:rsid w:val="0ED50EC9"/>
    <w:rsid w:val="0F2411C8"/>
    <w:rsid w:val="0F2B423C"/>
    <w:rsid w:val="11094C8A"/>
    <w:rsid w:val="11EF081B"/>
    <w:rsid w:val="12DA6698"/>
    <w:rsid w:val="137D3964"/>
    <w:rsid w:val="140830E5"/>
    <w:rsid w:val="15813DAC"/>
    <w:rsid w:val="182E08BB"/>
    <w:rsid w:val="18765555"/>
    <w:rsid w:val="18904609"/>
    <w:rsid w:val="1A4D5C8C"/>
    <w:rsid w:val="1A5A4A7F"/>
    <w:rsid w:val="1A6A5E0F"/>
    <w:rsid w:val="1A8C5B4B"/>
    <w:rsid w:val="1A9B1E8A"/>
    <w:rsid w:val="1B0808B7"/>
    <w:rsid w:val="1BA83F4D"/>
    <w:rsid w:val="1BF4530E"/>
    <w:rsid w:val="1CAA45F0"/>
    <w:rsid w:val="1D512443"/>
    <w:rsid w:val="1DA87555"/>
    <w:rsid w:val="1DDD1B29"/>
    <w:rsid w:val="1FC573ED"/>
    <w:rsid w:val="208206D0"/>
    <w:rsid w:val="21C53406"/>
    <w:rsid w:val="220E477E"/>
    <w:rsid w:val="22A9397E"/>
    <w:rsid w:val="235B3C3A"/>
    <w:rsid w:val="23687149"/>
    <w:rsid w:val="23B054A6"/>
    <w:rsid w:val="24F3732E"/>
    <w:rsid w:val="25ED1DD1"/>
    <w:rsid w:val="269246A6"/>
    <w:rsid w:val="2A887940"/>
    <w:rsid w:val="2BA532A3"/>
    <w:rsid w:val="2D3B59AF"/>
    <w:rsid w:val="2DF974B1"/>
    <w:rsid w:val="2E470960"/>
    <w:rsid w:val="2EE45D6B"/>
    <w:rsid w:val="2F2F5F15"/>
    <w:rsid w:val="2F5B70A6"/>
    <w:rsid w:val="2FD44A0C"/>
    <w:rsid w:val="301D1543"/>
    <w:rsid w:val="303C4EDB"/>
    <w:rsid w:val="303E26F6"/>
    <w:rsid w:val="305C7CC4"/>
    <w:rsid w:val="30894E1C"/>
    <w:rsid w:val="30FC5D3E"/>
    <w:rsid w:val="318B21C8"/>
    <w:rsid w:val="32935F4F"/>
    <w:rsid w:val="329E24FB"/>
    <w:rsid w:val="32F35A40"/>
    <w:rsid w:val="34160775"/>
    <w:rsid w:val="34236D31"/>
    <w:rsid w:val="34B519E8"/>
    <w:rsid w:val="358B1B13"/>
    <w:rsid w:val="36724472"/>
    <w:rsid w:val="36A66572"/>
    <w:rsid w:val="36CC15FA"/>
    <w:rsid w:val="36F62CDD"/>
    <w:rsid w:val="37D27BEE"/>
    <w:rsid w:val="38865BFA"/>
    <w:rsid w:val="38BD056F"/>
    <w:rsid w:val="38F3706A"/>
    <w:rsid w:val="391B003F"/>
    <w:rsid w:val="3A5B065E"/>
    <w:rsid w:val="3A623524"/>
    <w:rsid w:val="3B241322"/>
    <w:rsid w:val="3BE26D15"/>
    <w:rsid w:val="3CA43677"/>
    <w:rsid w:val="3CA462CE"/>
    <w:rsid w:val="3D5A2083"/>
    <w:rsid w:val="3E257BC1"/>
    <w:rsid w:val="3E8222C8"/>
    <w:rsid w:val="3F303F95"/>
    <w:rsid w:val="4024421A"/>
    <w:rsid w:val="40CE3A18"/>
    <w:rsid w:val="42304E6A"/>
    <w:rsid w:val="437E00E5"/>
    <w:rsid w:val="4399424E"/>
    <w:rsid w:val="44B855DE"/>
    <w:rsid w:val="457E4C38"/>
    <w:rsid w:val="479559D1"/>
    <w:rsid w:val="479743D0"/>
    <w:rsid w:val="47FE2438"/>
    <w:rsid w:val="4A06662F"/>
    <w:rsid w:val="4BFB1865"/>
    <w:rsid w:val="4C423DF2"/>
    <w:rsid w:val="4C9E0279"/>
    <w:rsid w:val="4E3F1601"/>
    <w:rsid w:val="4E45017D"/>
    <w:rsid w:val="4F02195D"/>
    <w:rsid w:val="4F1E5CBB"/>
    <w:rsid w:val="4FFB11C5"/>
    <w:rsid w:val="50C5099A"/>
    <w:rsid w:val="50DF153C"/>
    <w:rsid w:val="51533282"/>
    <w:rsid w:val="51CE4E43"/>
    <w:rsid w:val="51DA5080"/>
    <w:rsid w:val="528365E6"/>
    <w:rsid w:val="540D3823"/>
    <w:rsid w:val="56360AFF"/>
    <w:rsid w:val="5889335C"/>
    <w:rsid w:val="59303A61"/>
    <w:rsid w:val="594823FB"/>
    <w:rsid w:val="59B74569"/>
    <w:rsid w:val="59FE4F42"/>
    <w:rsid w:val="5B6A0515"/>
    <w:rsid w:val="5CE92A69"/>
    <w:rsid w:val="5F092B01"/>
    <w:rsid w:val="5F5D2E4C"/>
    <w:rsid w:val="60AA45DA"/>
    <w:rsid w:val="611500E3"/>
    <w:rsid w:val="6284312B"/>
    <w:rsid w:val="63DA3BD9"/>
    <w:rsid w:val="63F73F4E"/>
    <w:rsid w:val="644C0D79"/>
    <w:rsid w:val="6477675E"/>
    <w:rsid w:val="64AC6EB6"/>
    <w:rsid w:val="657F1D6E"/>
    <w:rsid w:val="65F67B6A"/>
    <w:rsid w:val="663805AA"/>
    <w:rsid w:val="68A8338A"/>
    <w:rsid w:val="68E618F1"/>
    <w:rsid w:val="69640996"/>
    <w:rsid w:val="6985301C"/>
    <w:rsid w:val="6A12740C"/>
    <w:rsid w:val="6B1B5B89"/>
    <w:rsid w:val="6C071E63"/>
    <w:rsid w:val="6C43179E"/>
    <w:rsid w:val="6DB07F69"/>
    <w:rsid w:val="6DBF2751"/>
    <w:rsid w:val="6E0E18EE"/>
    <w:rsid w:val="6E2340F9"/>
    <w:rsid w:val="6E6764DE"/>
    <w:rsid w:val="7005291A"/>
    <w:rsid w:val="70C81FA4"/>
    <w:rsid w:val="70D215D6"/>
    <w:rsid w:val="70F34F32"/>
    <w:rsid w:val="711A7F46"/>
    <w:rsid w:val="71C80221"/>
    <w:rsid w:val="73357908"/>
    <w:rsid w:val="7485672D"/>
    <w:rsid w:val="74C44169"/>
    <w:rsid w:val="75377F70"/>
    <w:rsid w:val="7645082D"/>
    <w:rsid w:val="78163F80"/>
    <w:rsid w:val="7819191E"/>
    <w:rsid w:val="78A97AC0"/>
    <w:rsid w:val="79180014"/>
    <w:rsid w:val="7A514B74"/>
    <w:rsid w:val="7C0C2A5A"/>
    <w:rsid w:val="7D374087"/>
    <w:rsid w:val="7F3173D8"/>
    <w:rsid w:val="7F7A52D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sdException w:qFormat="1" w:uiPriority="9" w:semiHidden="0" w:name="heading 3" w:locked="1"/>
    <w:lsdException w:qFormat="1" w:uiPriority="9" w:semiHidden="0"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ocked="1"/>
    <w:lsdException w:uiPriority="99" w:name="footnote text" w:locked="1"/>
    <w:lsdException w:uiPriority="99" w:name="annotation text" w:locked="1"/>
    <w:lsdException w:qFormat="1" w:uiPriority="0" w:semiHidden="0" w:name="header" w:locked="1"/>
    <w:lsdException w:qFormat="1" w:uiPriority="0" w:semiHidden="0" w:name="footer" w:locked="1"/>
    <w:lsdException w:uiPriority="99" w:name="index heading" w:locked="1"/>
    <w:lsdException w:qFormat="1" w:uiPriority="35" w:semiHidden="0"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semiHidden="0"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iPriority="99" w:semiHidden="0"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qFormat="1" w:uiPriority="99" w:semiHidden="0" w:name="Document Map" w:locked="1"/>
    <w:lsdException w:qFormat="1" w:uiPriority="99" w:semiHidden="0"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iPriority="99" w:semiHidden="0" w:name="Balloon Text" w:locked="1"/>
    <w:lsdException w:qFormat="1" w:unhideWhenUsed="0" w:uiPriority="0"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locked/>
    <w:uiPriority w:val="9"/>
    <w:pPr>
      <w:keepNext/>
      <w:keepLines/>
      <w:spacing w:before="240" w:after="120" w:line="420" w:lineRule="auto"/>
      <w:jc w:val="left"/>
      <w:outlineLvl w:val="0"/>
    </w:pPr>
    <w:rPr>
      <w:rFonts w:ascii="宋体" w:hAnsi="宋体" w:cs="宋体"/>
      <w:b/>
      <w:sz w:val="24"/>
      <w:szCs w:val="21"/>
    </w:rPr>
  </w:style>
  <w:style w:type="paragraph" w:styleId="4">
    <w:name w:val="heading 2"/>
    <w:basedOn w:val="1"/>
    <w:next w:val="5"/>
    <w:link w:val="27"/>
    <w:qFormat/>
    <w:uiPriority w:val="99"/>
    <w:pPr>
      <w:spacing w:beforeLines="50" w:afterLines="50"/>
      <w:jc w:val="left"/>
      <w:outlineLvl w:val="1"/>
    </w:pPr>
    <w:rPr>
      <w:rFonts w:ascii="宋体" w:hAnsi="宋体"/>
      <w:b/>
      <w:kern w:val="0"/>
      <w:sz w:val="36"/>
      <w:szCs w:val="36"/>
    </w:rPr>
  </w:style>
  <w:style w:type="paragraph" w:styleId="6">
    <w:name w:val="heading 3"/>
    <w:basedOn w:val="1"/>
    <w:next w:val="1"/>
    <w:unhideWhenUsed/>
    <w:qFormat/>
    <w:locked/>
    <w:uiPriority w:val="9"/>
    <w:pPr>
      <w:keepNext/>
      <w:keepLines/>
      <w:tabs>
        <w:tab w:val="left" w:pos="432"/>
        <w:tab w:val="left" w:pos="720"/>
      </w:tabs>
      <w:spacing w:line="413" w:lineRule="auto"/>
      <w:outlineLvl w:val="2"/>
    </w:pPr>
    <w:rPr>
      <w:rFonts w:ascii="Times New Roman" w:hAnsi="Times New Roman" w:eastAsia="黑体"/>
      <w:b/>
      <w:szCs w:val="20"/>
    </w:rPr>
  </w:style>
  <w:style w:type="paragraph" w:styleId="7">
    <w:name w:val="heading 4"/>
    <w:basedOn w:val="1"/>
    <w:next w:val="1"/>
    <w:unhideWhenUsed/>
    <w:qFormat/>
    <w:locked/>
    <w:uiPriority w:val="9"/>
    <w:pPr>
      <w:keepNext/>
      <w:keepLines/>
      <w:tabs>
        <w:tab w:val="left" w:pos="432"/>
        <w:tab w:val="left" w:pos="864"/>
      </w:tabs>
      <w:spacing w:line="372" w:lineRule="auto"/>
      <w:ind w:left="864" w:hanging="864"/>
      <w:outlineLvl w:val="3"/>
    </w:pPr>
    <w:rPr>
      <w:rFonts w:ascii="Arial" w:hAnsi="Arial" w:eastAsia="黑体"/>
      <w:szCs w:val="20"/>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toc 2"/>
    <w:basedOn w:val="1"/>
    <w:next w:val="1"/>
    <w:qFormat/>
    <w:uiPriority w:val="39"/>
    <w:pPr>
      <w:ind w:left="420" w:leftChars="200"/>
    </w:pPr>
    <w:rPr>
      <w:b/>
      <w:sz w:val="24"/>
    </w:rPr>
  </w:style>
  <w:style w:type="paragraph" w:styleId="5">
    <w:name w:val="Normal Indent"/>
    <w:basedOn w:val="1"/>
    <w:qFormat/>
    <w:locked/>
    <w:uiPriority w:val="0"/>
    <w:pPr>
      <w:ind w:firstLine="420" w:firstLineChars="200"/>
    </w:pPr>
  </w:style>
  <w:style w:type="paragraph" w:styleId="8">
    <w:name w:val="toc 7"/>
    <w:basedOn w:val="1"/>
    <w:next w:val="1"/>
    <w:qFormat/>
    <w:uiPriority w:val="39"/>
    <w:pPr>
      <w:ind w:left="2520" w:leftChars="1200"/>
    </w:pPr>
  </w:style>
  <w:style w:type="paragraph" w:styleId="9">
    <w:name w:val="caption"/>
    <w:basedOn w:val="1"/>
    <w:next w:val="1"/>
    <w:unhideWhenUsed/>
    <w:qFormat/>
    <w:locked/>
    <w:uiPriority w:val="35"/>
    <w:rPr>
      <w:rFonts w:eastAsia="黑体" w:asciiTheme="majorHAnsi" w:hAnsiTheme="majorHAnsi" w:cstheme="majorBidi"/>
      <w:sz w:val="20"/>
      <w:szCs w:val="20"/>
    </w:rPr>
  </w:style>
  <w:style w:type="paragraph" w:styleId="10">
    <w:name w:val="Document Map"/>
    <w:basedOn w:val="1"/>
    <w:link w:val="44"/>
    <w:unhideWhenUsed/>
    <w:qFormat/>
    <w:locked/>
    <w:uiPriority w:val="99"/>
    <w:rPr>
      <w:rFonts w:ascii="宋体"/>
      <w:sz w:val="18"/>
      <w:szCs w:val="18"/>
    </w:rPr>
  </w:style>
  <w:style w:type="paragraph" w:styleId="11">
    <w:name w:val="toc 5"/>
    <w:basedOn w:val="1"/>
    <w:next w:val="1"/>
    <w:qFormat/>
    <w:uiPriority w:val="39"/>
    <w:pPr>
      <w:ind w:left="1680" w:leftChars="800"/>
    </w:pPr>
  </w:style>
  <w:style w:type="paragraph" w:styleId="12">
    <w:name w:val="toc 3"/>
    <w:basedOn w:val="1"/>
    <w:next w:val="1"/>
    <w:qFormat/>
    <w:uiPriority w:val="39"/>
    <w:pPr>
      <w:ind w:left="840" w:leftChars="400"/>
    </w:pPr>
  </w:style>
  <w:style w:type="paragraph" w:styleId="13">
    <w:name w:val="Plain Text"/>
    <w:basedOn w:val="1"/>
    <w:unhideWhenUsed/>
    <w:qFormat/>
    <w:locked/>
    <w:uiPriority w:val="99"/>
    <w:rPr>
      <w:rFonts w:ascii="宋体" w:hAnsi="Courier New"/>
      <w:szCs w:val="20"/>
    </w:rPr>
  </w:style>
  <w:style w:type="paragraph" w:styleId="14">
    <w:name w:val="toc 8"/>
    <w:basedOn w:val="1"/>
    <w:next w:val="1"/>
    <w:qFormat/>
    <w:uiPriority w:val="39"/>
    <w:pPr>
      <w:ind w:left="2940" w:leftChars="1400"/>
    </w:pPr>
  </w:style>
  <w:style w:type="paragraph" w:styleId="15">
    <w:name w:val="Balloon Text"/>
    <w:basedOn w:val="1"/>
    <w:link w:val="41"/>
    <w:unhideWhenUsed/>
    <w:qFormat/>
    <w:locked/>
    <w:uiPriority w:val="99"/>
    <w:rPr>
      <w:sz w:val="18"/>
      <w:szCs w:val="18"/>
    </w:rPr>
  </w:style>
  <w:style w:type="paragraph" w:styleId="16">
    <w:name w:val="footer"/>
    <w:basedOn w:val="1"/>
    <w:link w:val="28"/>
    <w:unhideWhenUsed/>
    <w:qFormat/>
    <w:locked/>
    <w:uiPriority w:val="0"/>
    <w:pPr>
      <w:tabs>
        <w:tab w:val="center" w:pos="4153"/>
        <w:tab w:val="right" w:pos="8306"/>
      </w:tabs>
      <w:snapToGrid w:val="0"/>
      <w:jc w:val="left"/>
    </w:pPr>
    <w:rPr>
      <w:sz w:val="18"/>
    </w:rPr>
  </w:style>
  <w:style w:type="paragraph" w:styleId="17">
    <w:name w:val="header"/>
    <w:basedOn w:val="1"/>
    <w:link w:val="29"/>
    <w:unhideWhenUsed/>
    <w:qFormat/>
    <w:locked/>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39"/>
    <w:pPr>
      <w:spacing w:line="360" w:lineRule="auto"/>
    </w:pPr>
    <w:rPr>
      <w:b/>
      <w:sz w:val="24"/>
    </w:rPr>
  </w:style>
  <w:style w:type="paragraph" w:styleId="19">
    <w:name w:val="toc 4"/>
    <w:basedOn w:val="1"/>
    <w:next w:val="1"/>
    <w:qFormat/>
    <w:uiPriority w:val="39"/>
    <w:pPr>
      <w:ind w:left="1260" w:leftChars="600"/>
    </w:pPr>
  </w:style>
  <w:style w:type="paragraph" w:styleId="20">
    <w:name w:val="toc 6"/>
    <w:basedOn w:val="1"/>
    <w:next w:val="1"/>
    <w:qFormat/>
    <w:uiPriority w:val="39"/>
    <w:pPr>
      <w:ind w:left="2100" w:leftChars="1000"/>
    </w:pPr>
  </w:style>
  <w:style w:type="paragraph" w:styleId="21">
    <w:name w:val="toc 9"/>
    <w:basedOn w:val="1"/>
    <w:next w:val="1"/>
    <w:qFormat/>
    <w:uiPriority w:val="39"/>
    <w:pPr>
      <w:ind w:left="3360" w:leftChars="1600"/>
    </w:pPr>
  </w:style>
  <w:style w:type="table" w:styleId="23">
    <w:name w:val="Table Grid"/>
    <w:basedOn w:val="22"/>
    <w:qFormat/>
    <w:locked/>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locked/>
    <w:uiPriority w:val="0"/>
  </w:style>
  <w:style w:type="character" w:styleId="26">
    <w:name w:val="Hyperlink"/>
    <w:basedOn w:val="24"/>
    <w:unhideWhenUsed/>
    <w:qFormat/>
    <w:locked/>
    <w:uiPriority w:val="99"/>
    <w:rPr>
      <w:color w:val="0000FF" w:themeColor="hyperlink"/>
      <w:u w:val="single"/>
    </w:rPr>
  </w:style>
  <w:style w:type="character" w:customStyle="1" w:styleId="27">
    <w:name w:val="标题 2 Char"/>
    <w:link w:val="4"/>
    <w:qFormat/>
    <w:locked/>
    <w:uiPriority w:val="99"/>
    <w:rPr>
      <w:rFonts w:ascii="宋体" w:hAnsi="宋体"/>
      <w:b/>
      <w:sz w:val="36"/>
      <w:szCs w:val="36"/>
    </w:rPr>
  </w:style>
  <w:style w:type="character" w:customStyle="1" w:styleId="28">
    <w:name w:val="页脚 Char"/>
    <w:link w:val="16"/>
    <w:qFormat/>
    <w:uiPriority w:val="99"/>
    <w:rPr>
      <w:rFonts w:ascii="Calibri" w:hAnsi="Calibri"/>
      <w:kern w:val="2"/>
      <w:sz w:val="18"/>
      <w:szCs w:val="24"/>
    </w:rPr>
  </w:style>
  <w:style w:type="character" w:customStyle="1" w:styleId="29">
    <w:name w:val="页眉 Char"/>
    <w:link w:val="17"/>
    <w:qFormat/>
    <w:uiPriority w:val="99"/>
    <w:rPr>
      <w:rFonts w:ascii="Calibri" w:hAnsi="Calibri"/>
      <w:kern w:val="2"/>
      <w:sz w:val="18"/>
      <w:szCs w:val="24"/>
    </w:rPr>
  </w:style>
  <w:style w:type="paragraph" w:customStyle="1" w:styleId="30">
    <w:name w:val="TOC 标题1"/>
    <w:basedOn w:val="3"/>
    <w:next w:val="1"/>
    <w:unhideWhenUsed/>
    <w:qFormat/>
    <w:uiPriority w:val="39"/>
    <w:pPr>
      <w:widowControl/>
      <w:spacing w:after="0" w:line="259" w:lineRule="auto"/>
      <w:outlineLvl w:val="9"/>
    </w:pPr>
    <w:rPr>
      <w:rFonts w:asciiTheme="majorHAnsi" w:hAnsiTheme="majorHAnsi" w:eastAsiaTheme="majorEastAsia" w:cstheme="majorBidi"/>
      <w:color w:val="366091" w:themeColor="accent1" w:themeShade="BF"/>
      <w:kern w:val="0"/>
      <w:sz w:val="32"/>
      <w:szCs w:val="32"/>
    </w:rPr>
  </w:style>
  <w:style w:type="paragraph" w:customStyle="1" w:styleId="31">
    <w:name w:val="列出段落1"/>
    <w:basedOn w:val="1"/>
    <w:qFormat/>
    <w:uiPriority w:val="34"/>
    <w:pPr>
      <w:ind w:firstLine="420" w:firstLineChars="200"/>
    </w:pPr>
  </w:style>
  <w:style w:type="paragraph" w:customStyle="1" w:styleId="32">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3">
    <w:name w:val="一级条标题"/>
    <w:basedOn w:val="34"/>
    <w:next w:val="35"/>
    <w:qFormat/>
    <w:uiPriority w:val="0"/>
    <w:pPr>
      <w:numPr>
        <w:ilvl w:val="2"/>
      </w:numPr>
      <w:tabs>
        <w:tab w:val="left" w:pos="420"/>
        <w:tab w:val="left" w:pos="525"/>
      </w:tabs>
      <w:spacing w:beforeLines="0" w:afterLines="0"/>
      <w:outlineLvl w:val="2"/>
    </w:pPr>
  </w:style>
  <w:style w:type="paragraph" w:customStyle="1" w:styleId="34">
    <w:name w:val="章标题"/>
    <w:next w:val="35"/>
    <w:qFormat/>
    <w:uiPriority w:val="0"/>
    <w:pPr>
      <w:numPr>
        <w:ilvl w:val="1"/>
        <w:numId w:val="1"/>
      </w:numPr>
      <w:tabs>
        <w:tab w:val="left" w:pos="420"/>
        <w:tab w:val="clear" w:pos="360"/>
      </w:tabs>
      <w:spacing w:beforeLines="50" w:afterLines="50"/>
      <w:jc w:val="both"/>
      <w:outlineLvl w:val="1"/>
    </w:pPr>
    <w:rPr>
      <w:rFonts w:ascii="黑体" w:hAnsi="Times New Roman" w:eastAsia="黑体" w:cs="Times New Roman"/>
      <w:b/>
      <w:sz w:val="21"/>
      <w:lang w:val="en-US" w:eastAsia="zh-CN" w:bidi="ar-SA"/>
    </w:rPr>
  </w:style>
  <w:style w:type="paragraph" w:customStyle="1" w:styleId="35">
    <w:name w:val="段"/>
    <w:link w:val="43"/>
    <w:qFormat/>
    <w:uiPriority w:val="99"/>
    <w:pPr>
      <w:ind w:firstLine="200" w:firstLineChars="200"/>
      <w:jc w:val="both"/>
    </w:pPr>
    <w:rPr>
      <w:rFonts w:ascii="宋体" w:hAnsi="Times New Roman" w:eastAsia="宋体" w:cs="Times New Roman"/>
      <w:sz w:val="21"/>
      <w:lang w:val="en-US" w:eastAsia="zh-CN" w:bidi="ar-SA"/>
    </w:rPr>
  </w:style>
  <w:style w:type="character" w:customStyle="1" w:styleId="36">
    <w:name w:val="表题 + (西文) 宋体 Char Char Char Char Char Char Char Char"/>
    <w:link w:val="37"/>
    <w:qFormat/>
    <w:uiPriority w:val="0"/>
    <w:rPr>
      <w:rFonts w:hAnsi="宋体" w:eastAsia="黑体" w:cstheme="minorBidi"/>
      <w:szCs w:val="22"/>
    </w:rPr>
  </w:style>
  <w:style w:type="paragraph" w:customStyle="1" w:styleId="37">
    <w:name w:val="表题 + (西文) 宋体 Char Char Char Char Char Char Char"/>
    <w:basedOn w:val="9"/>
    <w:link w:val="36"/>
    <w:qFormat/>
    <w:uiPriority w:val="0"/>
    <w:pPr>
      <w:adjustRightInd w:val="0"/>
      <w:spacing w:before="120" w:after="120" w:line="320" w:lineRule="exact"/>
      <w:jc w:val="center"/>
      <w:textAlignment w:val="baseline"/>
    </w:pPr>
    <w:rPr>
      <w:rFonts w:hAnsi="宋体" w:cstheme="minorBidi"/>
      <w:szCs w:val="22"/>
    </w:rPr>
  </w:style>
  <w:style w:type="character" w:customStyle="1" w:styleId="38">
    <w:name w:val="font01"/>
    <w:basedOn w:val="24"/>
    <w:qFormat/>
    <w:uiPriority w:val="0"/>
    <w:rPr>
      <w:rFonts w:hint="eastAsia" w:ascii="宋体" w:hAnsi="宋体" w:eastAsia="宋体" w:cs="宋体"/>
      <w:color w:val="000000"/>
      <w:sz w:val="22"/>
      <w:szCs w:val="22"/>
      <w:u w:val="none"/>
    </w:rPr>
  </w:style>
  <w:style w:type="paragraph" w:customStyle="1" w:styleId="39">
    <w:name w:val="列出段落2"/>
    <w:basedOn w:val="1"/>
    <w:qFormat/>
    <w:uiPriority w:val="99"/>
    <w:pPr>
      <w:ind w:firstLine="420" w:firstLineChars="200"/>
    </w:pPr>
  </w:style>
  <w:style w:type="paragraph" w:customStyle="1" w:styleId="40">
    <w:name w:val="TOC 标题2"/>
    <w:basedOn w:val="3"/>
    <w:next w:val="1"/>
    <w:unhideWhenUsed/>
    <w:qFormat/>
    <w:uiPriority w:val="39"/>
    <w:pPr>
      <w:widowControl/>
      <w:spacing w:after="0" w:line="259" w:lineRule="auto"/>
      <w:outlineLvl w:val="9"/>
    </w:pPr>
    <w:rPr>
      <w:rFonts w:asciiTheme="majorHAnsi" w:hAnsiTheme="majorHAnsi" w:eastAsiaTheme="majorEastAsia" w:cstheme="majorBidi"/>
      <w:b w:val="0"/>
      <w:color w:val="366091" w:themeColor="accent1" w:themeShade="BF"/>
      <w:kern w:val="0"/>
      <w:sz w:val="32"/>
      <w:szCs w:val="32"/>
    </w:rPr>
  </w:style>
  <w:style w:type="character" w:customStyle="1" w:styleId="41">
    <w:name w:val="批注框文本 Char"/>
    <w:basedOn w:val="24"/>
    <w:link w:val="15"/>
    <w:semiHidden/>
    <w:qFormat/>
    <w:uiPriority w:val="99"/>
    <w:rPr>
      <w:rFonts w:ascii="Calibri" w:hAnsi="Calibri"/>
      <w:kern w:val="2"/>
      <w:sz w:val="18"/>
      <w:szCs w:val="18"/>
    </w:rPr>
  </w:style>
  <w:style w:type="paragraph" w:customStyle="1" w:styleId="42">
    <w:name w:val="字母编号列项（一级）"/>
    <w:qFormat/>
    <w:uiPriority w:val="0"/>
    <w:pPr>
      <w:tabs>
        <w:tab w:val="left" w:pos="840"/>
      </w:tabs>
      <w:ind w:left="315"/>
      <w:jc w:val="both"/>
    </w:pPr>
    <w:rPr>
      <w:rFonts w:ascii="宋体" w:hAnsi="Times New Roman" w:eastAsia="宋体" w:cs="Times New Roman"/>
      <w:sz w:val="21"/>
      <w:lang w:val="en-US" w:eastAsia="zh-CN" w:bidi="ar-SA"/>
    </w:rPr>
  </w:style>
  <w:style w:type="character" w:customStyle="1" w:styleId="43">
    <w:name w:val="段 Char"/>
    <w:link w:val="35"/>
    <w:qFormat/>
    <w:uiPriority w:val="99"/>
    <w:rPr>
      <w:rFonts w:ascii="宋体"/>
      <w:sz w:val="21"/>
    </w:rPr>
  </w:style>
  <w:style w:type="character" w:customStyle="1" w:styleId="44">
    <w:name w:val="文档结构图 Char"/>
    <w:basedOn w:val="24"/>
    <w:link w:val="10"/>
    <w:semiHidden/>
    <w:qFormat/>
    <w:uiPriority w:val="99"/>
    <w:rPr>
      <w:rFonts w:ascii="宋体"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D87A2-F2D6-4812-9D52-4B228576FF48}">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Pages>
  <Words>516</Words>
  <Characters>559</Characters>
  <Lines>53</Lines>
  <Paragraphs>15</Paragraphs>
  <TotalTime>0</TotalTime>
  <ScaleCrop>false</ScaleCrop>
  <LinksUpToDate>false</LinksUpToDate>
  <CharactersWithSpaces>565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2018-09-26T02:24:00Z</dcterms:created>
  <dc:creator>emmy810</dc:creator>
  <cp:lastModifiedBy>说笑，</cp:lastModifiedBy>
  <dcterms:modified xsi:type="dcterms:W3CDTF">2025-06-26T09:31:15Z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C1E220F1ABEC4C8786E66D38E51CEB9D</vt:lpwstr>
  </property>
  <property fmtid="{D5CDD505-2E9C-101B-9397-08002B2CF9AE}" pid="4" name="KSOTemplateDocerSaveRecord">
    <vt:lpwstr>eyJoZGlkIjoiOTM1ZTg4MGM4YmY4NzQ4NTRhZTUzNmExZmQ4MTJjNzUiLCJ1c2VySWQiOiIzNzA0NzA1NjAifQ==</vt:lpwstr>
  </property>
</Properties>
</file>