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line="560" w:lineRule="exact"/>
        <w:jc w:val="center"/>
        <w:rPr>
          <w:rFonts w:hint="eastAsia" w:ascii="黑体" w:hAnsi="黑体" w:eastAsia="黑体" w:cs="黑体"/>
          <w:b/>
          <w:color w:val="auto"/>
          <w:sz w:val="52"/>
          <w:szCs w:val="52"/>
          <w:highlight w:val="none"/>
          <w:lang w:val="en-US" w:eastAsia="zh-CN"/>
        </w:rPr>
      </w:pPr>
      <w:r>
        <w:rPr>
          <w:color w:val="aut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-1260475</wp:posOffset>
            </wp:positionH>
            <wp:positionV relativeFrom="paragraph">
              <wp:posOffset>-931545</wp:posOffset>
            </wp:positionV>
            <wp:extent cx="7886700" cy="10948035"/>
            <wp:effectExtent l="0" t="0" r="0" b="5715"/>
            <wp:wrapNone/>
            <wp:docPr id="1" name="图片 2" descr="会议封面-空白-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会议封面-空白-A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886700" cy="1094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560" w:lineRule="exact"/>
        <w:jc w:val="center"/>
        <w:rPr>
          <w:rFonts w:hint="eastAsia" w:ascii="黑体" w:hAnsi="黑体" w:eastAsia="黑体" w:cs="黑体"/>
          <w:b/>
          <w:color w:val="auto"/>
          <w:sz w:val="52"/>
          <w:szCs w:val="52"/>
          <w:highlight w:val="none"/>
          <w:lang w:val="en-US" w:eastAsia="zh-CN"/>
        </w:rPr>
      </w:pPr>
    </w:p>
    <w:p>
      <w:pPr>
        <w:spacing w:line="560" w:lineRule="exact"/>
        <w:jc w:val="center"/>
        <w:rPr>
          <w:rFonts w:hint="eastAsia" w:ascii="黑体" w:hAnsi="黑体" w:eastAsia="黑体" w:cs="黑体"/>
          <w:b/>
          <w:color w:val="auto"/>
          <w:sz w:val="52"/>
          <w:szCs w:val="52"/>
          <w:highlight w:val="none"/>
          <w:lang w:val="en-US" w:eastAsia="zh-CN"/>
        </w:rPr>
      </w:pPr>
    </w:p>
    <w:p>
      <w:pPr>
        <w:spacing w:line="560" w:lineRule="exact"/>
        <w:jc w:val="center"/>
        <w:rPr>
          <w:rFonts w:hint="eastAsia" w:ascii="黑体" w:hAnsi="黑体" w:eastAsia="黑体" w:cs="黑体"/>
          <w:b/>
          <w:color w:val="auto"/>
          <w:sz w:val="52"/>
          <w:szCs w:val="52"/>
          <w:highlight w:val="none"/>
          <w:lang w:val="en-US" w:eastAsia="zh-CN"/>
        </w:rPr>
      </w:pPr>
    </w:p>
    <w:p>
      <w:pPr>
        <w:spacing w:line="560" w:lineRule="exact"/>
        <w:jc w:val="center"/>
        <w:rPr>
          <w:rFonts w:hint="eastAsia" w:ascii="黑体" w:hAnsi="黑体" w:eastAsia="黑体" w:cs="黑体"/>
          <w:b/>
          <w:color w:val="auto"/>
          <w:sz w:val="52"/>
          <w:szCs w:val="52"/>
          <w:highlight w:val="none"/>
          <w:lang w:val="en-US" w:eastAsia="zh-CN"/>
        </w:rPr>
      </w:pPr>
    </w:p>
    <w:p>
      <w:pPr>
        <w:spacing w:line="560" w:lineRule="exact"/>
        <w:jc w:val="center"/>
        <w:rPr>
          <w:rFonts w:hint="eastAsia" w:ascii="黑体" w:hAnsi="黑体" w:eastAsia="黑体" w:cs="黑体"/>
          <w:b/>
          <w:color w:val="auto"/>
          <w:sz w:val="52"/>
          <w:szCs w:val="52"/>
          <w:highlight w:val="none"/>
          <w:lang w:val="en-US" w:eastAsia="zh-CN"/>
        </w:rPr>
      </w:pPr>
    </w:p>
    <w:p>
      <w:pPr>
        <w:spacing w:line="560" w:lineRule="exact"/>
        <w:jc w:val="center"/>
        <w:rPr>
          <w:rFonts w:hint="eastAsia" w:ascii="黑体" w:hAnsi="黑体" w:eastAsia="黑体" w:cs="黑体"/>
          <w:b/>
          <w:color w:val="auto"/>
          <w:sz w:val="52"/>
          <w:szCs w:val="52"/>
          <w:highlight w:val="none"/>
          <w:lang w:val="en-US" w:eastAsia="zh-CN"/>
        </w:rPr>
      </w:pPr>
    </w:p>
    <w:p>
      <w:pPr>
        <w:spacing w:line="560" w:lineRule="exact"/>
        <w:jc w:val="center"/>
        <w:rPr>
          <w:rFonts w:hint="eastAsia" w:ascii="黑体" w:hAnsi="黑体" w:eastAsia="黑体" w:cs="黑体"/>
          <w:b/>
          <w:sz w:val="52"/>
          <w:szCs w:val="52"/>
          <w:lang w:val="en-US" w:eastAsia="zh-CN"/>
        </w:rPr>
      </w:pPr>
      <w:r>
        <w:rPr>
          <w:rFonts w:hint="eastAsia" w:ascii="黑体" w:hAnsi="黑体" w:eastAsia="黑体" w:cs="黑体"/>
          <w:b/>
          <w:sz w:val="52"/>
          <w:szCs w:val="52"/>
          <w:lang w:val="en-US" w:eastAsia="zh-CN"/>
        </w:rPr>
        <w:t>柳州局职工食堂固定资产改造</w:t>
      </w:r>
    </w:p>
    <w:p>
      <w:pPr>
        <w:spacing w:line="560" w:lineRule="exact"/>
        <w:jc w:val="center"/>
        <w:rPr>
          <w:rFonts w:hint="eastAsia" w:ascii="黑体" w:hAnsi="黑体" w:eastAsia="黑体" w:cs="黑体"/>
          <w:b/>
          <w:sz w:val="52"/>
          <w:szCs w:val="52"/>
          <w:lang w:val="en-US" w:eastAsia="zh-CN"/>
        </w:rPr>
      </w:pPr>
      <w:r>
        <w:rPr>
          <w:rFonts w:hint="eastAsia" w:ascii="黑体" w:hAnsi="黑体" w:eastAsia="黑体" w:cs="黑体"/>
          <w:b/>
          <w:sz w:val="52"/>
          <w:szCs w:val="52"/>
          <w:lang w:val="en-US" w:eastAsia="zh-CN"/>
        </w:rPr>
        <w:t>气改电设备购置技术规范书</w:t>
      </w:r>
    </w:p>
    <w:p>
      <w:pPr>
        <w:jc w:val="center"/>
        <w:rPr>
          <w:rFonts w:hint="eastAsia" w:ascii="黑体" w:hAnsi="宋体" w:eastAsia="黑体"/>
          <w:b/>
          <w:color w:val="auto"/>
          <w:sz w:val="52"/>
        </w:rPr>
      </w:pPr>
    </w:p>
    <w:p>
      <w:pPr>
        <w:ind w:firstLine="1979" w:firstLineChars="616"/>
        <w:rPr>
          <w:rFonts w:hAnsi="宋体"/>
          <w:b/>
          <w:bCs/>
          <w:sz w:val="32"/>
        </w:rPr>
      </w:pPr>
    </w:p>
    <w:p>
      <w:pPr>
        <w:ind w:firstLine="1979" w:firstLineChars="616"/>
        <w:rPr>
          <w:rFonts w:hint="eastAsia"/>
          <w:b/>
          <w:bCs/>
          <w:sz w:val="32"/>
        </w:rPr>
      </w:pPr>
      <w:r>
        <w:rPr>
          <w:rFonts w:hAnsi="宋体"/>
          <w:b/>
          <w:bCs/>
          <w:sz w:val="32"/>
        </w:rPr>
        <w:t>批</w:t>
      </w:r>
      <w:r>
        <w:rPr>
          <w:b/>
          <w:bCs/>
          <w:sz w:val="32"/>
        </w:rPr>
        <w:t xml:space="preserve">  </w:t>
      </w:r>
      <w:r>
        <w:rPr>
          <w:rFonts w:hAnsi="宋体"/>
          <w:b/>
          <w:bCs/>
          <w:sz w:val="32"/>
        </w:rPr>
        <w:t>准</w:t>
      </w:r>
      <w:r>
        <w:rPr>
          <w:rFonts w:hint="eastAsia" w:hAnsi="宋体"/>
          <w:b/>
          <w:bCs/>
          <w:sz w:val="32"/>
        </w:rPr>
        <w:t>：</w:t>
      </w:r>
    </w:p>
    <w:p>
      <w:pPr>
        <w:ind w:firstLine="1979" w:firstLineChars="616"/>
        <w:rPr>
          <w:rFonts w:hint="eastAsia"/>
          <w:b/>
          <w:bCs/>
          <w:sz w:val="32"/>
        </w:rPr>
      </w:pPr>
    </w:p>
    <w:p>
      <w:pPr>
        <w:ind w:firstLine="1979" w:firstLineChars="616"/>
        <w:rPr>
          <w:rFonts w:hint="eastAsia"/>
          <w:b/>
          <w:bCs/>
          <w:sz w:val="32"/>
        </w:rPr>
      </w:pPr>
      <w:r>
        <w:rPr>
          <w:rFonts w:hint="eastAsia"/>
          <w:b/>
          <w:bCs/>
          <w:sz w:val="32"/>
        </w:rPr>
        <w:t>审  定：</w:t>
      </w:r>
    </w:p>
    <w:p>
      <w:pPr>
        <w:ind w:firstLine="1979" w:firstLineChars="616"/>
        <w:rPr>
          <w:rFonts w:hint="eastAsia"/>
          <w:b/>
          <w:bCs/>
          <w:sz w:val="32"/>
        </w:rPr>
      </w:pPr>
    </w:p>
    <w:p>
      <w:pPr>
        <w:ind w:firstLine="1979" w:firstLineChars="616"/>
        <w:rPr>
          <w:rFonts w:hint="eastAsia" w:hAnsi="宋体"/>
          <w:b/>
          <w:bCs/>
          <w:sz w:val="32"/>
        </w:rPr>
      </w:pPr>
      <w:r>
        <w:rPr>
          <w:rFonts w:hint="eastAsia" w:hAnsi="宋体"/>
          <w:b/>
          <w:bCs/>
          <w:sz w:val="32"/>
        </w:rPr>
        <w:t xml:space="preserve">审  </w:t>
      </w:r>
      <w:r>
        <w:rPr>
          <w:rFonts w:hAnsi="宋体"/>
          <w:b/>
          <w:bCs/>
          <w:sz w:val="32"/>
        </w:rPr>
        <w:t>核：</w:t>
      </w:r>
    </w:p>
    <w:p>
      <w:pPr>
        <w:ind w:firstLine="1979" w:firstLineChars="616"/>
        <w:rPr>
          <w:rFonts w:hint="eastAsia" w:hAnsi="宋体"/>
          <w:b/>
          <w:bCs/>
          <w:sz w:val="32"/>
        </w:rPr>
      </w:pPr>
    </w:p>
    <w:p>
      <w:pPr>
        <w:ind w:firstLine="1979" w:firstLineChars="616"/>
        <w:rPr>
          <w:rFonts w:hint="eastAsia" w:hAnsi="宋体"/>
          <w:b/>
          <w:bCs/>
          <w:sz w:val="32"/>
        </w:rPr>
      </w:pPr>
      <w:r>
        <w:rPr>
          <w:rFonts w:hint="eastAsia" w:hAnsi="宋体"/>
          <w:b/>
          <w:bCs/>
          <w:sz w:val="32"/>
        </w:rPr>
        <w:t>编  写：</w:t>
      </w:r>
    </w:p>
    <w:p>
      <w:pPr>
        <w:ind w:firstLine="2783" w:firstLineChars="990"/>
        <w:rPr>
          <w:rFonts w:hint="eastAsia" w:ascii="黑体" w:hAnsi="宋体" w:eastAsia="黑体"/>
          <w:b/>
          <w:color w:val="auto"/>
          <w:sz w:val="28"/>
          <w:szCs w:val="28"/>
        </w:rPr>
      </w:pPr>
    </w:p>
    <w:p>
      <w:pPr>
        <w:ind w:firstLine="2783" w:firstLineChars="990"/>
        <w:rPr>
          <w:rFonts w:hint="eastAsia" w:ascii="黑体" w:hAnsi="宋体" w:eastAsia="黑体"/>
          <w:b/>
          <w:color w:val="auto"/>
          <w:sz w:val="28"/>
          <w:szCs w:val="28"/>
        </w:rPr>
      </w:pPr>
    </w:p>
    <w:p>
      <w:pPr>
        <w:spacing w:line="360" w:lineRule="auto"/>
        <w:jc w:val="center"/>
        <w:rPr>
          <w:rFonts w:hint="eastAsia" w:ascii="宋体" w:hAnsi="宋体"/>
          <w:color w:val="auto"/>
          <w:sz w:val="28"/>
          <w:szCs w:val="28"/>
        </w:rPr>
      </w:pPr>
      <w:r>
        <w:rPr>
          <w:rFonts w:hint="eastAsia" w:ascii="宋体" w:hAnsi="宋体"/>
          <w:color w:val="auto"/>
          <w:sz w:val="28"/>
          <w:szCs w:val="28"/>
        </w:rPr>
        <w:t>超高压输电公司</w:t>
      </w:r>
      <w:r>
        <w:rPr>
          <w:rFonts w:hint="eastAsia" w:hAnsi="宋体"/>
          <w:color w:val="auto"/>
          <w:sz w:val="28"/>
          <w:szCs w:val="28"/>
          <w:lang w:val="en-US" w:eastAsia="zh-CN"/>
        </w:rPr>
        <w:t>柳州局</w:t>
      </w:r>
    </w:p>
    <w:p>
      <w:pPr>
        <w:jc w:val="center"/>
        <w:rPr>
          <w:rFonts w:hint="eastAsia"/>
        </w:rPr>
      </w:pPr>
      <w:r>
        <w:rPr>
          <w:rFonts w:hint="eastAsia" w:ascii="宋体" w:hAnsi="宋体"/>
          <w:color w:val="auto"/>
          <w:sz w:val="28"/>
          <w:szCs w:val="28"/>
        </w:rPr>
        <w:t>二○</w:t>
      </w:r>
      <w:r>
        <w:rPr>
          <w:rFonts w:hint="eastAsia" w:hAnsi="宋体"/>
          <w:color w:val="auto"/>
          <w:sz w:val="28"/>
          <w:szCs w:val="28"/>
          <w:lang w:val="en-US" w:eastAsia="zh-CN"/>
        </w:rPr>
        <w:t>二五</w:t>
      </w:r>
      <w:r>
        <w:rPr>
          <w:rFonts w:hint="eastAsia" w:ascii="宋体" w:hAnsi="宋体"/>
          <w:color w:val="auto"/>
          <w:sz w:val="28"/>
          <w:szCs w:val="28"/>
        </w:rPr>
        <w:t>年</w:t>
      </w:r>
      <w:r>
        <w:rPr>
          <w:rFonts w:hint="eastAsia" w:hAnsi="宋体"/>
          <w:color w:val="auto"/>
          <w:sz w:val="28"/>
          <w:szCs w:val="28"/>
          <w:lang w:val="en-US" w:eastAsia="zh-CN"/>
        </w:rPr>
        <w:t>五</w:t>
      </w:r>
      <w:r>
        <w:rPr>
          <w:rFonts w:hint="eastAsia" w:ascii="宋体" w:hAnsi="宋体"/>
          <w:color w:val="auto"/>
          <w:sz w:val="28"/>
          <w:szCs w:val="28"/>
          <w:lang w:val="en-US" w:eastAsia="zh-CN"/>
        </w:rPr>
        <w:t>月</w:t>
      </w:r>
      <w:r>
        <w:br w:type="page"/>
      </w:r>
      <w:r>
        <w:rPr>
          <w:rFonts w:hint="eastAsia"/>
        </w:rPr>
        <w:t>目  录</w:t>
      </w:r>
    </w:p>
    <w:p>
      <w:pPr>
        <w:pStyle w:val="17"/>
        <w:tabs>
          <w:tab w:val="right" w:leader="dot" w:pos="8306"/>
        </w:tabs>
      </w:pP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TOC \o "1-1" \h \z \u</w:instrText>
      </w:r>
      <w:r>
        <w:instrText xml:space="preserve"> </w:instrText>
      </w:r>
      <w:r>
        <w:fldChar w:fldCharType="separate"/>
      </w:r>
      <w:r>
        <w:fldChar w:fldCharType="begin"/>
      </w:r>
      <w:r>
        <w:instrText xml:space="preserve"> HYPERLINK \l _Toc4819 </w:instrText>
      </w:r>
      <w:r>
        <w:fldChar w:fldCharType="separate"/>
      </w:r>
      <w:r>
        <w:rPr>
          <w:rFonts w:hint="eastAsia"/>
        </w:rPr>
        <w:t>1. 总则</w:t>
      </w:r>
      <w:r>
        <w:tab/>
      </w:r>
      <w:r>
        <w:fldChar w:fldCharType="begin"/>
      </w:r>
      <w:r>
        <w:instrText xml:space="preserve"> PAGEREF _Toc4819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17"/>
        <w:tabs>
          <w:tab w:val="right" w:leader="dot" w:pos="8306"/>
        </w:tabs>
      </w:pPr>
      <w:r>
        <w:fldChar w:fldCharType="begin"/>
      </w:r>
      <w:r>
        <w:instrText xml:space="preserve"> HYPERLINK \l _Toc17025 </w:instrText>
      </w:r>
      <w:r>
        <w:fldChar w:fldCharType="separate"/>
      </w:r>
      <w:r>
        <w:rPr>
          <w:rFonts w:hint="eastAsia"/>
        </w:rPr>
        <w:t xml:space="preserve">2. </w:t>
      </w:r>
      <w:r>
        <w:rPr>
          <w:rFonts w:hint="eastAsia"/>
          <w:lang w:eastAsia="zh-CN"/>
        </w:rPr>
        <w:t>供货</w:t>
      </w:r>
      <w:r>
        <w:rPr>
          <w:rFonts w:hint="eastAsia"/>
        </w:rPr>
        <w:t>范围</w:t>
      </w:r>
      <w:r>
        <w:rPr>
          <w:rFonts w:hint="eastAsia"/>
          <w:lang w:eastAsia="zh-CN"/>
        </w:rPr>
        <w:t>和技术服务要求</w:t>
      </w:r>
      <w:r>
        <w:tab/>
      </w:r>
      <w:r>
        <w:fldChar w:fldCharType="begin"/>
      </w:r>
      <w:r>
        <w:instrText xml:space="preserve"> PAGEREF _Toc17025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17"/>
        <w:tabs>
          <w:tab w:val="right" w:leader="dot" w:pos="8306"/>
        </w:tabs>
      </w:pPr>
      <w:r>
        <w:fldChar w:fldCharType="begin"/>
      </w:r>
      <w:r>
        <w:instrText xml:space="preserve"> HYPERLINK \l _Toc32082 </w:instrText>
      </w:r>
      <w:r>
        <w:fldChar w:fldCharType="separate"/>
      </w:r>
      <w:r>
        <w:rPr>
          <w:rFonts w:hint="eastAsia"/>
        </w:rPr>
        <w:t>3. 双方责任</w:t>
      </w:r>
      <w:r>
        <w:tab/>
      </w:r>
      <w:r>
        <w:fldChar w:fldCharType="begin"/>
      </w:r>
      <w:r>
        <w:instrText xml:space="preserve"> PAGEREF _Toc32082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17"/>
        <w:tabs>
          <w:tab w:val="right" w:leader="dot" w:pos="8306"/>
        </w:tabs>
      </w:pPr>
      <w:r>
        <w:fldChar w:fldCharType="begin"/>
      </w:r>
      <w:r>
        <w:instrText xml:space="preserve"> HYPERLINK \l _Toc32385 </w:instrText>
      </w:r>
      <w:r>
        <w:fldChar w:fldCharType="separate"/>
      </w:r>
      <w:r>
        <w:rPr>
          <w:rFonts w:hint="eastAsia"/>
          <w:lang w:val="en-US" w:eastAsia="zh-CN"/>
        </w:rPr>
        <w:t>4. 设备售后服务要求</w:t>
      </w:r>
      <w:r>
        <w:tab/>
      </w:r>
      <w:r>
        <w:fldChar w:fldCharType="begin"/>
      </w:r>
      <w:r>
        <w:instrText xml:space="preserve"> PAGEREF _Toc32385 \h </w:instrText>
      </w:r>
      <w:r>
        <w:fldChar w:fldCharType="separate"/>
      </w:r>
      <w:r>
        <w:t>4</w:t>
      </w:r>
      <w:r>
        <w:fldChar w:fldCharType="end"/>
      </w:r>
      <w:r>
        <w:fldChar w:fldCharType="end"/>
      </w:r>
    </w:p>
    <w:p>
      <w:pPr>
        <w:pStyle w:val="17"/>
        <w:tabs>
          <w:tab w:val="right" w:leader="dot" w:pos="8306"/>
        </w:tabs>
      </w:pPr>
      <w:r>
        <w:fldChar w:fldCharType="begin"/>
      </w:r>
      <w:r>
        <w:instrText xml:space="preserve"> HYPERLINK \l _Toc30846 </w:instrText>
      </w:r>
      <w:r>
        <w:fldChar w:fldCharType="separate"/>
      </w:r>
      <w:r>
        <w:rPr>
          <w:rFonts w:hint="eastAsia"/>
          <w:lang w:val="en-US" w:eastAsia="zh-CN"/>
        </w:rPr>
        <w:t>5. 包装、运输、贮存</w:t>
      </w:r>
      <w:r>
        <w:tab/>
      </w:r>
      <w:r>
        <w:fldChar w:fldCharType="begin"/>
      </w:r>
      <w:r>
        <w:instrText xml:space="preserve"> PAGEREF _Toc30846 \h </w:instrText>
      </w:r>
      <w:r>
        <w:fldChar w:fldCharType="separate"/>
      </w:r>
      <w:r>
        <w:t>4</w:t>
      </w:r>
      <w:r>
        <w:fldChar w:fldCharType="end"/>
      </w:r>
      <w:r>
        <w:fldChar w:fldCharType="end"/>
      </w:r>
    </w:p>
    <w:p>
      <w:pPr>
        <w:pStyle w:val="17"/>
        <w:tabs>
          <w:tab w:val="right" w:leader="dot" w:pos="8306"/>
        </w:tabs>
      </w:pPr>
      <w:r>
        <w:fldChar w:fldCharType="begin"/>
      </w:r>
      <w:r>
        <w:instrText xml:space="preserve"> HYPERLINK \l _Toc6808 </w:instrText>
      </w:r>
      <w:r>
        <w:fldChar w:fldCharType="separate"/>
      </w:r>
      <w:r>
        <w:rPr>
          <w:rFonts w:hint="eastAsia"/>
          <w:lang w:val="en-US" w:eastAsia="zh-CN"/>
        </w:rPr>
        <w:t>6. 备品备件及专用工具</w:t>
      </w:r>
      <w:r>
        <w:tab/>
      </w:r>
      <w:r>
        <w:fldChar w:fldCharType="begin"/>
      </w:r>
      <w:r>
        <w:instrText xml:space="preserve"> PAGEREF _Toc6808 \h </w:instrText>
      </w:r>
      <w:r>
        <w:fldChar w:fldCharType="separate"/>
      </w:r>
      <w:r>
        <w:t>5</w:t>
      </w:r>
      <w:r>
        <w:fldChar w:fldCharType="end"/>
      </w:r>
      <w:r>
        <w:fldChar w:fldCharType="end"/>
      </w:r>
    </w:p>
    <w:p>
      <w:pPr>
        <w:pStyle w:val="17"/>
        <w:tabs>
          <w:tab w:val="right" w:leader="dot" w:pos="8306"/>
        </w:tabs>
      </w:pPr>
      <w:r>
        <w:fldChar w:fldCharType="begin"/>
      </w:r>
      <w:r>
        <w:instrText xml:space="preserve"> HYPERLINK \l _Toc10760 </w:instrText>
      </w:r>
      <w:r>
        <w:fldChar w:fldCharType="separate"/>
      </w:r>
      <w:r>
        <w:rPr>
          <w:rFonts w:hint="eastAsia"/>
          <w:lang w:val="en-US" w:eastAsia="zh-CN"/>
        </w:rPr>
        <w:t>7. 附件</w:t>
      </w:r>
      <w:r>
        <w:tab/>
      </w:r>
      <w:r>
        <w:fldChar w:fldCharType="begin"/>
      </w:r>
      <w:r>
        <w:instrText xml:space="preserve"> PAGEREF _Toc10760 \h </w:instrText>
      </w:r>
      <w:r>
        <w:fldChar w:fldCharType="separate"/>
      </w:r>
      <w:r>
        <w:t>5</w:t>
      </w:r>
      <w:r>
        <w:fldChar w:fldCharType="end"/>
      </w:r>
      <w:r>
        <w:fldChar w:fldCharType="end"/>
      </w:r>
    </w:p>
    <w:p>
      <w:pPr>
        <w:rPr>
          <w:rFonts w:hint="eastAsia"/>
        </w:rPr>
      </w:pPr>
      <w:r>
        <w:fldChar w:fldCharType="end"/>
      </w:r>
    </w:p>
    <w:p>
      <w:pPr>
        <w:jc w:val="center"/>
        <w:rPr>
          <w:rFonts w:hint="default" w:hAnsi="宋体"/>
          <w:b/>
          <w:sz w:val="52"/>
          <w:szCs w:val="52"/>
          <w:lang w:val="en-US"/>
        </w:rPr>
        <w:sectPr>
          <w:headerReference r:id="rId5" w:type="default"/>
          <w:footerReference r:id="rId6" w:type="default"/>
          <w:footerReference r:id="rId7" w:type="even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jc w:val="center"/>
        <w:textAlignment w:val="auto"/>
        <w:outlineLvl w:val="9"/>
        <w:rPr>
          <w:rFonts w:hint="eastAsia"/>
        </w:rPr>
      </w:pPr>
      <w:bookmarkStart w:id="0" w:name="_Toc32223"/>
      <w:r>
        <w:rPr>
          <w:rFonts w:hint="eastAsia" w:ascii="宋体" w:hAnsi="宋体" w:eastAsia="宋体" w:cs="宋体"/>
          <w:b/>
          <w:color w:val="auto"/>
          <w:sz w:val="32"/>
          <w:szCs w:val="32"/>
          <w:lang w:val="en-US" w:eastAsia="zh-CN"/>
        </w:rPr>
        <w:t>柳州局职工食堂固定资产</w:t>
      </w:r>
      <w:r>
        <w:rPr>
          <w:rFonts w:hint="eastAsia" w:hAnsi="宋体" w:cs="宋体"/>
          <w:b/>
          <w:color w:val="auto"/>
          <w:sz w:val="32"/>
          <w:szCs w:val="32"/>
          <w:lang w:val="en-US" w:eastAsia="zh-CN"/>
        </w:rPr>
        <w:t>购置项目</w:t>
      </w:r>
      <w:r>
        <w:rPr>
          <w:rFonts w:hint="eastAsia" w:ascii="宋体" w:hAnsi="宋体" w:eastAsia="宋体" w:cs="宋体"/>
          <w:b/>
          <w:color w:val="auto"/>
          <w:sz w:val="32"/>
          <w:szCs w:val="32"/>
          <w:lang w:val="en-US" w:eastAsia="zh-CN"/>
        </w:rPr>
        <w:t>气改电设备购置技术规范书</w:t>
      </w:r>
      <w:bookmarkEnd w:id="0"/>
    </w:p>
    <w:p>
      <w:pPr>
        <w:pStyle w:val="3"/>
        <w:bidi w:val="0"/>
        <w:rPr>
          <w:rFonts w:hint="eastAsia"/>
        </w:rPr>
      </w:pPr>
      <w:bookmarkStart w:id="1" w:name="_Toc4819"/>
      <w:r>
        <w:rPr>
          <w:rFonts w:hint="eastAsia"/>
        </w:rPr>
        <w:t>总则</w:t>
      </w:r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1.1本招标技术文件适用于中国南方电网</w:t>
      </w:r>
      <w:r>
        <w:rPr>
          <w:rFonts w:hint="eastAsia" w:ascii="宋体" w:hAnsi="宋体"/>
          <w:szCs w:val="21"/>
          <w:lang w:val="en-US" w:eastAsia="zh-CN"/>
        </w:rPr>
        <w:t>有限责任</w:t>
      </w:r>
      <w:r>
        <w:rPr>
          <w:rFonts w:ascii="宋体" w:hAnsi="宋体"/>
          <w:szCs w:val="21"/>
        </w:rPr>
        <w:t>公司</w:t>
      </w:r>
      <w:r>
        <w:rPr>
          <w:rFonts w:hint="eastAsia" w:ascii="宋体" w:hAnsi="宋体" w:eastAsia="宋体" w:cs="Times New Roman"/>
          <w:szCs w:val="21"/>
          <w:u w:val="single"/>
          <w:lang w:eastAsia="zh-CN"/>
        </w:rPr>
        <w:t>超高压输电公司柳州局职工食堂固定资产购置项目气改电设备采购</w:t>
      </w:r>
      <w:r>
        <w:rPr>
          <w:rFonts w:ascii="宋体" w:hAnsi="宋体" w:eastAsia="宋体" w:cs="Times New Roman"/>
          <w:szCs w:val="21"/>
        </w:rPr>
        <w:t>，</w:t>
      </w:r>
      <w:r>
        <w:rPr>
          <w:rFonts w:ascii="宋体" w:hAnsi="宋体"/>
          <w:szCs w:val="21"/>
        </w:rPr>
        <w:t>它提出了</w:t>
      </w:r>
      <w:r>
        <w:rPr>
          <w:rFonts w:hint="eastAsia" w:ascii="宋体" w:hAnsi="宋体"/>
          <w:szCs w:val="21"/>
        </w:rPr>
        <w:t>项目物资的</w:t>
      </w:r>
      <w:r>
        <w:rPr>
          <w:rFonts w:ascii="宋体" w:hAnsi="宋体"/>
          <w:szCs w:val="21"/>
        </w:rPr>
        <w:t>性能</w:t>
      </w:r>
      <w:r>
        <w:rPr>
          <w:rFonts w:hint="eastAsia" w:ascii="宋体" w:hAnsi="宋体"/>
          <w:szCs w:val="21"/>
        </w:rPr>
        <w:t>、</w:t>
      </w:r>
      <w:r>
        <w:rPr>
          <w:rFonts w:ascii="宋体" w:hAnsi="宋体"/>
          <w:szCs w:val="21"/>
        </w:rPr>
        <w:t>结构</w:t>
      </w:r>
      <w:r>
        <w:rPr>
          <w:rFonts w:hint="eastAsia" w:ascii="宋体" w:hAnsi="宋体"/>
          <w:szCs w:val="21"/>
        </w:rPr>
        <w:t>、</w:t>
      </w:r>
      <w:r>
        <w:rPr>
          <w:rFonts w:ascii="宋体" w:hAnsi="宋体"/>
          <w:szCs w:val="21"/>
        </w:rPr>
        <w:t>安装等方面的技术要求。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cs="Times New Roman"/>
          <w:szCs w:val="21"/>
        </w:rPr>
      </w:pPr>
      <w:r>
        <w:rPr>
          <w:rFonts w:hint="eastAsia" w:ascii="宋体" w:hAnsi="宋体" w:cs="Times New Roman"/>
          <w:szCs w:val="21"/>
        </w:rPr>
        <w:t>1.2本招标技术文件提出的是最低限度的技术要求。凡本招标技术文件中未规定，但在相关设备的行业标准、国家标准或IEC标准中有规定的规范条文，投标方应按相应标准的条文进行设备设计、制造、试验和安装。对国家有关安全、环保等强制性标准，必须满足其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cs="Times New Roman"/>
          <w:szCs w:val="21"/>
        </w:rPr>
      </w:pPr>
      <w:r>
        <w:rPr>
          <w:rFonts w:hint="eastAsia" w:ascii="宋体" w:hAnsi="宋体" w:cs="Times New Roman"/>
          <w:szCs w:val="21"/>
        </w:rPr>
        <w:t>1.3投标人应具有备良好的财务状况和商业信誉。投标方应随同投标书提供所要求的资格证明文件及供货记录。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cs="Times New Roman"/>
          <w:szCs w:val="21"/>
        </w:rPr>
      </w:pPr>
      <w:r>
        <w:rPr>
          <w:rFonts w:hint="eastAsia" w:ascii="宋体" w:hAnsi="宋体" w:cs="Times New Roman"/>
          <w:szCs w:val="21"/>
        </w:rPr>
        <w:t>1.4如果投标方没有以书面形式对本招标技术文件的条文提出异议，则意味着投标方提供的设备完全符合本招标技术文件的要求。如有异议，都应在报价书中以“对招标技术文件的意见和同招标技术文件的差异”为标题的专门章节中加以详细描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cs="Times New Roman"/>
          <w:szCs w:val="21"/>
        </w:rPr>
      </w:pPr>
      <w:r>
        <w:rPr>
          <w:rFonts w:hint="eastAsia" w:ascii="宋体" w:hAnsi="宋体" w:cs="Times New Roman"/>
          <w:szCs w:val="21"/>
        </w:rPr>
        <w:t>1.5本招标技术文件所使用的标准如遇与投标方所执行的标准不一致时，按较高标准执行。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cs="Times New Roman"/>
          <w:szCs w:val="21"/>
        </w:rPr>
      </w:pPr>
      <w:r>
        <w:rPr>
          <w:rFonts w:hint="eastAsia" w:ascii="宋体" w:hAnsi="宋体" w:cs="Times New Roman"/>
          <w:szCs w:val="21"/>
        </w:rPr>
        <w:t>1.</w:t>
      </w:r>
      <w:r>
        <w:rPr>
          <w:rFonts w:hint="eastAsia" w:hAnsi="宋体" w:cs="Times New Roman"/>
          <w:szCs w:val="21"/>
          <w:lang w:val="en-US" w:eastAsia="zh-CN"/>
        </w:rPr>
        <w:t>6</w:t>
      </w:r>
      <w:r>
        <w:rPr>
          <w:rFonts w:hint="eastAsia" w:ascii="宋体" w:hAnsi="宋体" w:cs="Times New Roman"/>
          <w:szCs w:val="21"/>
        </w:rPr>
        <w:t>投标方应充分理解本技术规范书并按本技术规范书的具体条款、格式要求填写应标的技术规范，如发现应标的技术规范条款、格式不符合本技术规范书的要求，则认为应标不严肃，在评标时将有不同程度的扣分。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cs="Times New Roman"/>
          <w:szCs w:val="21"/>
        </w:rPr>
      </w:pPr>
      <w:r>
        <w:rPr>
          <w:rFonts w:hint="eastAsia" w:ascii="宋体" w:hAnsi="宋体" w:cs="Times New Roman"/>
          <w:szCs w:val="21"/>
        </w:rPr>
        <w:t>1.</w:t>
      </w:r>
      <w:r>
        <w:rPr>
          <w:rFonts w:hint="eastAsia" w:hAnsi="宋体" w:cs="Times New Roman"/>
          <w:szCs w:val="21"/>
          <w:lang w:val="en-US" w:eastAsia="zh-CN"/>
        </w:rPr>
        <w:t>7</w:t>
      </w:r>
      <w:r>
        <w:rPr>
          <w:rFonts w:hint="eastAsia" w:ascii="宋体" w:hAnsi="宋体" w:cs="Times New Roman"/>
          <w:szCs w:val="21"/>
        </w:rPr>
        <w:t>设备技术规范书未尽事宜，由招标方、投标方双方协商确定。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cs="Times New Roman"/>
          <w:szCs w:val="21"/>
        </w:rPr>
      </w:pPr>
      <w:r>
        <w:rPr>
          <w:rFonts w:hint="eastAsia" w:hAnsi="宋体" w:cs="Times New Roman"/>
          <w:szCs w:val="21"/>
          <w:lang w:val="en-US" w:eastAsia="zh-CN"/>
        </w:rPr>
        <w:t>1.8</w:t>
      </w:r>
      <w:r>
        <w:rPr>
          <w:rFonts w:hint="eastAsia" w:ascii="宋体" w:hAnsi="宋体" w:cs="Times New Roman"/>
          <w:szCs w:val="21"/>
        </w:rPr>
        <w:t>投标方在投标建议书中建议的每个设备功能必须逐一说明。投标方认为需特殊说明的部分应附详细的技术资料，否则，由于评标理解不同，产生的后果由投标方负责。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cs="Times New Roman"/>
          <w:szCs w:val="21"/>
        </w:rPr>
      </w:pPr>
      <w:r>
        <w:rPr>
          <w:rFonts w:hint="eastAsia" w:hAnsi="宋体" w:cs="Times New Roman"/>
          <w:szCs w:val="21"/>
          <w:lang w:val="en-US" w:eastAsia="zh-CN"/>
        </w:rPr>
        <w:t>1.9</w:t>
      </w:r>
      <w:r>
        <w:rPr>
          <w:rFonts w:hint="eastAsia" w:ascii="宋体" w:hAnsi="宋体" w:cs="Times New Roman"/>
          <w:szCs w:val="21"/>
        </w:rPr>
        <w:t>在不超出以下功能模块的情况下，所有</w:t>
      </w:r>
      <w:r>
        <w:rPr>
          <w:rFonts w:hint="eastAsia" w:ascii="宋体" w:hAnsi="宋体" w:cs="Times New Roman"/>
          <w:szCs w:val="21"/>
          <w:lang w:eastAsia="zh-CN"/>
        </w:rPr>
        <w:t>招标</w:t>
      </w:r>
      <w:r>
        <w:rPr>
          <w:rFonts w:hint="eastAsia" w:ascii="宋体" w:hAnsi="宋体" w:cs="Times New Roman"/>
          <w:szCs w:val="21"/>
        </w:rPr>
        <w:t>方提出的细化功能投标方应予以满足。</w:t>
      </w:r>
    </w:p>
    <w:p>
      <w:pPr>
        <w:pStyle w:val="3"/>
        <w:bidi w:val="0"/>
        <w:rPr>
          <w:rFonts w:hint="eastAsia"/>
        </w:rPr>
      </w:pPr>
      <w:bookmarkStart w:id="2" w:name="_Toc17025"/>
      <w:r>
        <w:rPr>
          <w:rFonts w:hint="eastAsia"/>
          <w:lang w:eastAsia="zh-CN"/>
        </w:rPr>
        <w:t>供货</w:t>
      </w:r>
      <w:r>
        <w:rPr>
          <w:rFonts w:hint="eastAsia"/>
        </w:rPr>
        <w:t>范围</w:t>
      </w:r>
      <w:r>
        <w:rPr>
          <w:rFonts w:hint="eastAsia"/>
          <w:lang w:eastAsia="zh-CN"/>
        </w:rPr>
        <w:t>和技术服务要求</w:t>
      </w:r>
      <w:bookmarkEnd w:id="2"/>
    </w:p>
    <w:p>
      <w:pPr>
        <w:spacing w:line="360" w:lineRule="auto"/>
        <w:ind w:firstLine="420"/>
        <w:rPr>
          <w:rFonts w:ascii="宋体" w:hAnsi="宋体"/>
          <w:szCs w:val="21"/>
          <w:highlight w:val="none"/>
        </w:rPr>
      </w:pPr>
      <w:r>
        <w:rPr>
          <w:rFonts w:hint="eastAsia" w:hAnsi="宋体"/>
          <w:szCs w:val="21"/>
          <w:highlight w:val="none"/>
          <w:lang w:val="en-US" w:eastAsia="zh-CN"/>
        </w:rPr>
        <w:t>2.1</w:t>
      </w:r>
      <w:r>
        <w:rPr>
          <w:rFonts w:ascii="宋体" w:hAnsi="宋体"/>
          <w:szCs w:val="21"/>
          <w:highlight w:val="none"/>
        </w:rPr>
        <w:t>供货范围</w:t>
      </w:r>
      <w:bookmarkStart w:id="3" w:name="_Toc283142589"/>
      <w:bookmarkStart w:id="4" w:name="_Toc283011667"/>
      <w:bookmarkStart w:id="5" w:name="_Toc282433715"/>
      <w:r>
        <w:rPr>
          <w:rFonts w:ascii="宋体" w:hAnsi="宋体"/>
          <w:szCs w:val="21"/>
          <w:highlight w:val="none"/>
        </w:rPr>
        <w:t>一览表</w:t>
      </w:r>
      <w:bookmarkEnd w:id="3"/>
      <w:bookmarkEnd w:id="4"/>
      <w:bookmarkEnd w:id="5"/>
    </w:p>
    <w:p>
      <w:pPr>
        <w:pStyle w:val="12"/>
        <w:spacing w:line="360" w:lineRule="auto"/>
        <w:ind w:firstLine="420" w:firstLineChars="200"/>
        <w:rPr>
          <w:rFonts w:hAnsi="宋体"/>
          <w:sz w:val="21"/>
          <w:highlight w:val="none"/>
        </w:rPr>
      </w:pPr>
      <w:r>
        <w:rPr>
          <w:rFonts w:hAnsi="宋体"/>
          <w:sz w:val="21"/>
          <w:highlight w:val="none"/>
        </w:rPr>
        <w:t>投标方提供</w:t>
      </w:r>
      <w:r>
        <w:rPr>
          <w:rFonts w:hint="eastAsia" w:hAnsi="宋体"/>
          <w:sz w:val="21"/>
          <w:highlight w:val="none"/>
        </w:rPr>
        <w:t>设备</w:t>
      </w:r>
      <w:r>
        <w:rPr>
          <w:rFonts w:hAnsi="宋体"/>
          <w:sz w:val="21"/>
          <w:highlight w:val="none"/>
        </w:rPr>
        <w:t>的具体规格、数量见表2.2</w:t>
      </w:r>
      <w:r>
        <w:rPr>
          <w:rFonts w:hint="eastAsia" w:hAnsi="宋体"/>
          <w:sz w:val="21"/>
          <w:highlight w:val="none"/>
        </w:rPr>
        <w:t>《</w:t>
      </w:r>
      <w:r>
        <w:rPr>
          <w:rFonts w:hAnsi="宋体"/>
          <w:sz w:val="21"/>
          <w:highlight w:val="none"/>
        </w:rPr>
        <w:t>供货范围及设备技术规格一览表</w:t>
      </w:r>
      <w:r>
        <w:rPr>
          <w:rFonts w:hint="eastAsia" w:hAnsi="宋体"/>
          <w:sz w:val="21"/>
          <w:highlight w:val="none"/>
        </w:rPr>
        <w:t>》</w:t>
      </w:r>
      <w:r>
        <w:rPr>
          <w:rFonts w:hAnsi="宋体"/>
          <w:sz w:val="21"/>
          <w:highlight w:val="none"/>
        </w:rPr>
        <w:t>。投标方应如实填写“投标方保证”栏。</w:t>
      </w:r>
    </w:p>
    <w:p>
      <w:pPr>
        <w:jc w:val="center"/>
        <w:rPr>
          <w:rFonts w:hint="eastAsia"/>
          <w:b/>
        </w:rPr>
      </w:pPr>
      <w:r>
        <w:rPr>
          <w:rFonts w:hint="eastAsia"/>
          <w:b/>
        </w:rPr>
        <w:t>供货范围及设备技术规格一览表</w:t>
      </w:r>
    </w:p>
    <w:tbl>
      <w:tblPr>
        <w:tblStyle w:val="20"/>
        <w:tblW w:w="9667" w:type="dxa"/>
        <w:tblInd w:w="-45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600"/>
        <w:gridCol w:w="684"/>
        <w:gridCol w:w="6366"/>
        <w:gridCol w:w="106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6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参考图片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7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电磁灶</w:t>
            </w:r>
            <w:r>
              <w:rPr>
                <w:rFonts w:hint="eastAsia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大锅灶</w:t>
            </w:r>
            <w:r>
              <w:rPr>
                <w:rFonts w:hint="eastAsia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6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裸机尺寸:1</w:t>
            </w:r>
            <w:r>
              <w:rPr>
                <w:rFonts w:hint="eastAsia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00*1100*(高度800+背板400)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2、功率/电压:20KW/380V 锅的直径:80CM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3、材质:304不锈钢，厚度</w:t>
            </w:r>
            <w:r>
              <w:rPr>
                <w:rFonts w:hint="eastAsia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使用磁感8档360度旋转火力调节开关，档位对应精确功率调节；                      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采用气候和动力学机芯，全铝密封机芯外壳，专利铜桥模块化结构，底部分层负压散热设计，避免油污、运行平稳；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一级能效设计，配置防火、耐高温、防漏电线盘，无盲区，均匀加热；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机身采用IPX6防水设计，背面使用变频防水风机；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采用烟雾耐腐蚀明火仿真屏具有：屏显锅具加热弧度模拟功能、屏显瞬间火力大小模拟同步功能、屏显电量累计功能，全屏显示，厨师轻松掌控火力大小；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采用固定式电路线槽，配置专用高低压自适应电源，防水防油，避免电路起火；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智能保护：缺相、过载、超压、无锅、短路等功能，全屏中文显示；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535940" cy="518160"/>
                  <wp:effectExtent l="0" t="0" r="16510" b="15240"/>
                  <wp:docPr id="2" name="图片 9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9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940" cy="51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7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单眼电磁灶</w:t>
            </w:r>
            <w:r>
              <w:rPr>
                <w:rFonts w:hint="eastAsia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单炒炉</w:t>
            </w:r>
            <w:r>
              <w:rPr>
                <w:rFonts w:hint="eastAsia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6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1、裸机尺寸:10</w:t>
            </w:r>
            <w:r>
              <w:rPr>
                <w:rFonts w:hint="eastAsia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0*1100*(高度800+背板400);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2、功率/电压:15KW/380V; 具直径:40CM  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3、使用304#不锈钢材质，使用</w:t>
            </w:r>
            <w:r>
              <w:rPr>
                <w:rFonts w:hint="eastAsia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mm油膜不锈钢板材，炉面一体成型；焊接处采用满焊工艺；使用磁感8档360度旋转火力调节开关，档位对应精确功率调节；                      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4、采用气候和动力学机芯，全铝密封机芯外壳，专利铜桥模块化结构，底部分层负压散热设计，避免油污、运行平稳；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5、一级能效设计，配置防火、耐高温、防漏电线盘，无盲区，均匀加热；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6、机身采用IPX6防水设计，背面使用变频防水风机；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554355" cy="605790"/>
                  <wp:effectExtent l="0" t="0" r="17145" b="3810"/>
                  <wp:docPr id="3" name="图片 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35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9" w:hRule="atLeast"/>
        </w:trPr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四眼煲仔电磁炉</w:t>
            </w:r>
            <w:r>
              <w:rPr>
                <w:rFonts w:hint="eastAsia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四头煲仔炉</w:t>
            </w:r>
            <w:r>
              <w:rPr>
                <w:rFonts w:hint="eastAsia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）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6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1、裸机尺寸:700*800*(高度800+背板150);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2、功率/电压:15KW/380V;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3、材质:304不锈钢，厚度</w:t>
            </w:r>
            <w:r>
              <w:rPr>
                <w:rFonts w:hint="eastAsia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4、彩色LED显示屏，中文显示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668020" cy="628650"/>
                  <wp:effectExtent l="0" t="0" r="17780" b="0"/>
                  <wp:docPr id="4" name="图片 6" descr="IMG_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6" descr="IMG_260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02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34"/>
        <w:numPr>
          <w:ilvl w:val="2"/>
          <w:numId w:val="0"/>
        </w:numPr>
      </w:pPr>
    </w:p>
    <w:p>
      <w:pPr>
        <w:spacing w:line="360" w:lineRule="auto"/>
        <w:ind w:firstLine="420"/>
        <w:rPr>
          <w:rFonts w:hint="eastAsia" w:hAnsi="宋体" w:cs="Times New Roman"/>
          <w:szCs w:val="21"/>
          <w:highlight w:val="none"/>
          <w:lang w:val="en-US" w:eastAsia="zh-CN"/>
        </w:rPr>
      </w:pPr>
      <w:r>
        <w:rPr>
          <w:rFonts w:hint="eastAsia" w:hAnsi="宋体" w:cs="Times New Roman"/>
          <w:szCs w:val="21"/>
          <w:highlight w:val="none"/>
          <w:lang w:val="en-US" w:eastAsia="zh-CN"/>
        </w:rPr>
        <w:t>2.2  技术服务范围</w:t>
      </w:r>
    </w:p>
    <w:p>
      <w:pPr>
        <w:spacing w:line="360" w:lineRule="auto"/>
        <w:ind w:firstLine="420"/>
        <w:rPr>
          <w:rFonts w:hint="eastAsia" w:hAnsi="宋体" w:cs="Times New Roman"/>
          <w:szCs w:val="21"/>
          <w:highlight w:val="none"/>
          <w:lang w:val="en-US" w:eastAsia="zh-CN"/>
        </w:rPr>
      </w:pPr>
      <w:r>
        <w:rPr>
          <w:rFonts w:hint="eastAsia" w:hAnsi="宋体" w:cs="Times New Roman"/>
          <w:szCs w:val="21"/>
          <w:highlight w:val="none"/>
          <w:lang w:val="en-US" w:eastAsia="zh-CN"/>
        </w:rPr>
        <w:t>2.2.1投标方负责设备现场安装和调试。</w:t>
      </w:r>
    </w:p>
    <w:p>
      <w:pPr>
        <w:spacing w:line="360" w:lineRule="auto"/>
        <w:ind w:firstLine="420"/>
        <w:rPr>
          <w:rFonts w:hint="eastAsia" w:hAnsi="宋体" w:cs="Times New Roman"/>
          <w:szCs w:val="21"/>
          <w:highlight w:val="none"/>
          <w:lang w:val="en-US" w:eastAsia="zh-CN"/>
        </w:rPr>
      </w:pPr>
      <w:r>
        <w:rPr>
          <w:rFonts w:hint="eastAsia" w:hAnsi="宋体" w:cs="Times New Roman"/>
          <w:szCs w:val="21"/>
          <w:highlight w:val="none"/>
          <w:lang w:val="en-US" w:eastAsia="zh-CN"/>
        </w:rPr>
        <w:t>2.2.2投标方应按要求提供设备相关的必须的组件、附件、材料，并完成设备安装调试、培训。投标方所提供的组件或附件如需向第三方外购时，投标方应对质量向招标方负责，并提供相应出厂和验收证明。</w:t>
      </w:r>
    </w:p>
    <w:p>
      <w:pPr>
        <w:rPr>
          <w:rFonts w:hint="eastAsia"/>
        </w:rPr>
      </w:pPr>
    </w:p>
    <w:p>
      <w:pPr>
        <w:pStyle w:val="3"/>
        <w:bidi w:val="0"/>
        <w:rPr>
          <w:rFonts w:hint="eastAsia"/>
        </w:rPr>
      </w:pPr>
      <w:bookmarkStart w:id="6" w:name="_Toc32082"/>
      <w:r>
        <w:rPr>
          <w:rFonts w:hint="eastAsia"/>
        </w:rPr>
        <w:t>双方责任</w:t>
      </w:r>
      <w:bookmarkEnd w:id="6"/>
    </w:p>
    <w:p>
      <w:pPr>
        <w:ind w:left="0" w:leftChars="0" w:firstLine="0" w:firstLineChars="0"/>
        <w:rPr>
          <w:rFonts w:hint="eastAsia" w:eastAsia="宋体"/>
          <w:b/>
          <w:bCs/>
          <w:lang w:eastAsia="zh-CN"/>
        </w:rPr>
      </w:pPr>
      <w:r>
        <w:rPr>
          <w:rFonts w:hint="eastAsia"/>
          <w:b/>
          <w:bCs/>
          <w:lang w:val="en-US" w:eastAsia="zh-CN"/>
        </w:rPr>
        <w:t>3.1</w:t>
      </w:r>
      <w:r>
        <w:rPr>
          <w:rFonts w:hint="eastAsia"/>
          <w:b/>
          <w:bCs/>
        </w:rPr>
        <w:t>投标方职责</w:t>
      </w:r>
      <w:r>
        <w:rPr>
          <w:rFonts w:hint="eastAsia"/>
          <w:b/>
          <w:bCs/>
          <w:lang w:eastAsia="zh-CN"/>
        </w:rPr>
        <w:t>：</w:t>
      </w:r>
    </w:p>
    <w:p>
      <w:pPr>
        <w:ind w:firstLine="480" w:firstLineChars="200"/>
        <w:rPr>
          <w:rFonts w:hint="eastAsia"/>
        </w:rPr>
      </w:pPr>
      <w:r>
        <w:rPr>
          <w:rFonts w:hint="eastAsia"/>
        </w:rPr>
        <w:t>在招标方的配合下，投标方全面负责合作配合工作，并作好下述工作：</w:t>
      </w:r>
    </w:p>
    <w:p>
      <w:pPr>
        <w:spacing w:line="360" w:lineRule="auto"/>
        <w:ind w:firstLine="420"/>
        <w:rPr>
          <w:rFonts w:hint="eastAsia" w:hAnsi="宋体" w:cs="Times New Roman"/>
          <w:szCs w:val="21"/>
          <w:highlight w:val="none"/>
          <w:lang w:val="en-US" w:eastAsia="zh-CN"/>
        </w:rPr>
      </w:pPr>
      <w:r>
        <w:rPr>
          <w:rFonts w:hint="eastAsia" w:hAnsi="宋体" w:cs="Times New Roman"/>
          <w:szCs w:val="21"/>
          <w:highlight w:val="none"/>
          <w:lang w:val="en-US" w:eastAsia="zh-CN"/>
        </w:rPr>
        <w:t>3.1.1负责合同内所需设备的测试，并根据招标方需求在现场细化。</w:t>
      </w:r>
    </w:p>
    <w:p>
      <w:pPr>
        <w:spacing w:line="360" w:lineRule="auto"/>
        <w:ind w:firstLine="420"/>
        <w:rPr>
          <w:rFonts w:hint="eastAsia" w:hAnsi="宋体" w:cs="Times New Roman"/>
          <w:szCs w:val="21"/>
          <w:highlight w:val="none"/>
          <w:lang w:val="en-US" w:eastAsia="zh-CN"/>
        </w:rPr>
      </w:pPr>
      <w:r>
        <w:rPr>
          <w:rFonts w:hint="eastAsia" w:hAnsi="宋体" w:cs="Times New Roman"/>
          <w:szCs w:val="21"/>
          <w:highlight w:val="none"/>
          <w:lang w:val="en-US" w:eastAsia="zh-CN"/>
        </w:rPr>
        <w:t>3.1.2合同期内为招标方提供项目维护服务。</w:t>
      </w:r>
    </w:p>
    <w:p>
      <w:pPr>
        <w:spacing w:line="360" w:lineRule="auto"/>
        <w:ind w:firstLine="420"/>
        <w:rPr>
          <w:rFonts w:hint="eastAsia" w:hAnsi="宋体" w:cs="Times New Roman"/>
          <w:szCs w:val="21"/>
          <w:highlight w:val="none"/>
          <w:lang w:val="en-US" w:eastAsia="zh-CN"/>
        </w:rPr>
      </w:pPr>
      <w:r>
        <w:rPr>
          <w:rFonts w:hint="eastAsia" w:hAnsi="宋体" w:cs="Times New Roman"/>
          <w:szCs w:val="21"/>
          <w:highlight w:val="none"/>
          <w:lang w:val="en-US" w:eastAsia="zh-CN"/>
        </w:rPr>
        <w:t>3.1.3对招标方参与合作项目的技术人员进行培训，并提供有关文件资料和技术数据。</w:t>
      </w:r>
    </w:p>
    <w:p>
      <w:pPr>
        <w:spacing w:line="360" w:lineRule="auto"/>
        <w:ind w:firstLine="420"/>
        <w:rPr>
          <w:rFonts w:hint="eastAsia" w:hAnsi="宋体" w:cs="Times New Roman"/>
          <w:szCs w:val="21"/>
          <w:highlight w:val="none"/>
          <w:lang w:val="en-US" w:eastAsia="zh-CN"/>
        </w:rPr>
      </w:pPr>
      <w:r>
        <w:rPr>
          <w:rFonts w:hint="eastAsia" w:hAnsi="宋体" w:cs="Times New Roman"/>
          <w:szCs w:val="21"/>
          <w:highlight w:val="none"/>
          <w:lang w:val="en-US" w:eastAsia="zh-CN"/>
        </w:rPr>
        <w:t>3.1.4指导招标方人员参与设备的安装调试，并给予充分的帮助和支持。</w:t>
      </w:r>
    </w:p>
    <w:p>
      <w:pPr>
        <w:spacing w:line="360" w:lineRule="auto"/>
        <w:ind w:firstLine="420"/>
        <w:rPr>
          <w:rFonts w:hint="eastAsia" w:hAnsi="宋体" w:cs="Times New Roman"/>
          <w:szCs w:val="21"/>
          <w:highlight w:val="none"/>
          <w:lang w:val="en-US" w:eastAsia="zh-CN"/>
        </w:rPr>
      </w:pPr>
      <w:r>
        <w:rPr>
          <w:rFonts w:hint="eastAsia" w:hAnsi="宋体" w:cs="Times New Roman"/>
          <w:szCs w:val="21"/>
          <w:highlight w:val="none"/>
          <w:lang w:val="en-US" w:eastAsia="zh-CN"/>
        </w:rPr>
        <w:t>3.1.5提供安装、调试过程中所需要的硬件环境及工具。提供的设备、资料，投标方应列出详细清单。</w:t>
      </w:r>
    </w:p>
    <w:p>
      <w:pPr>
        <w:spacing w:line="360" w:lineRule="auto"/>
        <w:ind w:firstLine="420"/>
        <w:rPr>
          <w:rFonts w:hint="eastAsia" w:hAnsi="宋体" w:cs="Times New Roman"/>
          <w:szCs w:val="21"/>
          <w:highlight w:val="none"/>
          <w:lang w:val="en-US" w:eastAsia="zh-CN"/>
        </w:rPr>
      </w:pPr>
      <w:r>
        <w:rPr>
          <w:rFonts w:hint="eastAsia" w:hAnsi="宋体" w:cs="Times New Roman"/>
          <w:szCs w:val="21"/>
          <w:highlight w:val="none"/>
          <w:lang w:val="en-US" w:eastAsia="zh-CN"/>
        </w:rPr>
        <w:t>3.1.6负责提供的所有文件资料，图纸和用户手册等。</w:t>
      </w:r>
    </w:p>
    <w:p>
      <w:pPr>
        <w:spacing w:line="360" w:lineRule="auto"/>
        <w:ind w:firstLine="420"/>
        <w:rPr>
          <w:rFonts w:hint="eastAsia" w:hAnsi="宋体" w:cs="Times New Roman"/>
          <w:szCs w:val="21"/>
          <w:highlight w:val="none"/>
          <w:lang w:val="en-US" w:eastAsia="zh-CN"/>
        </w:rPr>
      </w:pPr>
      <w:r>
        <w:rPr>
          <w:rFonts w:hint="eastAsia" w:hAnsi="宋体" w:cs="Times New Roman"/>
          <w:szCs w:val="21"/>
          <w:highlight w:val="none"/>
          <w:lang w:val="en-US" w:eastAsia="zh-CN"/>
        </w:rPr>
        <w:t>3.1.7投标方应对最终提供的全部技术资料的准确性负责。</w:t>
      </w:r>
    </w:p>
    <w:p>
      <w:pPr>
        <w:spacing w:line="360" w:lineRule="auto"/>
        <w:ind w:firstLine="420"/>
        <w:rPr>
          <w:rFonts w:hint="eastAsia" w:hAnsi="宋体" w:cs="Times New Roman"/>
          <w:szCs w:val="21"/>
          <w:highlight w:val="none"/>
          <w:lang w:val="en-US" w:eastAsia="zh-CN"/>
        </w:rPr>
      </w:pPr>
      <w:r>
        <w:rPr>
          <w:rFonts w:hint="eastAsia" w:hAnsi="宋体" w:cs="Times New Roman"/>
          <w:szCs w:val="21"/>
          <w:highlight w:val="none"/>
          <w:lang w:val="en-US" w:eastAsia="zh-CN"/>
        </w:rPr>
        <w:t>3.1.8投标方应保证提供的所有设备的质量、性能及技术指标完全满足合同要求。</w:t>
      </w:r>
    </w:p>
    <w:p>
      <w:pPr>
        <w:ind w:left="0" w:leftChars="0" w:firstLine="0" w:firstLineChars="0"/>
        <w:rPr>
          <w:rFonts w:hint="eastAsia" w:eastAsia="宋体"/>
          <w:b/>
          <w:bCs/>
          <w:lang w:eastAsia="zh-CN"/>
        </w:rPr>
      </w:pPr>
      <w:bookmarkStart w:id="7" w:name="_Toc245894378"/>
      <w:r>
        <w:rPr>
          <w:rFonts w:hint="eastAsia"/>
          <w:b/>
          <w:bCs/>
          <w:lang w:val="en-US" w:eastAsia="zh-CN"/>
        </w:rPr>
        <w:t>3.2招</w:t>
      </w:r>
      <w:r>
        <w:rPr>
          <w:rFonts w:hint="eastAsia"/>
          <w:b/>
          <w:bCs/>
        </w:rPr>
        <w:t>标方职责</w:t>
      </w:r>
      <w:r>
        <w:rPr>
          <w:rFonts w:hint="eastAsia"/>
          <w:b/>
          <w:bCs/>
          <w:lang w:eastAsia="zh-CN"/>
        </w:rPr>
        <w:t>：</w:t>
      </w:r>
    </w:p>
    <w:p>
      <w:pPr>
        <w:ind w:firstLine="480" w:firstLineChars="200"/>
        <w:rPr>
          <w:rFonts w:hint="eastAsia"/>
        </w:rPr>
      </w:pPr>
      <w:r>
        <w:rPr>
          <w:rFonts w:hint="eastAsia"/>
        </w:rPr>
        <w:t>招标方派人参与合作开发，并做好下述工作：</w:t>
      </w:r>
    </w:p>
    <w:p>
      <w:pPr>
        <w:numPr>
          <w:ilvl w:val="0"/>
          <w:numId w:val="0"/>
        </w:numPr>
        <w:tabs>
          <w:tab w:val="left" w:pos="900"/>
        </w:tabs>
        <w:ind w:leftChars="200"/>
      </w:pPr>
      <w:r>
        <w:rPr>
          <w:rFonts w:hint="eastAsia"/>
          <w:lang w:val="en-US" w:eastAsia="zh-CN"/>
        </w:rPr>
        <w:t>3.2.1</w:t>
      </w:r>
      <w:r>
        <w:rPr>
          <w:rFonts w:hint="eastAsia"/>
        </w:rPr>
        <w:t>派出符合专业要求的工程技术人员进行具体的现场合作协调工作。</w:t>
      </w:r>
    </w:p>
    <w:p>
      <w:pPr>
        <w:numPr>
          <w:ilvl w:val="0"/>
          <w:numId w:val="0"/>
        </w:numPr>
        <w:tabs>
          <w:tab w:val="left" w:pos="900"/>
        </w:tabs>
        <w:ind w:leftChars="200"/>
        <w:rPr>
          <w:rFonts w:hint="eastAsia"/>
        </w:rPr>
      </w:pPr>
      <w:r>
        <w:rPr>
          <w:rFonts w:hint="eastAsia"/>
          <w:lang w:val="en-US" w:eastAsia="zh-CN"/>
        </w:rPr>
        <w:t>3.2.2</w:t>
      </w:r>
      <w:r>
        <w:rPr>
          <w:rFonts w:hint="eastAsia"/>
        </w:rPr>
        <w:t>参与</w:t>
      </w:r>
      <w:r>
        <w:rPr>
          <w:rFonts w:hint="eastAsia"/>
          <w:lang w:eastAsia="zh-CN"/>
        </w:rPr>
        <w:t>设备</w:t>
      </w:r>
      <w:r>
        <w:rPr>
          <w:rFonts w:hint="eastAsia"/>
        </w:rPr>
        <w:t>在现场进行测试、集成。</w:t>
      </w:r>
    </w:p>
    <w:p>
      <w:pPr>
        <w:pStyle w:val="4"/>
        <w:numPr>
          <w:ilvl w:val="1"/>
          <w:numId w:val="0"/>
        </w:numPr>
        <w:ind w:leftChars="0"/>
        <w:rPr>
          <w:rFonts w:hint="eastAsia"/>
          <w:lang w:val="en-US" w:eastAsia="zh-CN"/>
        </w:rPr>
      </w:pPr>
    </w:p>
    <w:p>
      <w:pPr>
        <w:pStyle w:val="3"/>
        <w:bidi w:val="0"/>
        <w:rPr>
          <w:rFonts w:hint="eastAsia"/>
          <w:lang w:val="en-US" w:eastAsia="zh-CN"/>
        </w:rPr>
      </w:pPr>
      <w:bookmarkStart w:id="8" w:name="_Toc32385"/>
      <w:r>
        <w:rPr>
          <w:rFonts w:hint="eastAsia"/>
          <w:lang w:val="en-US" w:eastAsia="zh-CN"/>
        </w:rPr>
        <w:t>设备售后服务要求</w:t>
      </w:r>
      <w:bookmarkEnd w:id="7"/>
      <w:bookmarkEnd w:id="8"/>
    </w:p>
    <w:p>
      <w:pPr>
        <w:spacing w:line="360" w:lineRule="auto"/>
        <w:ind w:firstLine="420"/>
        <w:rPr>
          <w:rFonts w:hint="eastAsia" w:hAnsi="宋体" w:cs="Times New Roman"/>
          <w:szCs w:val="21"/>
          <w:highlight w:val="none"/>
          <w:lang w:val="en-US" w:eastAsia="zh-CN"/>
        </w:rPr>
      </w:pPr>
      <w:r>
        <w:rPr>
          <w:rFonts w:hint="eastAsia" w:hAnsi="宋体" w:cs="Times New Roman"/>
          <w:szCs w:val="21"/>
          <w:highlight w:val="none"/>
          <w:lang w:val="en-US" w:eastAsia="zh-CN"/>
        </w:rPr>
        <w:t>4.1质保期内，免费更换或维修设备。</w:t>
      </w:r>
    </w:p>
    <w:p>
      <w:pPr>
        <w:spacing w:line="360" w:lineRule="auto"/>
        <w:ind w:firstLine="420"/>
        <w:rPr>
          <w:rFonts w:hint="eastAsia" w:hAnsi="宋体" w:cs="Times New Roman"/>
          <w:szCs w:val="21"/>
          <w:highlight w:val="none"/>
          <w:lang w:val="en-US" w:eastAsia="zh-CN"/>
        </w:rPr>
      </w:pPr>
      <w:r>
        <w:rPr>
          <w:rFonts w:hint="eastAsia" w:hAnsi="宋体" w:cs="Times New Roman"/>
          <w:szCs w:val="21"/>
          <w:highlight w:val="none"/>
          <w:lang w:val="en-US" w:eastAsia="zh-CN"/>
        </w:rPr>
        <w:t>4.2在设备生命周期内，保证供应各种部件。</w:t>
      </w:r>
    </w:p>
    <w:p>
      <w:pPr>
        <w:spacing w:line="360" w:lineRule="auto"/>
        <w:ind w:firstLine="420"/>
        <w:rPr>
          <w:rFonts w:hint="eastAsia" w:hAnsi="宋体" w:cs="Times New Roman"/>
          <w:szCs w:val="21"/>
          <w:highlight w:val="none"/>
          <w:lang w:val="en-US" w:eastAsia="zh-CN"/>
        </w:rPr>
      </w:pPr>
      <w:r>
        <w:rPr>
          <w:rFonts w:hint="eastAsia" w:hAnsi="宋体" w:cs="Times New Roman"/>
          <w:szCs w:val="21"/>
          <w:highlight w:val="none"/>
          <w:lang w:val="en-US" w:eastAsia="zh-CN"/>
        </w:rPr>
        <w:t>5.3投标方负责设备安装和调试服务，并提出技术建议。</w:t>
      </w:r>
    </w:p>
    <w:p>
      <w:pPr>
        <w:spacing w:line="360" w:lineRule="auto"/>
        <w:ind w:firstLine="420"/>
        <w:rPr>
          <w:rFonts w:hint="eastAsia" w:hAnsi="宋体" w:cs="Times New Roman"/>
          <w:szCs w:val="21"/>
          <w:highlight w:val="none"/>
          <w:lang w:val="en-US" w:eastAsia="zh-CN"/>
        </w:rPr>
      </w:pPr>
      <w:r>
        <w:rPr>
          <w:rFonts w:hint="eastAsia" w:hAnsi="宋体" w:cs="Times New Roman"/>
          <w:szCs w:val="21"/>
          <w:highlight w:val="none"/>
          <w:lang w:val="en-US" w:eastAsia="zh-CN"/>
        </w:rPr>
        <w:t>5.4投标方负责对招标方技术人员进行现场培训，费用由投标方负责。</w:t>
      </w:r>
    </w:p>
    <w:p>
      <w:pPr>
        <w:pStyle w:val="4"/>
        <w:numPr>
          <w:ilvl w:val="1"/>
          <w:numId w:val="0"/>
        </w:numPr>
        <w:ind w:leftChars="0"/>
        <w:rPr>
          <w:rFonts w:hint="eastAsia"/>
          <w:lang w:val="en-US" w:eastAsia="zh-CN"/>
        </w:rPr>
      </w:pPr>
      <w:bookmarkStart w:id="9" w:name="_Toc123547900"/>
      <w:bookmarkStart w:id="10" w:name="_Toc245894379"/>
    </w:p>
    <w:p>
      <w:pPr>
        <w:pStyle w:val="3"/>
        <w:bidi w:val="0"/>
        <w:rPr>
          <w:rFonts w:hint="eastAsia"/>
          <w:lang w:val="en-US" w:eastAsia="zh-CN"/>
        </w:rPr>
      </w:pPr>
      <w:bookmarkStart w:id="11" w:name="_Toc30846"/>
      <w:r>
        <w:rPr>
          <w:rFonts w:hint="eastAsia"/>
          <w:lang w:val="en-US" w:eastAsia="zh-CN"/>
        </w:rPr>
        <w:t>包装、运输、贮存</w:t>
      </w:r>
      <w:bookmarkEnd w:id="9"/>
      <w:bookmarkEnd w:id="10"/>
      <w:bookmarkEnd w:id="11"/>
    </w:p>
    <w:p>
      <w:pPr>
        <w:pStyle w:val="36"/>
        <w:ind w:firstLine="360" w:firstLineChars="150"/>
        <w:rPr>
          <w:rFonts w:hint="eastAsia" w:ascii="仿宋_GB2312"/>
          <w:sz w:val="24"/>
        </w:rPr>
      </w:pPr>
      <w:r>
        <w:rPr>
          <w:rFonts w:hint="eastAsia" w:ascii="仿宋_GB2312"/>
          <w:sz w:val="24"/>
          <w:lang w:val="en-US" w:eastAsia="zh-CN"/>
        </w:rPr>
        <w:t>5</w:t>
      </w:r>
      <w:r>
        <w:rPr>
          <w:rFonts w:hint="eastAsia" w:ascii="仿宋_GB2312"/>
          <w:sz w:val="24"/>
        </w:rPr>
        <w:t>.1设备制造完成并通过试验后应及时包装，应得到切实的保护，确保其不受污损。</w:t>
      </w:r>
    </w:p>
    <w:p>
      <w:pPr>
        <w:pStyle w:val="36"/>
        <w:ind w:firstLine="360" w:firstLineChars="150"/>
        <w:rPr>
          <w:rFonts w:hint="eastAsia" w:ascii="仿宋_GB2312"/>
          <w:sz w:val="24"/>
        </w:rPr>
      </w:pPr>
      <w:r>
        <w:rPr>
          <w:rFonts w:hint="eastAsia" w:ascii="仿宋_GB2312"/>
          <w:sz w:val="24"/>
          <w:lang w:val="en-US" w:eastAsia="zh-CN"/>
        </w:rPr>
        <w:t>5</w:t>
      </w:r>
      <w:r>
        <w:rPr>
          <w:rFonts w:hint="eastAsia" w:ascii="仿宋_GB2312"/>
          <w:sz w:val="24"/>
        </w:rPr>
        <w:t>.2所有部件经妥善包装或装箱后，在运输过程中尚应采取其它防护措施，以免散失、损坏或被盗。</w:t>
      </w:r>
    </w:p>
    <w:p>
      <w:pPr>
        <w:pStyle w:val="36"/>
        <w:ind w:firstLine="360" w:firstLineChars="150"/>
        <w:rPr>
          <w:rFonts w:hint="eastAsia" w:ascii="仿宋_GB2312"/>
          <w:sz w:val="24"/>
        </w:rPr>
      </w:pPr>
      <w:r>
        <w:rPr>
          <w:rFonts w:hint="eastAsia" w:ascii="仿宋_GB2312"/>
          <w:sz w:val="24"/>
          <w:lang w:val="en-US" w:eastAsia="zh-CN"/>
        </w:rPr>
        <w:t>5</w:t>
      </w:r>
      <w:r>
        <w:rPr>
          <w:rFonts w:hint="eastAsia" w:ascii="仿宋_GB2312"/>
          <w:sz w:val="24"/>
        </w:rPr>
        <w:t>.3各种包装应能确保各零部件在运输过程中不致遭到损坏、丢失、变形、受潮和腐蚀。</w:t>
      </w:r>
    </w:p>
    <w:p>
      <w:pPr>
        <w:pStyle w:val="36"/>
        <w:ind w:firstLine="360" w:firstLineChars="150"/>
        <w:rPr>
          <w:rFonts w:hint="eastAsia" w:ascii="仿宋_GB2312"/>
          <w:sz w:val="24"/>
        </w:rPr>
      </w:pPr>
      <w:r>
        <w:rPr>
          <w:rFonts w:hint="eastAsia" w:ascii="仿宋_GB2312"/>
          <w:sz w:val="24"/>
          <w:lang w:val="en-US" w:eastAsia="zh-CN"/>
        </w:rPr>
        <w:t>5</w:t>
      </w:r>
      <w:r>
        <w:rPr>
          <w:rFonts w:hint="eastAsia" w:ascii="仿宋_GB2312"/>
          <w:sz w:val="24"/>
        </w:rPr>
        <w:t>.4产品或分别运输的部件都要适合运输和装载的要求。</w:t>
      </w:r>
    </w:p>
    <w:p>
      <w:pPr>
        <w:pStyle w:val="36"/>
        <w:ind w:firstLine="360" w:firstLineChars="150"/>
        <w:rPr>
          <w:rFonts w:hint="eastAsia" w:ascii="仿宋_GB2312"/>
          <w:sz w:val="24"/>
        </w:rPr>
      </w:pPr>
      <w:r>
        <w:rPr>
          <w:rFonts w:hint="eastAsia" w:ascii="仿宋_GB2312"/>
          <w:sz w:val="24"/>
          <w:lang w:val="en-US" w:eastAsia="zh-CN"/>
        </w:rPr>
        <w:t>5</w:t>
      </w:r>
      <w:r>
        <w:rPr>
          <w:rFonts w:hint="eastAsia" w:ascii="仿宋_GB2312"/>
          <w:sz w:val="24"/>
        </w:rPr>
        <w:t>.5随产品提供的技术资料应完整无缺，并为中文版本。</w:t>
      </w:r>
    </w:p>
    <w:p>
      <w:pPr>
        <w:pStyle w:val="36"/>
        <w:ind w:firstLine="360" w:firstLineChars="150"/>
        <w:rPr>
          <w:rFonts w:hint="eastAsia" w:ascii="仿宋_GB2312"/>
          <w:sz w:val="24"/>
        </w:rPr>
      </w:pPr>
      <w:r>
        <w:rPr>
          <w:rFonts w:hint="eastAsia" w:ascii="仿宋_GB2312"/>
          <w:sz w:val="24"/>
        </w:rPr>
        <w:t>①装箱资料应包括：设备清单，出厂合格证，检验报告。</w:t>
      </w:r>
    </w:p>
    <w:p>
      <w:pPr>
        <w:pStyle w:val="36"/>
        <w:ind w:firstLine="360" w:firstLineChars="150"/>
        <w:rPr>
          <w:rFonts w:hint="eastAsia" w:ascii="仿宋_GB2312"/>
          <w:sz w:val="24"/>
        </w:rPr>
      </w:pPr>
      <w:r>
        <w:rPr>
          <w:rFonts w:hint="eastAsia" w:ascii="仿宋_GB2312"/>
          <w:sz w:val="24"/>
        </w:rPr>
        <w:t>②使用说明书、技术说明书以及配套产品资料等各3份，另提供电子版全套资料1份。</w:t>
      </w:r>
    </w:p>
    <w:p>
      <w:pPr>
        <w:rPr>
          <w:rFonts w:hint="eastAsia"/>
        </w:rPr>
      </w:pPr>
    </w:p>
    <w:p>
      <w:pPr>
        <w:pStyle w:val="3"/>
        <w:bidi w:val="0"/>
        <w:rPr>
          <w:rFonts w:hint="eastAsia"/>
          <w:lang w:val="en-US" w:eastAsia="zh-CN"/>
        </w:rPr>
      </w:pPr>
      <w:bookmarkStart w:id="12" w:name="_Toc6808"/>
      <w:r>
        <w:rPr>
          <w:rFonts w:hint="eastAsia"/>
          <w:lang w:val="en-US" w:eastAsia="zh-CN"/>
        </w:rPr>
        <w:t>备品备件及专用工具</w:t>
      </w:r>
      <w:bookmarkEnd w:id="12"/>
    </w:p>
    <w:p>
      <w:pPr>
        <w:pStyle w:val="36"/>
        <w:ind w:firstLine="360" w:firstLineChars="150"/>
        <w:rPr>
          <w:rFonts w:hint="eastAsia" w:ascii="仿宋_GB2312"/>
          <w:sz w:val="24"/>
          <w:lang w:val="en-US" w:eastAsia="zh-CN"/>
        </w:rPr>
      </w:pPr>
      <w:r>
        <w:rPr>
          <w:rFonts w:hint="eastAsia" w:ascii="仿宋_GB2312"/>
          <w:sz w:val="24"/>
          <w:lang w:val="en-US" w:eastAsia="zh-CN"/>
        </w:rPr>
        <w:t>6.1备品备件</w:t>
      </w:r>
    </w:p>
    <w:p>
      <w:pPr>
        <w:ind w:firstLine="480" w:firstLineChars="200"/>
        <w:rPr>
          <w:rFonts w:hint="eastAsia"/>
        </w:rPr>
      </w:pPr>
      <w:r>
        <w:rPr>
          <w:rFonts w:hint="eastAsia"/>
        </w:rPr>
        <w:t>投标方应根据自身设备的情况，向招标方提供必要的备品备件。备品备件应是全新的，与设备同型号、同工艺。备品备件清单见下表（由投标方填写）。</w:t>
      </w:r>
    </w:p>
    <w:tbl>
      <w:tblPr>
        <w:tblStyle w:val="2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7"/>
        <w:gridCol w:w="2455"/>
        <w:gridCol w:w="3577"/>
        <w:gridCol w:w="1012"/>
        <w:gridCol w:w="9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2455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备品备件名称</w:t>
            </w:r>
          </w:p>
        </w:tc>
        <w:tc>
          <w:tcPr>
            <w:tcW w:w="357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型号规范</w:t>
            </w:r>
          </w:p>
        </w:tc>
        <w:tc>
          <w:tcPr>
            <w:tcW w:w="1012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单位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l</w:t>
            </w:r>
          </w:p>
        </w:tc>
        <w:tc>
          <w:tcPr>
            <w:tcW w:w="2455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577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012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917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2455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577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012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917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2455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577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012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917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</w:tbl>
    <w:p>
      <w:pPr>
        <w:pStyle w:val="36"/>
        <w:ind w:firstLine="360" w:firstLineChars="150"/>
        <w:rPr>
          <w:rFonts w:hint="eastAsia" w:ascii="仿宋_GB2312"/>
          <w:sz w:val="24"/>
          <w:lang w:val="en-US" w:eastAsia="zh-CN"/>
        </w:rPr>
      </w:pPr>
      <w:r>
        <w:rPr>
          <w:rFonts w:hint="eastAsia" w:ascii="仿宋_GB2312"/>
          <w:sz w:val="24"/>
          <w:lang w:val="en-US" w:eastAsia="zh-CN"/>
        </w:rPr>
        <w:t>6.2专用工具</w:t>
      </w:r>
    </w:p>
    <w:p>
      <w:pPr>
        <w:ind w:firstLine="480" w:firstLineChars="200"/>
        <w:rPr>
          <w:rFonts w:hint="eastAsia"/>
        </w:rPr>
      </w:pPr>
      <w:bookmarkStart w:id="29" w:name="_GoBack"/>
      <w:bookmarkEnd w:id="29"/>
      <w:r>
        <w:rPr>
          <w:rFonts w:hint="eastAsia"/>
        </w:rPr>
        <w:t>投标方应提供安装、运行、检修所需的专用工具，包括专用调试、测试仪表等设备，供招标方选择。投标方应提供的专用工具清单见表2（由投标方填写）。</w:t>
      </w:r>
    </w:p>
    <w:tbl>
      <w:tblPr>
        <w:tblStyle w:val="2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7"/>
        <w:gridCol w:w="2455"/>
        <w:gridCol w:w="3577"/>
        <w:gridCol w:w="1012"/>
        <w:gridCol w:w="9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2455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专用工具名称</w:t>
            </w:r>
          </w:p>
        </w:tc>
        <w:tc>
          <w:tcPr>
            <w:tcW w:w="357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型号规范</w:t>
            </w:r>
          </w:p>
        </w:tc>
        <w:tc>
          <w:tcPr>
            <w:tcW w:w="1012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单位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l</w:t>
            </w:r>
          </w:p>
        </w:tc>
        <w:tc>
          <w:tcPr>
            <w:tcW w:w="2455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577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012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917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2455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577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012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917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2455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3577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012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917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</w:tbl>
    <w:p>
      <w:pPr>
        <w:ind w:firstLine="480" w:firstLineChars="200"/>
        <w:rPr>
          <w:rFonts w:hint="eastAsia" w:ascii="仿宋_GB2312" w:eastAsia="仿宋_GB2312"/>
        </w:rPr>
      </w:pPr>
    </w:p>
    <w:p>
      <w:pPr>
        <w:pStyle w:val="3"/>
        <w:bidi w:val="0"/>
        <w:rPr>
          <w:rFonts w:hint="eastAsia"/>
          <w:lang w:val="en-US" w:eastAsia="zh-CN"/>
        </w:rPr>
      </w:pPr>
      <w:bookmarkStart w:id="13" w:name="_Toc167003829"/>
      <w:bookmarkStart w:id="14" w:name="_Toc93490801"/>
      <w:bookmarkStart w:id="15" w:name="_Toc93490580"/>
      <w:bookmarkStart w:id="16" w:name="_Toc137397828"/>
      <w:bookmarkStart w:id="17" w:name="_Toc93490630"/>
      <w:bookmarkStart w:id="18" w:name="_Toc10760"/>
      <w:r>
        <w:rPr>
          <w:rFonts w:hint="eastAsia"/>
          <w:lang w:val="en-US" w:eastAsia="zh-CN"/>
        </w:rPr>
        <w:t>附件</w:t>
      </w:r>
      <w:bookmarkEnd w:id="13"/>
      <w:bookmarkEnd w:id="14"/>
      <w:bookmarkEnd w:id="15"/>
      <w:bookmarkEnd w:id="16"/>
      <w:bookmarkEnd w:id="17"/>
      <w:bookmarkEnd w:id="18"/>
    </w:p>
    <w:p>
      <w:pPr>
        <w:pStyle w:val="4"/>
        <w:numPr>
          <w:ilvl w:val="1"/>
          <w:numId w:val="0"/>
        </w:numPr>
        <w:rPr>
          <w:rFonts w:hint="eastAsia"/>
        </w:rPr>
      </w:pPr>
      <w:bookmarkStart w:id="19" w:name="_Toc93490583"/>
      <w:bookmarkStart w:id="20" w:name="_Toc93490804"/>
      <w:bookmarkStart w:id="21" w:name="_Toc93490633"/>
      <w:bookmarkStart w:id="22" w:name="_Toc137397831"/>
      <w:bookmarkStart w:id="23" w:name="_Toc167003832"/>
      <w:r>
        <w:rPr>
          <w:rFonts w:hint="eastAsia"/>
        </w:rPr>
        <w:t>附件1、</w:t>
      </w:r>
      <w:r>
        <w:t>差异表</w:t>
      </w:r>
      <w:bookmarkEnd w:id="19"/>
      <w:bookmarkEnd w:id="20"/>
      <w:bookmarkEnd w:id="21"/>
      <w:bookmarkEnd w:id="22"/>
      <w:bookmarkEnd w:id="23"/>
    </w:p>
    <w:p>
      <w:pPr>
        <w:jc w:val="center"/>
        <w:rPr>
          <w:rFonts w:hint="eastAsia" w:ascii="黑体" w:hAnsi="黑体" w:eastAsia="黑体"/>
          <w:sz w:val="44"/>
        </w:rPr>
      </w:pPr>
      <w:r>
        <w:rPr>
          <w:rFonts w:hint="eastAsia" w:ascii="黑体" w:hAnsi="黑体" w:eastAsia="黑体"/>
          <w:sz w:val="44"/>
        </w:rPr>
        <w:t>差 异 表</w:t>
      </w:r>
    </w:p>
    <w:tbl>
      <w:tblPr>
        <w:tblStyle w:val="20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1"/>
        <w:gridCol w:w="2970"/>
        <w:gridCol w:w="2970"/>
        <w:gridCol w:w="1281"/>
        <w:gridCol w:w="1334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891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r>
              <w:rPr>
                <w:rFonts w:hint="eastAsia"/>
              </w:rPr>
              <w:t>序号</w:t>
            </w:r>
          </w:p>
        </w:tc>
        <w:tc>
          <w:tcPr>
            <w:tcW w:w="2970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r>
              <w:rPr>
                <w:rFonts w:hint="eastAsia"/>
              </w:rPr>
              <w:t>招标书指标要求</w:t>
            </w:r>
          </w:p>
        </w:tc>
        <w:tc>
          <w:tcPr>
            <w:tcW w:w="2970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投标方配置的指标</w:t>
            </w:r>
          </w:p>
        </w:tc>
        <w:tc>
          <w:tcPr>
            <w:tcW w:w="1281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差异情况</w:t>
            </w:r>
          </w:p>
        </w:tc>
        <w:tc>
          <w:tcPr>
            <w:tcW w:w="1334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备注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891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970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/>
        </w:tc>
        <w:tc>
          <w:tcPr>
            <w:tcW w:w="2970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81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334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891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970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/>
        </w:tc>
        <w:tc>
          <w:tcPr>
            <w:tcW w:w="2970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81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334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891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970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/>
        </w:tc>
        <w:tc>
          <w:tcPr>
            <w:tcW w:w="2970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81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334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891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970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970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81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334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891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970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/>
        </w:tc>
        <w:tc>
          <w:tcPr>
            <w:tcW w:w="2970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81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334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891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970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/>
        </w:tc>
        <w:tc>
          <w:tcPr>
            <w:tcW w:w="2970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81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334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891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970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/>
        </w:tc>
        <w:tc>
          <w:tcPr>
            <w:tcW w:w="2970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81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334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891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970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/>
        </w:tc>
        <w:tc>
          <w:tcPr>
            <w:tcW w:w="2970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81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334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891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970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/>
        </w:tc>
        <w:tc>
          <w:tcPr>
            <w:tcW w:w="2970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81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334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891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/>
        </w:tc>
        <w:tc>
          <w:tcPr>
            <w:tcW w:w="2970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/>
        </w:tc>
        <w:tc>
          <w:tcPr>
            <w:tcW w:w="2970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81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334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891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970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970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81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334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891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970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970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81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334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891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970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970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81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334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891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970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970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81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334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891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970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970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81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334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891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970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970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81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334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891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970" w:type="dxa"/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970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81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334" w:type="dxa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</w:tbl>
    <w:p>
      <w:pPr>
        <w:rPr>
          <w:rFonts w:hint="eastAsia"/>
        </w:rPr>
      </w:pPr>
    </w:p>
    <w:p>
      <w:pPr>
        <w:pStyle w:val="5"/>
        <w:rPr>
          <w:rFonts w:hint="eastAsia"/>
        </w:rPr>
      </w:pPr>
      <w:bookmarkStart w:id="24" w:name="_Toc93490584"/>
      <w:bookmarkStart w:id="25" w:name="_Toc137397832"/>
      <w:bookmarkStart w:id="26" w:name="_Toc167003833"/>
      <w:bookmarkStart w:id="27" w:name="_Toc93490805"/>
      <w:bookmarkStart w:id="28" w:name="_Toc93490634"/>
      <w:r>
        <w:rPr>
          <w:rFonts w:hint="eastAsia"/>
        </w:rPr>
        <w:t>附件2、</w:t>
      </w:r>
      <w:r>
        <w:t>投标方需要说明的其他问题</w:t>
      </w:r>
      <w:bookmarkEnd w:id="24"/>
      <w:bookmarkEnd w:id="25"/>
      <w:bookmarkEnd w:id="26"/>
      <w:bookmarkEnd w:id="27"/>
      <w:bookmarkEnd w:id="28"/>
    </w:p>
    <w:p>
      <w:pPr>
        <w:rPr>
          <w:rFonts w:hint="eastAsia"/>
        </w:rPr>
      </w:pPr>
    </w:p>
    <w:sectPr>
      <w:headerReference r:id="rId8" w:type="default"/>
      <w:footerReference r:id="rId9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fldChar w:fldCharType="end"/>
    </w:r>
  </w:p>
  <w:p>
    <w:pPr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14</w:t>
    </w:r>
    <w:r>
      <w:fldChar w:fldCharType="end"/>
    </w:r>
  </w:p>
  <w:p>
    <w:pPr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jc w:val="right"/>
    </w:pPr>
    <w:r>
      <w:object>
        <v:shape id="_x0000_i1025" o:spt="75" type="#_x0000_t75" style="height:27.95pt;width:135.85pt;" o:ole="t" filled="f" o:preferrelative="t" stroked="f" coordsize="21600,21600">
          <v:path/>
          <v:fill on="f" focussize="0,0"/>
          <v:stroke on="f"/>
          <v:imagedata r:id="rId2" o:title=""/>
          <o:lock v:ext="edit" aspectratio="t"/>
          <w10:wrap type="none"/>
          <w10:anchorlock/>
        </v:shape>
        <o:OLEObject Type="Embed" ProgID="Paint.Picture" ShapeID="_x0000_i1025" DrawAspect="Content" ObjectID="_1468075725" r:id="rId1">
          <o:LockedField>false</o:LockedField>
        </o:OLEObject>
      </w:obje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</w:pPr>
    <w:r>
      <w:object>
        <v:shape id="_x0000_i1026" o:spt="75" type="#_x0000_t75" style="height:27.95pt;width:135.85pt;" o:ole="t" filled="f" o:preferrelative="t" stroked="f" coordsize="21600,21600">
          <v:path/>
          <v:fill on="f" focussize="0,0"/>
          <v:stroke on="f"/>
          <v:imagedata r:id="rId2" o:title=""/>
          <o:lock v:ext="edit" aspectratio="t"/>
          <w10:wrap type="none"/>
          <w10:anchorlock/>
        </v:shape>
        <o:OLEObject Type="Embed" ProgID="Paint.Picture" ShapeID="_x0000_i1026" DrawAspect="Content" ObjectID="_1468075726" r:id="rId1">
          <o:LockedField>false</o:LockedField>
        </o:OLEObject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997B7A7"/>
    <w:multiLevelType w:val="singleLevel"/>
    <w:tmpl w:val="B997B7A7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000000A"/>
    <w:multiLevelType w:val="multilevel"/>
    <w:tmpl w:val="0000000A"/>
    <w:lvl w:ilvl="0" w:tentative="0">
      <w:start w:val="1"/>
      <w:numFmt w:val="decimal"/>
      <w:pStyle w:val="3"/>
      <w:suff w:val="space"/>
      <w:lvlText w:val="%1.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pStyle w:val="4"/>
      <w:isLgl/>
      <w:suff w:val="space"/>
      <w:lvlText w:val="%1.%2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34"/>
      <w:isLgl/>
      <w:suff w:val="space"/>
      <w:lvlText w:val="%1.%2.%3"/>
      <w:lvlJc w:val="left"/>
      <w:pPr>
        <w:ind w:left="0" w:firstLine="0"/>
      </w:pPr>
      <w:rPr>
        <w:rFonts w:hint="eastAsia"/>
        <w:b/>
        <w:i w:val="0"/>
      </w:rPr>
    </w:lvl>
    <w:lvl w:ilvl="3" w:tentative="0">
      <w:start w:val="1"/>
      <w:numFmt w:val="decimal"/>
      <w:pStyle w:val="29"/>
      <w:isLgl/>
      <w:suff w:val="space"/>
      <w:lvlText w:val="%1.%2.%3.%4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608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723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837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9522"/>
        </w:tabs>
        <w:ind w:left="5102" w:hanging="170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3NGI1M2JhYWQ2ZGZhNjNlY2Y5MjQ0NzQ2MDBiNjkifQ=="/>
  </w:docVars>
  <w:rsids>
    <w:rsidRoot w:val="00172A27"/>
    <w:rsid w:val="00036076"/>
    <w:rsid w:val="00090F76"/>
    <w:rsid w:val="000E3654"/>
    <w:rsid w:val="001209BB"/>
    <w:rsid w:val="001A5F0F"/>
    <w:rsid w:val="002F5EBC"/>
    <w:rsid w:val="003715A9"/>
    <w:rsid w:val="003B5C5E"/>
    <w:rsid w:val="003D404D"/>
    <w:rsid w:val="004C4969"/>
    <w:rsid w:val="004C5842"/>
    <w:rsid w:val="005D69EB"/>
    <w:rsid w:val="006763DF"/>
    <w:rsid w:val="00725F32"/>
    <w:rsid w:val="00771F4D"/>
    <w:rsid w:val="00A8502F"/>
    <w:rsid w:val="00C01850"/>
    <w:rsid w:val="00C96851"/>
    <w:rsid w:val="00D46634"/>
    <w:rsid w:val="00F843CF"/>
    <w:rsid w:val="00FF44B3"/>
    <w:rsid w:val="046C15F5"/>
    <w:rsid w:val="065C7889"/>
    <w:rsid w:val="09F30E3C"/>
    <w:rsid w:val="0F1572CB"/>
    <w:rsid w:val="154843B8"/>
    <w:rsid w:val="190B0D75"/>
    <w:rsid w:val="1EE25DC0"/>
    <w:rsid w:val="227D0735"/>
    <w:rsid w:val="23765286"/>
    <w:rsid w:val="26C9198E"/>
    <w:rsid w:val="28BD5857"/>
    <w:rsid w:val="29AD7280"/>
    <w:rsid w:val="2FD04745"/>
    <w:rsid w:val="302D7946"/>
    <w:rsid w:val="305772D2"/>
    <w:rsid w:val="31A32894"/>
    <w:rsid w:val="38753D68"/>
    <w:rsid w:val="3937460B"/>
    <w:rsid w:val="3E301A13"/>
    <w:rsid w:val="40B747FF"/>
    <w:rsid w:val="4568603F"/>
    <w:rsid w:val="45BE0FCC"/>
    <w:rsid w:val="4BC74D80"/>
    <w:rsid w:val="4D065107"/>
    <w:rsid w:val="4E9A2C1A"/>
    <w:rsid w:val="4F433543"/>
    <w:rsid w:val="4FC14F03"/>
    <w:rsid w:val="51B74061"/>
    <w:rsid w:val="51E33C53"/>
    <w:rsid w:val="642C139F"/>
    <w:rsid w:val="672C7CD4"/>
    <w:rsid w:val="67E67E83"/>
    <w:rsid w:val="684E0543"/>
    <w:rsid w:val="688C3361"/>
    <w:rsid w:val="6E7B7B42"/>
    <w:rsid w:val="71607248"/>
    <w:rsid w:val="71F22E7D"/>
    <w:rsid w:val="728A7088"/>
    <w:rsid w:val="73AD4308"/>
    <w:rsid w:val="76856AB9"/>
    <w:rsid w:val="786E401F"/>
    <w:rsid w:val="78D05741"/>
    <w:rsid w:val="7C7C540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nhideWhenUsed="0" w:uiPriority="0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宋体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outlineLvl w:val="0"/>
    </w:pPr>
    <w:rPr>
      <w:rFonts w:ascii="宋体"/>
      <w:b/>
      <w:bCs/>
      <w:kern w:val="44"/>
      <w:szCs w:val="44"/>
    </w:rPr>
  </w:style>
  <w:style w:type="paragraph" w:styleId="4">
    <w:name w:val="heading 2"/>
    <w:basedOn w:val="1"/>
    <w:next w:val="1"/>
    <w:link w:val="24"/>
    <w:qFormat/>
    <w:uiPriority w:val="0"/>
    <w:pPr>
      <w:keepNext/>
      <w:keepLines/>
      <w:numPr>
        <w:ilvl w:val="1"/>
        <w:numId w:val="1"/>
      </w:numPr>
      <w:outlineLvl w:val="1"/>
    </w:pPr>
    <w:rPr>
      <w:rFonts w:hAnsi="Arial"/>
      <w:b/>
      <w:bCs/>
      <w:szCs w:val="32"/>
    </w:rPr>
  </w:style>
  <w:style w:type="paragraph" w:styleId="5">
    <w:name w:val="heading 3"/>
    <w:basedOn w:val="1"/>
    <w:next w:val="1"/>
    <w:qFormat/>
    <w:uiPriority w:val="0"/>
    <w:pPr>
      <w:keepNext/>
      <w:keepLines/>
      <w:outlineLvl w:val="2"/>
    </w:pPr>
    <w:rPr>
      <w:rFonts w:ascii="宋体"/>
      <w:b/>
      <w:bCs/>
      <w:szCs w:val="28"/>
    </w:rPr>
  </w:style>
  <w:style w:type="paragraph" w:styleId="6">
    <w:name w:val="heading 4"/>
    <w:basedOn w:val="1"/>
    <w:next w:val="1"/>
    <w:qFormat/>
    <w:uiPriority w:val="0"/>
    <w:pPr>
      <w:keepNext/>
      <w:keepLines/>
      <w:outlineLvl w:val="3"/>
    </w:pPr>
    <w:rPr>
      <w:rFonts w:ascii="宋体" w:hAnsi="Arial"/>
      <w:b/>
      <w:bCs/>
      <w:szCs w:val="28"/>
    </w:rPr>
  </w:style>
  <w:style w:type="paragraph" w:styleId="7">
    <w:name w:val="heading 5"/>
    <w:basedOn w:val="1"/>
    <w:next w:val="1"/>
    <w:qFormat/>
    <w:uiPriority w:val="0"/>
    <w:pPr>
      <w:keepNext/>
      <w:keepLines/>
      <w:spacing w:line="240" w:lineRule="auto"/>
      <w:outlineLvl w:val="4"/>
    </w:pPr>
    <w:rPr>
      <w:rFonts w:ascii="宋体"/>
      <w:b/>
      <w:bCs/>
      <w:sz w:val="24"/>
    </w:rPr>
  </w:style>
  <w:style w:type="paragraph" w:styleId="8">
    <w:name w:val="heading 6"/>
    <w:basedOn w:val="1"/>
    <w:next w:val="1"/>
    <w:qFormat/>
    <w:uiPriority w:val="0"/>
    <w:pPr>
      <w:keepNext/>
      <w:keepLines/>
      <w:spacing w:line="240" w:lineRule="auto"/>
      <w:outlineLvl w:val="5"/>
    </w:pPr>
    <w:rPr>
      <w:rFonts w:ascii="宋体" w:hAnsi="Arial"/>
      <w:b/>
      <w:bCs/>
      <w:sz w:val="24"/>
    </w:rPr>
  </w:style>
  <w:style w:type="character" w:default="1" w:styleId="21">
    <w:name w:val="Default Paragraph Font"/>
    <w:qFormat/>
    <w:uiPriority w:val="0"/>
  </w:style>
  <w:style w:type="table" w:default="1" w:styleId="20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paragraph" w:styleId="9">
    <w:name w:val="Document Map"/>
    <w:basedOn w:val="1"/>
    <w:qFormat/>
    <w:uiPriority w:val="0"/>
    <w:pPr>
      <w:shd w:val="clear" w:color="auto" w:fill="000080"/>
    </w:pPr>
  </w:style>
  <w:style w:type="paragraph" w:styleId="10">
    <w:name w:val="Body Text"/>
    <w:basedOn w:val="11"/>
    <w:next w:val="11"/>
    <w:qFormat/>
    <w:uiPriority w:val="0"/>
    <w:rPr>
      <w:rFonts w:ascii="Times New Roman" w:hAnsi="Times New Roman" w:eastAsia="宋体" w:cs="Times New Roman"/>
      <w:sz w:val="26"/>
      <w:szCs w:val="20"/>
    </w:rPr>
  </w:style>
  <w:style w:type="paragraph" w:styleId="11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paragraph" w:styleId="12">
    <w:name w:val="Plain Text"/>
    <w:basedOn w:val="1"/>
    <w:qFormat/>
    <w:uiPriority w:val="0"/>
    <w:rPr>
      <w:rFonts w:ascii="宋体" w:hAnsi="Courier New"/>
      <w:kern w:val="0"/>
      <w:sz w:val="20"/>
      <w:szCs w:val="21"/>
    </w:rPr>
  </w:style>
  <w:style w:type="paragraph" w:styleId="13">
    <w:name w:val="Date"/>
    <w:basedOn w:val="1"/>
    <w:next w:val="1"/>
    <w:qFormat/>
    <w:uiPriority w:val="0"/>
    <w:pPr>
      <w:ind w:left="100" w:leftChars="2500"/>
    </w:pPr>
    <w:rPr>
      <w:rFonts w:ascii="Times New Roman" w:eastAsia="楷体_GB2312"/>
      <w:b/>
      <w:sz w:val="28"/>
      <w:szCs w:val="20"/>
    </w:rPr>
  </w:style>
  <w:style w:type="paragraph" w:styleId="14">
    <w:name w:val="Balloon Text"/>
    <w:basedOn w:val="1"/>
    <w:link w:val="25"/>
    <w:qFormat/>
    <w:uiPriority w:val="0"/>
    <w:pPr>
      <w:spacing w:line="240" w:lineRule="auto"/>
    </w:pPr>
    <w:rPr>
      <w:sz w:val="18"/>
      <w:szCs w:val="18"/>
    </w:rPr>
  </w:style>
  <w:style w:type="paragraph" w:styleId="15">
    <w:name w:val="footer"/>
    <w:basedOn w:val="1"/>
    <w:link w:val="26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16">
    <w:name w:val="header"/>
    <w:basedOn w:val="1"/>
    <w:link w:val="2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7">
    <w:name w:val="toc 1"/>
    <w:basedOn w:val="1"/>
    <w:next w:val="1"/>
    <w:qFormat/>
    <w:uiPriority w:val="0"/>
  </w:style>
  <w:style w:type="paragraph" w:styleId="18">
    <w:name w:val="Body Text Indent 3"/>
    <w:basedOn w:val="1"/>
    <w:qFormat/>
    <w:uiPriority w:val="0"/>
    <w:pPr>
      <w:spacing w:after="120" w:afterLines="0" w:line="240" w:lineRule="auto"/>
      <w:ind w:left="420" w:leftChars="200"/>
    </w:pPr>
    <w:rPr>
      <w:rFonts w:ascii="Times New Roman"/>
      <w:sz w:val="16"/>
      <w:szCs w:val="16"/>
    </w:rPr>
  </w:style>
  <w:style w:type="paragraph" w:styleId="19">
    <w:name w:val="toc 2"/>
    <w:basedOn w:val="1"/>
    <w:next w:val="1"/>
    <w:qFormat/>
    <w:uiPriority w:val="0"/>
    <w:pPr>
      <w:ind w:left="420" w:leftChars="200"/>
    </w:pPr>
  </w:style>
  <w:style w:type="character" w:styleId="22">
    <w:name w:val="Emphasis"/>
    <w:qFormat/>
    <w:uiPriority w:val="20"/>
    <w:rPr>
      <w:i/>
      <w:iCs/>
    </w:rPr>
  </w:style>
  <w:style w:type="character" w:styleId="23">
    <w:name w:val="Hyperlink"/>
    <w:qFormat/>
    <w:uiPriority w:val="0"/>
    <w:rPr>
      <w:color w:val="0000FF"/>
      <w:u w:val="single"/>
    </w:rPr>
  </w:style>
  <w:style w:type="character" w:customStyle="1" w:styleId="24">
    <w:name w:val="标题 2 Char"/>
    <w:link w:val="4"/>
    <w:qFormat/>
    <w:uiPriority w:val="0"/>
    <w:rPr>
      <w:rFonts w:ascii="宋体" w:hAnsi="Arial" w:eastAsia="宋体"/>
      <w:b/>
      <w:bCs/>
      <w:kern w:val="2"/>
      <w:sz w:val="24"/>
      <w:szCs w:val="32"/>
      <w:lang w:val="en-US" w:eastAsia="zh-CN" w:bidi="ar-SA"/>
    </w:rPr>
  </w:style>
  <w:style w:type="character" w:customStyle="1" w:styleId="25">
    <w:name w:val="批注框文本 Char"/>
    <w:link w:val="14"/>
    <w:qFormat/>
    <w:uiPriority w:val="0"/>
    <w:rPr>
      <w:rFonts w:ascii="宋体"/>
      <w:kern w:val="2"/>
      <w:sz w:val="18"/>
      <w:szCs w:val="18"/>
    </w:rPr>
  </w:style>
  <w:style w:type="character" w:customStyle="1" w:styleId="26">
    <w:name w:val="页脚 Char"/>
    <w:link w:val="15"/>
    <w:qFormat/>
    <w:uiPriority w:val="0"/>
    <w:rPr>
      <w:rFonts w:ascii="宋体"/>
      <w:kern w:val="2"/>
      <w:sz w:val="18"/>
      <w:szCs w:val="18"/>
    </w:rPr>
  </w:style>
  <w:style w:type="character" w:customStyle="1" w:styleId="27">
    <w:name w:val="页眉 Char"/>
    <w:link w:val="16"/>
    <w:qFormat/>
    <w:uiPriority w:val="0"/>
    <w:rPr>
      <w:rFonts w:ascii="宋体"/>
      <w:kern w:val="2"/>
      <w:sz w:val="18"/>
      <w:szCs w:val="18"/>
    </w:rPr>
  </w:style>
  <w:style w:type="character" w:customStyle="1" w:styleId="28">
    <w:name w:val="样式2 Char"/>
    <w:link w:val="29"/>
    <w:qFormat/>
    <w:uiPriority w:val="0"/>
    <w:rPr>
      <w:rFonts w:ascii="宋体"/>
      <w:kern w:val="2"/>
      <w:sz w:val="24"/>
      <w:szCs w:val="24"/>
    </w:rPr>
  </w:style>
  <w:style w:type="paragraph" w:customStyle="1" w:styleId="29">
    <w:name w:val="样式2"/>
    <w:basedOn w:val="1"/>
    <w:link w:val="28"/>
    <w:qFormat/>
    <w:uiPriority w:val="0"/>
    <w:pPr>
      <w:numPr>
        <w:ilvl w:val="3"/>
        <w:numId w:val="1"/>
      </w:numPr>
    </w:pPr>
  </w:style>
  <w:style w:type="character" w:customStyle="1" w:styleId="30">
    <w:name w:val="apple-converted-space"/>
    <w:qFormat/>
    <w:uiPriority w:val="0"/>
  </w:style>
  <w:style w:type="character" w:customStyle="1" w:styleId="31">
    <w:name w:val="param-name"/>
    <w:qFormat/>
    <w:uiPriority w:val="0"/>
  </w:style>
  <w:style w:type="paragraph" w:customStyle="1" w:styleId="32">
    <w:name w:val="Char Char Char Char1"/>
    <w:basedOn w:val="1"/>
    <w:next w:val="1"/>
    <w:qFormat/>
    <w:uiPriority w:val="0"/>
    <w:pPr>
      <w:ind w:firstLine="473" w:firstLineChars="225"/>
    </w:pPr>
    <w:rPr>
      <w:rFonts w:hAnsi="宋体"/>
      <w:szCs w:val="21"/>
    </w:rPr>
  </w:style>
  <w:style w:type="paragraph" w:styleId="33">
    <w:name w:val="List Paragraph"/>
    <w:basedOn w:val="1"/>
    <w:qFormat/>
    <w:uiPriority w:val="0"/>
    <w:pPr>
      <w:ind w:firstLine="420" w:firstLineChars="200"/>
    </w:pPr>
  </w:style>
  <w:style w:type="paragraph" w:customStyle="1" w:styleId="34">
    <w:name w:val="样式1"/>
    <w:basedOn w:val="1"/>
    <w:qFormat/>
    <w:uiPriority w:val="0"/>
    <w:pPr>
      <w:numPr>
        <w:ilvl w:val="2"/>
        <w:numId w:val="1"/>
      </w:numPr>
    </w:pPr>
  </w:style>
  <w:style w:type="paragraph" w:customStyle="1" w:styleId="35">
    <w:name w:val="tabletext"/>
    <w:basedOn w:val="1"/>
    <w:qFormat/>
    <w:uiPriority w:val="0"/>
    <w:pPr>
      <w:widowControl/>
      <w:spacing w:before="100" w:beforeLines="0" w:beforeAutospacing="1" w:after="100" w:afterLines="0" w:afterAutospacing="1" w:line="240" w:lineRule="auto"/>
      <w:jc w:val="left"/>
    </w:pPr>
    <w:rPr>
      <w:rFonts w:hAnsi="宋体" w:cs="宋体"/>
      <w:kern w:val="0"/>
    </w:rPr>
  </w:style>
  <w:style w:type="paragraph" w:customStyle="1" w:styleId="36">
    <w:name w:val="Char"/>
    <w:basedOn w:val="1"/>
    <w:qFormat/>
    <w:uiPriority w:val="0"/>
    <w:rPr>
      <w:rFonts w:ascii="Times New Roman" w:hAnsi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header" Target="header2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image" Target="media/image5.png"/><Relationship Id="rId13" Type="http://schemas.openxmlformats.org/officeDocument/2006/relationships/image" Target="media/image4.png"/><Relationship Id="rId12" Type="http://schemas.openxmlformats.org/officeDocument/2006/relationships/image" Target="media/image3.png"/><Relationship Id="rId11" Type="http://schemas.openxmlformats.org/officeDocument/2006/relationships/image" Target="media/image2.jpe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oleObject" Target="embeddings/oleObject1.bin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6722</Words>
  <Characters>7051</Characters>
  <Lines>243</Lines>
  <Paragraphs>242</Paragraphs>
  <TotalTime>2</TotalTime>
  <ScaleCrop>false</ScaleCrop>
  <LinksUpToDate>false</LinksUpToDate>
  <CharactersWithSpaces>7280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2017-09-11T09:27:00Z</dcterms:created>
  <dc:creator>ZP</dc:creator>
  <cp:lastModifiedBy>李颖</cp:lastModifiedBy>
  <cp:lastPrinted>2025-08-14T09:06:06Z</cp:lastPrinted>
  <dcterms:modified xsi:type="dcterms:W3CDTF">2025-08-14T09:08:14Z</dcterms:modified>
  <dc:title>第一章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2DC60F4A895F43C29EC75C3AEC6E826E</vt:lpwstr>
  </property>
  <property fmtid="{D5CDD505-2E9C-101B-9397-08002B2CF9AE}" pid="4" name="KSOTemplateDocerSaveRecord">
    <vt:lpwstr>eyJoZGlkIjoiMjQxMDMxOTA5MjQyYmIxMzI2ZjFhMTNiNzkwZDE5ZjkiLCJ1c2VySWQiOiI0NTI4MDYyMzMifQ==</vt:lpwstr>
  </property>
</Properties>
</file>