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bookmarkStart w:id="0" w:name="_Toc21625"/>
    </w:p>
    <w:p>
      <w:r>
        <w:rPr>
          <w:rFonts w:hint="eastAsia" w:eastAsia="宋体"/>
        </w:rPr>
        <w:drawing>
          <wp:anchor distT="0" distB="0" distL="114300" distR="114300" simplePos="0" relativeHeight="251659264" behindDoc="0" locked="0" layoutInCell="1" allowOverlap="1">
            <wp:simplePos x="0" y="0"/>
            <wp:positionH relativeFrom="column">
              <wp:posOffset>-1365250</wp:posOffset>
            </wp:positionH>
            <wp:positionV relativeFrom="paragraph">
              <wp:posOffset>-1384300</wp:posOffset>
            </wp:positionV>
            <wp:extent cx="8292465" cy="2724785"/>
            <wp:effectExtent l="0" t="0" r="13335" b="3175"/>
            <wp:wrapNone/>
            <wp:docPr id="12" name="图片 1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模板-3"/>
                    <pic:cNvPicPr>
                      <a:picLocks noChangeAspect="1" noChangeArrowheads="1"/>
                    </pic:cNvPicPr>
                  </pic:nvPicPr>
                  <pic:blipFill>
                    <a:blip r:embed="rId4" cstate="print"/>
                    <a:srcRect b="75984"/>
                    <a:stretch>
                      <a:fillRect/>
                    </a:stretch>
                  </pic:blipFill>
                  <pic:spPr>
                    <a:xfrm>
                      <a:off x="0" y="0"/>
                      <a:ext cx="8292465" cy="2724785"/>
                    </a:xfrm>
                    <a:prstGeom prst="rect">
                      <a:avLst/>
                    </a:prstGeom>
                    <a:noFill/>
                    <a:ln w="9525">
                      <a:noFill/>
                      <a:miter lim="800000"/>
                      <a:headEnd/>
                      <a:tailEnd/>
                    </a:ln>
                  </pic:spPr>
                </pic:pic>
              </a:graphicData>
            </a:graphic>
          </wp:anchor>
        </w:drawing>
      </w: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rPr>
          <w:rFonts w:ascii="Times New Roman" w:hAnsi="Times New Roman" w:cs="Times New Roman"/>
          <w:sz w:val="28"/>
          <w:szCs w:val="28"/>
        </w:rPr>
      </w:pPr>
    </w:p>
    <w:p>
      <w:pPr>
        <w:pStyle w:val="3"/>
        <w:jc w:val="both"/>
        <w:outlineLvl w:val="9"/>
      </w:pPr>
    </w:p>
    <w:p>
      <w:pPr>
        <w:pStyle w:val="9"/>
        <w:spacing w:line="360" w:lineRule="auto"/>
        <w:ind w:firstLine="0" w:firstLineChars="0"/>
        <w:jc w:val="center"/>
        <w:rPr>
          <w:rFonts w:hint="default" w:eastAsia="黑体" w:cs="黑体"/>
          <w:szCs w:val="22"/>
          <w:lang w:val="en-US" w:eastAsia="zh-CN"/>
        </w:rPr>
      </w:pPr>
      <w:r>
        <w:rPr>
          <w:rFonts w:hint="eastAsia" w:cs="黑体"/>
          <w:szCs w:val="22"/>
          <w:lang w:val="en-US" w:eastAsia="zh-CN"/>
        </w:rPr>
        <w:t>2025年南方电网数字电网集团信息通信科技有限公司南方鼎元大厦路由器采购项目技术规范书</w:t>
      </w: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jc w:val="center"/>
        <w:rPr>
          <w:rFonts w:ascii="Times New Roman" w:hAnsi="Times New Roman" w:cs="Times New Roman"/>
          <w:sz w:val="28"/>
          <w:szCs w:val="28"/>
        </w:rPr>
      </w:pPr>
    </w:p>
    <w:p>
      <w:pPr>
        <w:ind w:firstLine="0" w:firstLineChars="0"/>
        <w:jc w:val="center"/>
        <w:rPr>
          <w:rFonts w:hint="eastAsia" w:cs="宋体"/>
          <w:b/>
          <w:sz w:val="32"/>
          <w:szCs w:val="32"/>
          <w:lang w:val="en-US" w:eastAsia="zh-CN"/>
        </w:rPr>
      </w:pPr>
      <w:r>
        <w:rPr>
          <w:rFonts w:hint="eastAsia" w:cs="宋体"/>
          <w:b/>
          <w:sz w:val="32"/>
          <w:szCs w:val="32"/>
          <w:lang w:val="en-US" w:eastAsia="zh-CN"/>
        </w:rPr>
        <w:t>南方电网数字电网集团信息通信科技有限公司</w:t>
      </w:r>
    </w:p>
    <w:p>
      <w:pPr>
        <w:ind w:firstLine="0" w:firstLineChars="0"/>
        <w:jc w:val="center"/>
        <w:rPr>
          <w:rFonts w:hint="default" w:ascii="宋体" w:hAnsi="宋体" w:eastAsia="宋体" w:cs="宋体"/>
          <w:b/>
          <w:sz w:val="32"/>
          <w:szCs w:val="32"/>
          <w:lang w:val="en-US" w:eastAsia="zh-CN"/>
        </w:rPr>
      </w:pPr>
      <w:r>
        <w:rPr>
          <w:rFonts w:hint="eastAsia" w:ascii="宋体" w:hAnsi="宋体" w:eastAsia="宋体" w:cs="宋体"/>
          <w:b/>
          <w:sz w:val="32"/>
          <w:szCs w:val="32"/>
        </w:rPr>
        <w:t>202</w:t>
      </w:r>
      <w:r>
        <w:rPr>
          <w:rFonts w:hint="eastAsia" w:ascii="宋体" w:hAnsi="宋体" w:eastAsia="宋体" w:cs="宋体"/>
          <w:b/>
          <w:sz w:val="32"/>
          <w:szCs w:val="32"/>
          <w:lang w:val="en-US" w:eastAsia="zh-CN"/>
        </w:rPr>
        <w:t>5</w:t>
      </w:r>
      <w:r>
        <w:rPr>
          <w:rFonts w:hint="eastAsia" w:ascii="宋体" w:hAnsi="宋体" w:eastAsia="宋体" w:cs="宋体"/>
          <w:b/>
          <w:sz w:val="32"/>
          <w:szCs w:val="32"/>
        </w:rPr>
        <w:t>年</w:t>
      </w:r>
      <w:r>
        <w:rPr>
          <w:rFonts w:hint="eastAsia" w:cs="宋体"/>
          <w:b/>
          <w:sz w:val="32"/>
          <w:szCs w:val="32"/>
          <w:lang w:val="en-US" w:eastAsia="zh-CN"/>
        </w:rPr>
        <w:t>8</w:t>
      </w:r>
      <w:r>
        <w:rPr>
          <w:rFonts w:hint="eastAsia" w:ascii="宋体" w:hAnsi="宋体" w:eastAsia="宋体" w:cs="宋体"/>
          <w:b/>
          <w:sz w:val="32"/>
          <w:szCs w:val="32"/>
          <w:lang w:val="en-US" w:eastAsia="zh-CN"/>
        </w:rPr>
        <w:t>月</w:t>
      </w:r>
    </w:p>
    <w:p>
      <w:pPr>
        <w:pStyle w:val="4"/>
        <w:bidi w:val="0"/>
        <w:rPr>
          <w:rFonts w:hint="eastAsia"/>
        </w:rPr>
      </w:pPr>
      <w:r>
        <w:rPr>
          <w:rFonts w:hint="eastAsia"/>
          <w:lang w:val="en-US" w:eastAsia="zh-CN"/>
        </w:rPr>
        <w:t>1</w:t>
      </w:r>
      <w:r>
        <w:rPr>
          <w:rFonts w:hint="eastAsia"/>
        </w:rPr>
        <w:t>项目概述</w:t>
      </w:r>
      <w:bookmarkEnd w:id="0"/>
      <w:bookmarkStart w:id="1" w:name="_Toc1817498756"/>
      <w:bookmarkStart w:id="2" w:name="_Toc181279517"/>
      <w:bookmarkStart w:id="3" w:name="_Toc27046881"/>
    </w:p>
    <w:p>
      <w:pPr>
        <w:pStyle w:val="2"/>
        <w:ind w:firstLine="562"/>
        <w:rPr>
          <w:rFonts w:hint="eastAsia" w:ascii="宋体" w:hAnsi="宋体" w:eastAsia="宋体"/>
          <w:bCs/>
          <w:lang w:val="en-US" w:eastAsia="zh-CN"/>
        </w:rPr>
      </w:pPr>
      <w:r>
        <w:rPr>
          <w:rFonts w:hint="eastAsia" w:ascii="宋体" w:hAnsi="宋体" w:eastAsia="宋体"/>
          <w:bCs/>
          <w:lang w:val="en-US" w:eastAsia="zh-CN"/>
        </w:rPr>
        <w:t>概况：购置2套路由器设备，用于组建数字语音交换系统更换原来的模拟交换系统，配置软交换设备、SBS、交换机、中继网关等。</w:t>
      </w:r>
    </w:p>
    <w:p>
      <w:pPr>
        <w:pStyle w:val="2"/>
        <w:ind w:firstLine="562"/>
        <w:rPr>
          <w:rFonts w:hint="eastAsia" w:ascii="宋体" w:hAnsi="宋体" w:eastAsia="宋体"/>
          <w:bCs/>
          <w:lang w:val="en-US" w:eastAsia="zh-CN"/>
        </w:rPr>
      </w:pPr>
      <w:r>
        <w:rPr>
          <w:rFonts w:hint="eastAsia" w:ascii="宋体" w:hAnsi="宋体" w:eastAsia="宋体"/>
          <w:bCs/>
          <w:lang w:val="en-US" w:eastAsia="zh-CN"/>
        </w:rPr>
        <w:t>数量：</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132" w:type="dxa"/>
          </w:tcPr>
          <w:p>
            <w:pPr>
              <w:pStyle w:val="2"/>
              <w:ind w:firstLine="562"/>
              <w:rPr>
                <w:rFonts w:hint="eastAsia" w:ascii="宋体" w:hAnsi="宋体" w:eastAsia="宋体"/>
                <w:b/>
                <w:bCs w:val="0"/>
                <w:sz w:val="21"/>
                <w:szCs w:val="21"/>
                <w:lang w:val="en-US" w:eastAsia="zh-CN"/>
              </w:rPr>
            </w:pPr>
            <w:r>
              <w:rPr>
                <w:rFonts w:hint="eastAsia" w:ascii="宋体" w:hAnsi="宋体" w:eastAsia="宋体"/>
                <w:b/>
                <w:bCs w:val="0"/>
                <w:sz w:val="21"/>
                <w:szCs w:val="21"/>
                <w:lang w:val="en-US" w:eastAsia="zh-CN"/>
              </w:rPr>
              <w:t>序号</w:t>
            </w:r>
          </w:p>
        </w:tc>
        <w:tc>
          <w:tcPr>
            <w:tcW w:w="2132" w:type="dxa"/>
          </w:tcPr>
          <w:p>
            <w:pPr>
              <w:pStyle w:val="2"/>
              <w:ind w:firstLine="562"/>
              <w:rPr>
                <w:rFonts w:hint="eastAsia" w:ascii="宋体" w:hAnsi="宋体" w:eastAsia="宋体"/>
                <w:b/>
                <w:bCs w:val="0"/>
                <w:sz w:val="21"/>
                <w:szCs w:val="21"/>
                <w:lang w:val="en-US" w:eastAsia="zh-CN"/>
              </w:rPr>
            </w:pPr>
            <w:r>
              <w:rPr>
                <w:rFonts w:hint="eastAsia" w:ascii="宋体" w:hAnsi="宋体" w:eastAsia="宋体"/>
                <w:b/>
                <w:bCs w:val="0"/>
                <w:sz w:val="21"/>
                <w:szCs w:val="21"/>
                <w:lang w:val="en-US" w:eastAsia="zh-CN"/>
              </w:rPr>
              <w:t>类别</w:t>
            </w:r>
          </w:p>
        </w:tc>
        <w:tc>
          <w:tcPr>
            <w:tcW w:w="2132" w:type="dxa"/>
          </w:tcPr>
          <w:p>
            <w:pPr>
              <w:pStyle w:val="2"/>
              <w:ind w:firstLine="562"/>
              <w:rPr>
                <w:rFonts w:hint="eastAsia" w:ascii="宋体" w:hAnsi="宋体" w:eastAsia="宋体"/>
                <w:b/>
                <w:bCs w:val="0"/>
                <w:sz w:val="21"/>
                <w:szCs w:val="21"/>
                <w:lang w:val="en-US" w:eastAsia="zh-CN"/>
              </w:rPr>
            </w:pPr>
            <w:r>
              <w:rPr>
                <w:rFonts w:hint="eastAsia" w:ascii="宋体" w:hAnsi="宋体" w:eastAsia="宋体"/>
                <w:b/>
                <w:bCs w:val="0"/>
                <w:sz w:val="21"/>
                <w:szCs w:val="21"/>
                <w:lang w:val="en-US" w:eastAsia="zh-CN"/>
              </w:rPr>
              <w:t>数量</w:t>
            </w:r>
          </w:p>
        </w:tc>
        <w:tc>
          <w:tcPr>
            <w:tcW w:w="2132" w:type="dxa"/>
          </w:tcPr>
          <w:p>
            <w:pPr>
              <w:pStyle w:val="2"/>
              <w:ind w:firstLine="562"/>
              <w:rPr>
                <w:rFonts w:hint="eastAsia" w:ascii="宋体" w:hAnsi="宋体" w:eastAsia="宋体"/>
                <w:b/>
                <w:bCs w:val="0"/>
                <w:sz w:val="21"/>
                <w:szCs w:val="21"/>
                <w:lang w:val="en-US" w:eastAsia="zh-CN"/>
              </w:rPr>
            </w:pPr>
            <w:r>
              <w:rPr>
                <w:rFonts w:hint="eastAsia" w:ascii="宋体" w:hAnsi="宋体" w:eastAsia="宋体"/>
                <w:b/>
                <w:bCs w:val="0"/>
                <w:sz w:val="21"/>
                <w:szCs w:val="21"/>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132" w:type="dxa"/>
          </w:tcPr>
          <w:p>
            <w:pPr>
              <w:pStyle w:val="2"/>
              <w:ind w:firstLine="562"/>
              <w:rPr>
                <w:rFonts w:hint="default" w:ascii="宋体" w:hAnsi="宋体" w:eastAsia="宋体"/>
                <w:bCs/>
                <w:sz w:val="21"/>
                <w:szCs w:val="21"/>
                <w:lang w:val="en-US" w:eastAsia="zh-CN"/>
              </w:rPr>
            </w:pPr>
            <w:r>
              <w:rPr>
                <w:rFonts w:hint="eastAsia" w:ascii="宋体" w:hAnsi="宋体" w:eastAsia="宋体"/>
                <w:bCs/>
                <w:sz w:val="21"/>
                <w:szCs w:val="21"/>
                <w:lang w:val="en-US" w:eastAsia="zh-CN"/>
              </w:rPr>
              <w:t>1</w:t>
            </w:r>
          </w:p>
        </w:tc>
        <w:tc>
          <w:tcPr>
            <w:tcW w:w="2132" w:type="dxa"/>
          </w:tcPr>
          <w:p>
            <w:pPr>
              <w:pStyle w:val="2"/>
              <w:ind w:firstLine="562"/>
              <w:rPr>
                <w:rFonts w:hint="eastAsia" w:ascii="宋体" w:hAnsi="宋体" w:eastAsia="宋体"/>
                <w:bCs/>
                <w:sz w:val="21"/>
                <w:szCs w:val="21"/>
                <w:lang w:val="en-US" w:eastAsia="zh-CN"/>
              </w:rPr>
            </w:pPr>
            <w:r>
              <w:rPr>
                <w:rFonts w:hint="eastAsia" w:ascii="宋体" w:hAnsi="宋体" w:eastAsia="宋体"/>
                <w:bCs/>
                <w:sz w:val="21"/>
                <w:szCs w:val="21"/>
                <w:lang w:val="en-US" w:eastAsia="zh-CN"/>
              </w:rPr>
              <w:t>路由器</w:t>
            </w:r>
          </w:p>
        </w:tc>
        <w:tc>
          <w:tcPr>
            <w:tcW w:w="2132" w:type="dxa"/>
          </w:tcPr>
          <w:p>
            <w:pPr>
              <w:pStyle w:val="2"/>
              <w:ind w:firstLine="562"/>
              <w:rPr>
                <w:rFonts w:hint="default" w:ascii="宋体" w:hAnsi="宋体" w:eastAsia="宋体"/>
                <w:bCs/>
                <w:sz w:val="21"/>
                <w:szCs w:val="21"/>
                <w:lang w:val="en-US" w:eastAsia="zh-CN"/>
              </w:rPr>
            </w:pPr>
            <w:r>
              <w:rPr>
                <w:rFonts w:hint="eastAsia" w:ascii="宋体" w:hAnsi="宋体" w:eastAsia="宋体"/>
                <w:bCs/>
                <w:sz w:val="21"/>
                <w:szCs w:val="21"/>
                <w:lang w:val="en-US" w:eastAsia="zh-CN"/>
              </w:rPr>
              <w:t>2</w:t>
            </w:r>
          </w:p>
        </w:tc>
        <w:tc>
          <w:tcPr>
            <w:tcW w:w="2132" w:type="dxa"/>
          </w:tcPr>
          <w:p>
            <w:pPr>
              <w:pStyle w:val="2"/>
              <w:ind w:firstLine="562"/>
              <w:rPr>
                <w:rFonts w:hint="default" w:ascii="宋体" w:hAnsi="宋体" w:eastAsia="宋体"/>
                <w:bCs/>
                <w:sz w:val="21"/>
                <w:szCs w:val="21"/>
                <w:lang w:val="en-US" w:eastAsia="zh-CN"/>
              </w:rPr>
            </w:pPr>
            <w:r>
              <w:rPr>
                <w:rFonts w:hint="eastAsia" w:ascii="宋体" w:hAnsi="宋体" w:eastAsia="宋体"/>
                <w:bCs/>
                <w:sz w:val="21"/>
                <w:szCs w:val="21"/>
                <w:lang w:val="en-US" w:eastAsia="zh-CN"/>
              </w:rPr>
              <w:t>套</w:t>
            </w:r>
          </w:p>
        </w:tc>
      </w:tr>
    </w:tbl>
    <w:p>
      <w:pPr>
        <w:pStyle w:val="2"/>
        <w:ind w:firstLine="562"/>
        <w:rPr>
          <w:rFonts w:hint="default" w:ascii="宋体" w:hAnsi="宋体" w:eastAsia="宋体"/>
          <w:bCs/>
          <w:lang w:val="en-US" w:eastAsia="zh-CN"/>
        </w:rPr>
      </w:pPr>
      <w:r>
        <w:rPr>
          <w:rFonts w:hint="default" w:ascii="宋体" w:hAnsi="宋体" w:eastAsia="宋体"/>
          <w:bCs/>
          <w:lang w:val="en-US" w:eastAsia="zh-CN"/>
        </w:rPr>
        <w:t>项目地点：广东省广州市</w:t>
      </w:r>
    </w:p>
    <w:p>
      <w:pPr>
        <w:pStyle w:val="2"/>
        <w:ind w:firstLine="562"/>
        <w:rPr>
          <w:rFonts w:hint="eastAsia" w:ascii="宋体" w:hAnsi="宋体" w:eastAsia="宋体"/>
          <w:bCs/>
          <w:lang w:val="en-US" w:eastAsia="zh-CN"/>
        </w:rPr>
      </w:pPr>
      <w:r>
        <w:rPr>
          <w:rFonts w:hint="default" w:ascii="宋体" w:hAnsi="宋体" w:eastAsia="宋体"/>
          <w:bCs/>
          <w:lang w:val="en-US" w:eastAsia="zh-CN"/>
        </w:rPr>
        <w:t>供货期：签订合同后1</w:t>
      </w:r>
      <w:r>
        <w:rPr>
          <w:rFonts w:hint="eastAsia"/>
          <w:bCs/>
          <w:lang w:val="en-US" w:eastAsia="zh-CN"/>
        </w:rPr>
        <w:t>5</w:t>
      </w:r>
      <w:r>
        <w:rPr>
          <w:rFonts w:hint="default" w:ascii="宋体" w:hAnsi="宋体" w:eastAsia="宋体"/>
          <w:bCs/>
          <w:lang w:val="en-US" w:eastAsia="zh-CN"/>
        </w:rPr>
        <w:t>天内发货</w:t>
      </w:r>
    </w:p>
    <w:bookmarkEnd w:id="1"/>
    <w:bookmarkEnd w:id="2"/>
    <w:bookmarkEnd w:id="3"/>
    <w:p>
      <w:pPr>
        <w:pStyle w:val="4"/>
        <w:bidi w:val="0"/>
        <w:rPr>
          <w:rFonts w:hint="eastAsia"/>
          <w:lang w:val="en-US" w:eastAsia="zh-CN"/>
        </w:rPr>
      </w:pPr>
      <w:bookmarkStart w:id="4" w:name="_Toc11699"/>
      <w:r>
        <w:rPr>
          <w:rFonts w:hint="eastAsia"/>
          <w:lang w:val="en-US" w:eastAsia="zh-CN"/>
        </w:rPr>
        <w:t>2项目方案</w:t>
      </w:r>
      <w:bookmarkEnd w:id="4"/>
    </w:p>
    <w:p>
      <w:pPr>
        <w:pStyle w:val="5"/>
        <w:bidi w:val="0"/>
        <w:rPr>
          <w:rFonts w:hint="eastAsia"/>
          <w:b/>
          <w:bCs w:val="0"/>
          <w:lang w:val="en-US" w:eastAsia="zh-CN"/>
        </w:rPr>
      </w:pPr>
      <w:r>
        <w:rPr>
          <w:rFonts w:hint="eastAsia"/>
          <w:b/>
          <w:bCs w:val="0"/>
          <w:lang w:val="en-US" w:eastAsia="zh-CN"/>
        </w:rPr>
        <w:t>2.1设备要求及标准</w:t>
      </w:r>
    </w:p>
    <w:tbl>
      <w:tblPr>
        <w:tblStyle w:val="7"/>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0"/>
        <w:gridCol w:w="1320"/>
        <w:gridCol w:w="2789"/>
        <w:gridCol w:w="2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320" w:type="dxa"/>
          </w:tcPr>
          <w:p>
            <w:pPr>
              <w:jc w:val="center"/>
              <w:rPr>
                <w:rFonts w:hint="eastAsia" w:eastAsia="宋体"/>
                <w:b/>
                <w:bCs/>
                <w:sz w:val="21"/>
                <w:szCs w:val="21"/>
                <w:vertAlign w:val="baseline"/>
                <w:lang w:val="en-US" w:eastAsia="zh-CN"/>
              </w:rPr>
            </w:pPr>
            <w:r>
              <w:rPr>
                <w:rFonts w:hint="eastAsia"/>
                <w:b/>
                <w:bCs/>
                <w:sz w:val="21"/>
                <w:szCs w:val="21"/>
                <w:vertAlign w:val="baseline"/>
                <w:lang w:val="en-US" w:eastAsia="zh-CN"/>
              </w:rPr>
              <w:t>序号</w:t>
            </w:r>
          </w:p>
        </w:tc>
        <w:tc>
          <w:tcPr>
            <w:tcW w:w="1320" w:type="dxa"/>
          </w:tcPr>
          <w:p>
            <w:pPr>
              <w:jc w:val="center"/>
              <w:rPr>
                <w:rFonts w:hint="eastAsia" w:eastAsia="宋体"/>
                <w:b/>
                <w:bCs/>
                <w:sz w:val="21"/>
                <w:szCs w:val="21"/>
                <w:vertAlign w:val="baseline"/>
                <w:lang w:val="en-US" w:eastAsia="zh-CN"/>
              </w:rPr>
            </w:pPr>
            <w:r>
              <w:rPr>
                <w:rFonts w:hint="eastAsia"/>
                <w:b/>
                <w:bCs/>
                <w:sz w:val="21"/>
                <w:szCs w:val="21"/>
                <w:vertAlign w:val="baseline"/>
                <w:lang w:val="en-US" w:eastAsia="zh-CN"/>
              </w:rPr>
              <w:t>设备名称</w:t>
            </w:r>
          </w:p>
        </w:tc>
        <w:tc>
          <w:tcPr>
            <w:tcW w:w="2789" w:type="dxa"/>
          </w:tcPr>
          <w:p>
            <w:pPr>
              <w:jc w:val="center"/>
              <w:rPr>
                <w:rFonts w:hint="default" w:eastAsia="宋体"/>
                <w:b/>
                <w:bCs/>
                <w:sz w:val="21"/>
                <w:szCs w:val="21"/>
                <w:vertAlign w:val="baseline"/>
                <w:lang w:val="en-US" w:eastAsia="zh-CN"/>
              </w:rPr>
            </w:pPr>
            <w:r>
              <w:rPr>
                <w:rFonts w:hint="eastAsia"/>
                <w:b/>
                <w:bCs/>
                <w:sz w:val="21"/>
                <w:szCs w:val="21"/>
                <w:vertAlign w:val="baseline"/>
                <w:lang w:val="en-US" w:eastAsia="zh-CN"/>
              </w:rPr>
              <w:t>参数标准</w:t>
            </w:r>
          </w:p>
        </w:tc>
        <w:tc>
          <w:tcPr>
            <w:tcW w:w="2789" w:type="dxa"/>
          </w:tcPr>
          <w:p>
            <w:pPr>
              <w:jc w:val="center"/>
              <w:rPr>
                <w:rFonts w:hint="default"/>
                <w:b/>
                <w:bCs/>
                <w:sz w:val="21"/>
                <w:szCs w:val="21"/>
                <w:vertAlign w:val="baseline"/>
                <w:lang w:val="en-US" w:eastAsia="zh-CN"/>
              </w:rPr>
            </w:pPr>
            <w:r>
              <w:rPr>
                <w:rFonts w:hint="eastAsia"/>
                <w:b/>
                <w:bCs/>
                <w:sz w:val="21"/>
                <w:szCs w:val="21"/>
                <w:vertAlign w:val="baseline"/>
                <w:lang w:val="en-US" w:eastAsia="zh-CN"/>
              </w:rPr>
              <w:t>参考品牌产品配置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4" w:hRule="atLeast"/>
          <w:jc w:val="center"/>
        </w:trPr>
        <w:tc>
          <w:tcPr>
            <w:tcW w:w="1320" w:type="dxa"/>
          </w:tcPr>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eastAsia="宋体"/>
                <w:sz w:val="21"/>
                <w:szCs w:val="21"/>
                <w:vertAlign w:val="baseline"/>
                <w:lang w:val="en-US" w:eastAsia="zh-CN"/>
              </w:rPr>
            </w:pPr>
            <w:r>
              <w:rPr>
                <w:rFonts w:hint="eastAsia"/>
                <w:sz w:val="21"/>
                <w:szCs w:val="21"/>
                <w:vertAlign w:val="baseline"/>
                <w:lang w:val="en-US" w:eastAsia="zh-CN"/>
              </w:rPr>
              <w:t>1</w:t>
            </w:r>
          </w:p>
        </w:tc>
        <w:tc>
          <w:tcPr>
            <w:tcW w:w="1320" w:type="dxa"/>
          </w:tcPr>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sz w:val="21"/>
                <w:szCs w:val="21"/>
                <w:vertAlign w:val="baseline"/>
                <w:lang w:val="en-US" w:eastAsia="zh-CN"/>
              </w:rPr>
            </w:pPr>
          </w:p>
          <w:p>
            <w:pPr>
              <w:rPr>
                <w:rFonts w:hint="eastAsia" w:eastAsia="宋体"/>
                <w:sz w:val="21"/>
                <w:szCs w:val="21"/>
                <w:vertAlign w:val="baseline"/>
                <w:lang w:val="en-US" w:eastAsia="zh-CN"/>
              </w:rPr>
            </w:pPr>
            <w:r>
              <w:rPr>
                <w:rFonts w:hint="eastAsia"/>
                <w:sz w:val="21"/>
                <w:szCs w:val="21"/>
                <w:vertAlign w:val="baseline"/>
                <w:lang w:val="en-US" w:eastAsia="zh-CN"/>
              </w:rPr>
              <w:t>路由器</w:t>
            </w:r>
          </w:p>
        </w:tc>
        <w:tc>
          <w:tcPr>
            <w:tcW w:w="2789" w:type="dxa"/>
          </w:tcPr>
          <w:p>
            <w:pPr>
              <w:numPr>
                <w:ilvl w:val="0"/>
                <w:numId w:val="1"/>
              </w:numPr>
              <w:rPr>
                <w:rFonts w:hint="eastAsia"/>
                <w:sz w:val="21"/>
                <w:szCs w:val="21"/>
                <w:vertAlign w:val="baseline"/>
              </w:rPr>
            </w:pPr>
            <w:r>
              <w:rPr>
                <w:rFonts w:hint="eastAsia"/>
                <w:sz w:val="21"/>
                <w:szCs w:val="21"/>
                <w:vertAlign w:val="baseline"/>
              </w:rPr>
              <w:t>处理器、Flash、交换/转发芯片要求必须为自主可控的设计、研发、生产。（提供相关证明文件）。</w:t>
            </w:r>
          </w:p>
          <w:p>
            <w:pPr>
              <w:numPr>
                <w:ilvl w:val="0"/>
                <w:numId w:val="1"/>
              </w:numPr>
              <w:rPr>
                <w:sz w:val="21"/>
                <w:szCs w:val="21"/>
                <w:vertAlign w:val="baseline"/>
              </w:rPr>
            </w:pPr>
            <w:r>
              <w:rPr>
                <w:rFonts w:hint="eastAsia"/>
                <w:sz w:val="21"/>
                <w:szCs w:val="21"/>
                <w:vertAlign w:val="baseline"/>
              </w:rPr>
              <w:t>固化12个WAN口(4个10/100/1000M自适应电口</w:t>
            </w:r>
          </w:p>
          <w:p>
            <w:pPr>
              <w:numPr>
                <w:ilvl w:val="0"/>
                <w:numId w:val="1"/>
              </w:numPr>
              <w:rPr>
                <w:sz w:val="21"/>
                <w:szCs w:val="21"/>
                <w:vertAlign w:val="baseline"/>
              </w:rPr>
            </w:pPr>
            <w:r>
              <w:rPr>
                <w:rFonts w:hint="eastAsia"/>
                <w:sz w:val="21"/>
                <w:szCs w:val="21"/>
                <w:vertAlign w:val="baseline"/>
              </w:rPr>
              <w:t>4个1GSFP光口</w:t>
            </w:r>
          </w:p>
          <w:p>
            <w:pPr>
              <w:numPr>
                <w:ilvl w:val="0"/>
                <w:numId w:val="1"/>
              </w:numPr>
              <w:rPr>
                <w:sz w:val="21"/>
                <w:szCs w:val="21"/>
                <w:vertAlign w:val="baseline"/>
              </w:rPr>
            </w:pPr>
            <w:r>
              <w:rPr>
                <w:rFonts w:hint="eastAsia"/>
                <w:sz w:val="21"/>
                <w:szCs w:val="21"/>
                <w:vertAlign w:val="baseline"/>
              </w:rPr>
              <w:t>4个1G/10GSFP+光口)</w:t>
            </w:r>
          </w:p>
          <w:p>
            <w:pPr>
              <w:numPr>
                <w:ilvl w:val="0"/>
                <w:numId w:val="1"/>
              </w:numPr>
              <w:rPr>
                <w:sz w:val="21"/>
                <w:szCs w:val="21"/>
                <w:vertAlign w:val="baseline"/>
              </w:rPr>
            </w:pPr>
            <w:r>
              <w:rPr>
                <w:rFonts w:hint="eastAsia"/>
                <w:sz w:val="21"/>
                <w:szCs w:val="21"/>
                <w:vertAlign w:val="baseline"/>
              </w:rPr>
              <w:t>24个GELAN口,支持LAN/WAN切换</w:t>
            </w:r>
          </w:p>
          <w:p>
            <w:pPr>
              <w:numPr>
                <w:ilvl w:val="0"/>
                <w:numId w:val="1"/>
              </w:numPr>
              <w:rPr>
                <w:sz w:val="21"/>
                <w:szCs w:val="21"/>
                <w:vertAlign w:val="baseline"/>
              </w:rPr>
            </w:pPr>
            <w:r>
              <w:rPr>
                <w:rFonts w:hint="eastAsia"/>
                <w:sz w:val="21"/>
                <w:szCs w:val="21"/>
                <w:vertAlign w:val="baseline"/>
              </w:rPr>
              <w:t>1个Console口</w:t>
            </w:r>
          </w:p>
          <w:p>
            <w:pPr>
              <w:numPr>
                <w:ilvl w:val="0"/>
                <w:numId w:val="1"/>
              </w:numPr>
              <w:rPr>
                <w:sz w:val="21"/>
                <w:szCs w:val="21"/>
                <w:vertAlign w:val="baseline"/>
              </w:rPr>
            </w:pPr>
            <w:r>
              <w:rPr>
                <w:rFonts w:hint="eastAsia"/>
                <w:sz w:val="21"/>
                <w:szCs w:val="21"/>
                <w:vertAlign w:val="baseline"/>
              </w:rPr>
              <w:t>1个USB口</w:t>
            </w:r>
          </w:p>
          <w:p>
            <w:pPr>
              <w:numPr>
                <w:ilvl w:val="0"/>
                <w:numId w:val="1"/>
              </w:numPr>
              <w:rPr>
                <w:sz w:val="21"/>
                <w:szCs w:val="21"/>
                <w:vertAlign w:val="baseline"/>
              </w:rPr>
            </w:pPr>
            <w:r>
              <w:rPr>
                <w:rFonts w:hint="eastAsia"/>
                <w:sz w:val="21"/>
                <w:szCs w:val="21"/>
                <w:vertAlign w:val="baseline"/>
              </w:rPr>
              <w:t>1个精灵键</w:t>
            </w:r>
          </w:p>
          <w:p>
            <w:pPr>
              <w:numPr>
                <w:ilvl w:val="0"/>
                <w:numId w:val="1"/>
              </w:numPr>
              <w:rPr>
                <w:sz w:val="21"/>
                <w:szCs w:val="21"/>
                <w:vertAlign w:val="baseline"/>
              </w:rPr>
            </w:pPr>
            <w:r>
              <w:rPr>
                <w:rFonts w:hint="eastAsia"/>
                <w:sz w:val="21"/>
                <w:szCs w:val="21"/>
                <w:vertAlign w:val="baseline"/>
              </w:rPr>
              <w:t>4个HSIC模块插槽</w:t>
            </w:r>
          </w:p>
          <w:p>
            <w:pPr>
              <w:numPr>
                <w:ilvl w:val="0"/>
                <w:numId w:val="1"/>
              </w:numPr>
              <w:rPr>
                <w:sz w:val="21"/>
                <w:szCs w:val="21"/>
                <w:vertAlign w:val="baseline"/>
              </w:rPr>
            </w:pPr>
            <w:r>
              <w:rPr>
                <w:rFonts w:hint="eastAsia"/>
                <w:sz w:val="21"/>
                <w:szCs w:val="21"/>
                <w:vertAlign w:val="baseline"/>
              </w:rPr>
              <w:t>2个交流电源</w:t>
            </w:r>
          </w:p>
        </w:tc>
        <w:tc>
          <w:tcPr>
            <w:tcW w:w="2789" w:type="dxa"/>
          </w:tcPr>
          <w:p>
            <w:pPr>
              <w:numPr>
                <w:ilvl w:val="0"/>
                <w:numId w:val="0"/>
              </w:numPr>
              <w:jc w:val="center"/>
              <w:rPr>
                <w:rFonts w:hint="eastAsia" w:ascii="宋体" w:hAnsi="宋体" w:eastAsia="宋体" w:cs="宋体"/>
                <w:kern w:val="0"/>
                <w:sz w:val="21"/>
                <w:szCs w:val="21"/>
                <w:lang w:val="en-US" w:eastAsia="zh-CN"/>
                <w14:ligatures w14:val="none"/>
              </w:rPr>
            </w:pPr>
            <w:r>
              <w:rPr>
                <w:rFonts w:hint="eastAsia" w:ascii="宋体" w:hAnsi="宋体" w:eastAsia="宋体" w:cs="宋体"/>
                <w:kern w:val="0"/>
                <w:sz w:val="21"/>
                <w:szCs w:val="21"/>
                <w:lang w:val="en-US" w:eastAsia="zh-CN"/>
                <w14:ligatures w14:val="none"/>
              </w:rPr>
              <w:t>中兴ZXR10-3800-8X</w:t>
            </w:r>
          </w:p>
          <w:p>
            <w:pPr>
              <w:numPr>
                <w:ilvl w:val="0"/>
                <w:numId w:val="0"/>
              </w:numPr>
              <w:jc w:val="center"/>
              <w:rPr>
                <w:rFonts w:hint="eastAsia"/>
                <w:sz w:val="21"/>
                <w:szCs w:val="21"/>
                <w:vertAlign w:val="baseline"/>
              </w:rPr>
            </w:pPr>
            <w:r>
              <w:rPr>
                <w:rFonts w:hint="eastAsia" w:ascii="宋体" w:hAnsi="宋体" w:eastAsia="宋体" w:cs="宋体"/>
                <w:kern w:val="0"/>
                <w:sz w:val="21"/>
                <w:szCs w:val="21"/>
                <w:lang w:val="en-US" w:eastAsia="zh-CN"/>
                <w14:ligatures w14:val="none"/>
              </w:rPr>
              <w:t>（总调接入连接</w:t>
            </w:r>
            <w:bookmarkStart w:id="7" w:name="_GoBack"/>
            <w:bookmarkEnd w:id="7"/>
            <w:r>
              <w:rPr>
                <w:rFonts w:hint="eastAsia" w:ascii="宋体" w:hAnsi="宋体" w:eastAsia="宋体" w:cs="宋体"/>
                <w:kern w:val="0"/>
                <w:sz w:val="21"/>
                <w:szCs w:val="21"/>
                <w:lang w:val="en-US" w:eastAsia="zh-CN"/>
                <w14:ligatures w14:val="none"/>
              </w:rPr>
              <w:t>要求）</w:t>
            </w:r>
          </w:p>
        </w:tc>
      </w:tr>
    </w:tbl>
    <w:p>
      <w:pPr>
        <w:pStyle w:val="2"/>
        <w:rPr>
          <w:rFonts w:hint="eastAsia"/>
          <w:lang w:val="en-US" w:eastAsia="zh-CN"/>
        </w:rPr>
      </w:pPr>
    </w:p>
    <w:p>
      <w:pPr>
        <w:pStyle w:val="5"/>
        <w:bidi w:val="0"/>
        <w:rPr>
          <w:rFonts w:hint="eastAsia"/>
          <w:b/>
          <w:bCs w:val="0"/>
          <w:lang w:val="en-US" w:eastAsia="zh-CN"/>
        </w:rPr>
      </w:pPr>
      <w:r>
        <w:rPr>
          <w:rFonts w:hint="eastAsia"/>
          <w:b/>
          <w:bCs w:val="0"/>
          <w:lang w:val="en-US" w:eastAsia="zh-CN"/>
        </w:rPr>
        <w:t>2.2运输方式</w:t>
      </w:r>
    </w:p>
    <w:p>
      <w:pPr>
        <w:pStyle w:val="2"/>
        <w:ind w:firstLine="562"/>
        <w:rPr>
          <w:rFonts w:hint="default" w:ascii="宋体" w:hAnsi="宋体" w:eastAsia="宋体"/>
          <w:bCs/>
          <w:lang w:val="en-US" w:eastAsia="zh-CN"/>
        </w:rPr>
      </w:pPr>
      <w:r>
        <w:rPr>
          <w:rFonts w:hint="default" w:ascii="宋体" w:hAnsi="宋体" w:eastAsia="宋体"/>
          <w:bCs/>
          <w:lang w:val="en-US" w:eastAsia="zh-CN"/>
        </w:rPr>
        <w:t>整箱包装，物流运输。</w:t>
      </w:r>
    </w:p>
    <w:p>
      <w:pPr>
        <w:pStyle w:val="2"/>
        <w:rPr>
          <w:rFonts w:hint="eastAsia"/>
          <w:lang w:val="en-US" w:eastAsia="zh-CN"/>
        </w:rPr>
      </w:pPr>
    </w:p>
    <w:p>
      <w:pPr>
        <w:pStyle w:val="4"/>
        <w:bidi w:val="0"/>
        <w:rPr>
          <w:rFonts w:hint="eastAsia"/>
          <w:lang w:val="en-US" w:eastAsia="zh-CN"/>
        </w:rPr>
      </w:pPr>
      <w:r>
        <w:rPr>
          <w:rFonts w:hint="eastAsia"/>
          <w:lang w:val="en-US" w:eastAsia="zh-CN"/>
        </w:rPr>
        <w:t>3技术服务要求</w:t>
      </w:r>
    </w:p>
    <w:p>
      <w:pPr>
        <w:pStyle w:val="5"/>
        <w:bidi w:val="0"/>
        <w:rPr>
          <w:rFonts w:hint="default"/>
          <w:b/>
          <w:bCs w:val="0"/>
          <w:lang w:val="en-US" w:eastAsia="zh-CN"/>
        </w:rPr>
      </w:pPr>
      <w:r>
        <w:rPr>
          <w:rFonts w:hint="eastAsia"/>
          <w:b/>
          <w:bCs w:val="0"/>
          <w:lang w:val="en-US" w:eastAsia="zh-CN"/>
        </w:rPr>
        <w:t>3.1</w:t>
      </w:r>
      <w:r>
        <w:rPr>
          <w:rFonts w:hint="default"/>
          <w:b/>
          <w:bCs w:val="0"/>
          <w:lang w:val="en-US" w:eastAsia="zh-CN"/>
        </w:rPr>
        <w:t>资质要求</w:t>
      </w:r>
    </w:p>
    <w:p>
      <w:pPr>
        <w:pStyle w:val="2"/>
        <w:rPr>
          <w:rFonts w:hint="default"/>
          <w:lang w:val="en-US" w:eastAsia="zh-CN"/>
        </w:rPr>
      </w:pPr>
      <w:r>
        <w:rPr>
          <w:rFonts w:hint="default"/>
          <w:bCs/>
          <w:lang w:val="en-US" w:eastAsia="zh-CN"/>
        </w:rPr>
        <w:t>投标方应具备规定的营业执照、供货承诺函、型式检验报告</w:t>
      </w:r>
      <w:r>
        <w:rPr>
          <w:rFonts w:hint="eastAsia"/>
          <w:bCs/>
          <w:lang w:val="en-US" w:eastAsia="zh-CN"/>
        </w:rPr>
        <w:t>、授权证明（代理经销商需提供）</w:t>
      </w:r>
    </w:p>
    <w:p>
      <w:pPr>
        <w:pStyle w:val="5"/>
        <w:bidi w:val="0"/>
        <w:rPr>
          <w:rFonts w:hint="default"/>
          <w:b/>
          <w:bCs w:val="0"/>
          <w:lang w:val="en-US" w:eastAsia="zh-CN"/>
        </w:rPr>
      </w:pPr>
      <w:r>
        <w:rPr>
          <w:rFonts w:hint="eastAsia"/>
          <w:b/>
          <w:bCs w:val="0"/>
          <w:lang w:val="en-US" w:eastAsia="zh-CN"/>
        </w:rPr>
        <w:t>3.2</w:t>
      </w:r>
      <w:r>
        <w:rPr>
          <w:rFonts w:hint="default"/>
          <w:b/>
          <w:bCs w:val="0"/>
          <w:lang w:val="en-US" w:eastAsia="zh-CN"/>
        </w:rPr>
        <w:t>信息保密要求</w:t>
      </w:r>
    </w:p>
    <w:p>
      <w:pPr>
        <w:pStyle w:val="2"/>
        <w:rPr>
          <w:rFonts w:hint="default"/>
          <w:lang w:val="en-US" w:eastAsia="zh-CN"/>
        </w:rPr>
      </w:pPr>
      <w:r>
        <w:rPr>
          <w:rFonts w:hint="default"/>
          <w:bCs/>
          <w:lang w:val="en-US" w:eastAsia="zh-CN"/>
        </w:rPr>
        <w:t>本项目团队成员获得接触和知悉与本项工作相关的国家秘密、商业秘密或敏感信息和数据的资格，为此，项目组成员应当承担维护信息安全及保密义务和法律责任，一旦因违反信息安全及保密相关的行为规范，将被南网列入“黑名单”，不被允许参与招标方的任何业务。</w:t>
      </w:r>
    </w:p>
    <w:p>
      <w:pPr>
        <w:pStyle w:val="5"/>
        <w:bidi w:val="0"/>
        <w:rPr>
          <w:rFonts w:hint="default"/>
          <w:b/>
          <w:bCs w:val="0"/>
          <w:lang w:val="en-US" w:eastAsia="zh-CN"/>
        </w:rPr>
      </w:pPr>
      <w:r>
        <w:rPr>
          <w:rFonts w:hint="eastAsia"/>
          <w:b/>
          <w:bCs w:val="0"/>
          <w:lang w:val="en-US" w:eastAsia="zh-CN"/>
        </w:rPr>
        <w:t>3.3</w:t>
      </w:r>
      <w:r>
        <w:rPr>
          <w:rFonts w:hint="default"/>
          <w:b/>
          <w:bCs w:val="0"/>
          <w:lang w:val="en-US" w:eastAsia="zh-CN"/>
        </w:rPr>
        <w:t>其他要求</w:t>
      </w:r>
    </w:p>
    <w:p>
      <w:pPr>
        <w:ind w:firstLine="560" w:firstLineChars="200"/>
        <w:rPr>
          <w:rFonts w:hint="default" w:ascii="宋体" w:hAnsi="宋体" w:eastAsia="宋体" w:cs="宋体"/>
          <w:bCs/>
          <w:sz w:val="28"/>
          <w:szCs w:val="24"/>
          <w:lang w:val="en-US" w:eastAsia="zh-CN" w:bidi="ar-SA"/>
        </w:rPr>
      </w:pPr>
      <w:r>
        <w:rPr>
          <w:rFonts w:hint="default" w:ascii="宋体" w:hAnsi="宋体" w:eastAsia="宋体" w:cs="宋体"/>
          <w:bCs/>
          <w:sz w:val="28"/>
          <w:szCs w:val="24"/>
          <w:lang w:val="en-US" w:eastAsia="zh-CN" w:bidi="ar-SA"/>
        </w:rPr>
        <w:t>(1)按照招标方要求，完成其他现场相关支持工作。</w:t>
      </w:r>
    </w:p>
    <w:p>
      <w:pPr>
        <w:ind w:firstLine="560" w:firstLineChars="200"/>
        <w:rPr>
          <w:rFonts w:hint="default" w:ascii="宋体" w:hAnsi="宋体" w:eastAsia="宋体" w:cs="宋体"/>
          <w:bCs/>
          <w:sz w:val="28"/>
          <w:szCs w:val="24"/>
          <w:lang w:val="en-US" w:eastAsia="zh-CN" w:bidi="ar-SA"/>
        </w:rPr>
      </w:pPr>
      <w:r>
        <w:rPr>
          <w:rFonts w:hint="default" w:ascii="宋体" w:hAnsi="宋体" w:eastAsia="宋体" w:cs="宋体"/>
          <w:bCs/>
          <w:sz w:val="28"/>
          <w:szCs w:val="24"/>
          <w:lang w:val="en-US" w:eastAsia="zh-CN" w:bidi="ar-SA"/>
        </w:rPr>
        <w:t>(2)中标方提供的服务，不得侵犯任何第三方的合法权益，由此引起的纠纷或者第三方以及招标方造成的损失，应由中标方承担全部责任。</w:t>
      </w:r>
    </w:p>
    <w:p>
      <w:pPr>
        <w:pStyle w:val="5"/>
        <w:bidi w:val="0"/>
        <w:rPr>
          <w:rFonts w:hint="default"/>
          <w:b/>
          <w:bCs w:val="0"/>
          <w:lang w:val="en-US" w:eastAsia="zh-CN"/>
        </w:rPr>
      </w:pPr>
      <w:r>
        <w:rPr>
          <w:rFonts w:hint="eastAsia"/>
          <w:b/>
          <w:bCs w:val="0"/>
          <w:lang w:val="en-US" w:eastAsia="zh-CN"/>
        </w:rPr>
        <w:t>3.4</w:t>
      </w:r>
      <w:r>
        <w:rPr>
          <w:rFonts w:hint="default"/>
          <w:b/>
          <w:bCs w:val="0"/>
          <w:lang w:val="en-US" w:eastAsia="zh-CN"/>
        </w:rPr>
        <w:t>时间进度要求</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4"/>
        <w:gridCol w:w="3860"/>
        <w:gridCol w:w="2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4" w:type="dxa"/>
          </w:tcPr>
          <w:p>
            <w:pPr>
              <w:pStyle w:val="2"/>
              <w:jc w:val="center"/>
              <w:rPr>
                <w:rFonts w:hint="default"/>
                <w:b/>
                <w:bCs/>
                <w:sz w:val="21"/>
                <w:szCs w:val="21"/>
                <w:vertAlign w:val="baseline"/>
                <w:lang w:val="en-US" w:eastAsia="zh-CN"/>
              </w:rPr>
            </w:pPr>
            <w:r>
              <w:rPr>
                <w:rFonts w:hint="eastAsia"/>
                <w:b/>
                <w:bCs/>
                <w:sz w:val="21"/>
                <w:szCs w:val="21"/>
                <w:vertAlign w:val="baseline"/>
                <w:lang w:val="en-US" w:eastAsia="zh-CN"/>
              </w:rPr>
              <w:t>序号</w:t>
            </w:r>
          </w:p>
        </w:tc>
        <w:tc>
          <w:tcPr>
            <w:tcW w:w="3860" w:type="dxa"/>
          </w:tcPr>
          <w:p>
            <w:pPr>
              <w:pStyle w:val="2"/>
              <w:jc w:val="center"/>
              <w:rPr>
                <w:rFonts w:hint="default"/>
                <w:b/>
                <w:bCs/>
                <w:sz w:val="21"/>
                <w:szCs w:val="21"/>
                <w:vertAlign w:val="baseline"/>
                <w:lang w:val="en-US" w:eastAsia="zh-CN"/>
              </w:rPr>
            </w:pPr>
            <w:r>
              <w:rPr>
                <w:rFonts w:hint="eastAsia"/>
                <w:b/>
                <w:bCs/>
                <w:sz w:val="21"/>
                <w:szCs w:val="21"/>
                <w:vertAlign w:val="baseline"/>
                <w:lang w:val="en-US" w:eastAsia="zh-CN"/>
              </w:rPr>
              <w:t>时间段</w:t>
            </w:r>
          </w:p>
        </w:tc>
        <w:tc>
          <w:tcPr>
            <w:tcW w:w="2708" w:type="dxa"/>
          </w:tcPr>
          <w:p>
            <w:pPr>
              <w:pStyle w:val="2"/>
              <w:jc w:val="center"/>
              <w:rPr>
                <w:rFonts w:hint="default"/>
                <w:b/>
                <w:bCs/>
                <w:sz w:val="21"/>
                <w:szCs w:val="21"/>
                <w:vertAlign w:val="baseline"/>
                <w:lang w:val="en-US" w:eastAsia="zh-CN"/>
              </w:rPr>
            </w:pPr>
            <w:r>
              <w:rPr>
                <w:rFonts w:hint="eastAsia"/>
                <w:b/>
                <w:bCs/>
                <w:sz w:val="21"/>
                <w:szCs w:val="21"/>
                <w:vertAlign w:val="baseline"/>
                <w:lang w:val="en-US" w:eastAsia="zh-CN"/>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4" w:type="dxa"/>
          </w:tcPr>
          <w:p>
            <w:pPr>
              <w:pStyle w:val="2"/>
              <w:ind w:left="0" w:leftChars="0" w:firstLine="0" w:firstLineChars="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1</w:t>
            </w:r>
          </w:p>
        </w:tc>
        <w:tc>
          <w:tcPr>
            <w:tcW w:w="3860" w:type="dxa"/>
          </w:tcPr>
          <w:p>
            <w:pPr>
              <w:pStyle w:val="2"/>
              <w:ind w:left="0" w:leftChars="0" w:firstLine="0" w:firstLineChars="0"/>
              <w:jc w:val="both"/>
              <w:rPr>
                <w:rFonts w:hint="eastAsia"/>
                <w:b/>
                <w:bCs/>
                <w:sz w:val="21"/>
                <w:szCs w:val="21"/>
                <w:vertAlign w:val="baseline"/>
                <w:lang w:val="en-US" w:eastAsia="zh-CN"/>
              </w:rPr>
            </w:pPr>
            <w:r>
              <w:rPr>
                <w:rFonts w:hint="eastAsia" w:ascii="宋体" w:hAnsi="宋体" w:eastAsia="宋体" w:cs="宋体"/>
                <w:bCs/>
                <w:sz w:val="21"/>
                <w:szCs w:val="21"/>
                <w:lang w:val="en-US" w:eastAsia="zh-CN" w:bidi="ar-SA"/>
              </w:rPr>
              <w:t>自合同签订之日起－2025年8月</w:t>
            </w:r>
          </w:p>
        </w:tc>
        <w:tc>
          <w:tcPr>
            <w:tcW w:w="2708" w:type="dxa"/>
          </w:tcPr>
          <w:p>
            <w:pPr>
              <w:pStyle w:val="2"/>
              <w:ind w:left="0" w:leftChars="0" w:firstLine="0" w:firstLineChars="0"/>
              <w:jc w:val="both"/>
              <w:rPr>
                <w:rFonts w:hint="default"/>
                <w:b/>
                <w:bCs/>
                <w:sz w:val="21"/>
                <w:szCs w:val="21"/>
                <w:vertAlign w:val="baseline"/>
                <w:lang w:val="en-US" w:eastAsia="zh-CN"/>
              </w:rPr>
            </w:pPr>
            <w:r>
              <w:rPr>
                <w:rFonts w:hint="eastAsia"/>
                <w:b w:val="0"/>
                <w:bCs w:val="0"/>
                <w:sz w:val="21"/>
                <w:szCs w:val="21"/>
                <w:vertAlign w:val="baseline"/>
                <w:lang w:val="en-US" w:eastAsia="zh-CN"/>
              </w:rPr>
              <w:t>合同签订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4" w:type="dxa"/>
          </w:tcPr>
          <w:p>
            <w:pPr>
              <w:pStyle w:val="2"/>
              <w:ind w:left="0" w:leftChars="0" w:firstLine="0" w:firstLineChars="0"/>
              <w:jc w:val="center"/>
              <w:rPr>
                <w:rFonts w:hint="default"/>
                <w:b w:val="0"/>
                <w:bCs w:val="0"/>
                <w:sz w:val="21"/>
                <w:szCs w:val="21"/>
                <w:vertAlign w:val="baseline"/>
                <w:lang w:val="en-US" w:eastAsia="zh-CN"/>
              </w:rPr>
            </w:pPr>
            <w:r>
              <w:rPr>
                <w:rFonts w:hint="eastAsia"/>
                <w:b w:val="0"/>
                <w:bCs w:val="0"/>
                <w:sz w:val="21"/>
                <w:szCs w:val="21"/>
                <w:vertAlign w:val="baseline"/>
                <w:lang w:val="en-US" w:eastAsia="zh-CN"/>
              </w:rPr>
              <w:t>2</w:t>
            </w:r>
          </w:p>
        </w:tc>
        <w:tc>
          <w:tcPr>
            <w:tcW w:w="3860" w:type="dxa"/>
          </w:tcPr>
          <w:p>
            <w:pPr>
              <w:pStyle w:val="2"/>
              <w:ind w:left="0" w:leftChars="0" w:firstLine="0" w:firstLineChars="0"/>
              <w:jc w:val="both"/>
              <w:rPr>
                <w:rFonts w:hint="eastAsia"/>
                <w:b/>
                <w:bCs/>
                <w:sz w:val="21"/>
                <w:szCs w:val="21"/>
                <w:vertAlign w:val="baseline"/>
                <w:lang w:val="en-US" w:eastAsia="zh-CN"/>
              </w:rPr>
            </w:pPr>
            <w:r>
              <w:rPr>
                <w:rFonts w:hint="eastAsia" w:ascii="宋体" w:hAnsi="宋体" w:eastAsia="宋体" w:cs="宋体"/>
                <w:bCs/>
                <w:sz w:val="21"/>
                <w:szCs w:val="21"/>
                <w:lang w:val="en-US" w:eastAsia="zh-CN" w:bidi="ar-SA"/>
              </w:rPr>
              <w:t>2025年8月-2025年9月</w:t>
            </w:r>
          </w:p>
        </w:tc>
        <w:tc>
          <w:tcPr>
            <w:tcW w:w="2708" w:type="dxa"/>
          </w:tcPr>
          <w:p>
            <w:pPr>
              <w:pStyle w:val="2"/>
              <w:ind w:left="0" w:leftChars="0" w:firstLine="0" w:firstLineChars="0"/>
              <w:jc w:val="both"/>
              <w:rPr>
                <w:rFonts w:hint="default"/>
                <w:b/>
                <w:bCs/>
                <w:sz w:val="21"/>
                <w:szCs w:val="21"/>
                <w:vertAlign w:val="baseline"/>
                <w:lang w:val="en-US" w:eastAsia="zh-CN"/>
              </w:rPr>
            </w:pPr>
            <w:r>
              <w:rPr>
                <w:rFonts w:hint="eastAsia"/>
                <w:b w:val="0"/>
                <w:bCs w:val="0"/>
                <w:sz w:val="21"/>
                <w:szCs w:val="21"/>
                <w:vertAlign w:val="baseline"/>
                <w:lang w:val="en-US" w:eastAsia="zh-CN"/>
              </w:rPr>
              <w:t>完成2套设备及配套的资料的生产及交付</w:t>
            </w:r>
          </w:p>
        </w:tc>
      </w:tr>
    </w:tbl>
    <w:p>
      <w:pPr>
        <w:pStyle w:val="2"/>
        <w:rPr>
          <w:rFonts w:hint="default"/>
          <w:lang w:val="en-US" w:eastAsia="zh-CN"/>
        </w:rPr>
      </w:pPr>
    </w:p>
    <w:p>
      <w:pPr>
        <w:pStyle w:val="4"/>
        <w:bidi w:val="0"/>
        <w:rPr>
          <w:rFonts w:hint="eastAsia"/>
          <w:lang w:val="en-US" w:eastAsia="zh-CN"/>
        </w:rPr>
      </w:pPr>
      <w:bookmarkStart w:id="5" w:name="_Toc5929"/>
      <w:bookmarkStart w:id="6" w:name="_Toc17474"/>
      <w:r>
        <w:rPr>
          <w:rFonts w:hint="eastAsia"/>
          <w:lang w:val="en-US" w:eastAsia="zh-CN"/>
        </w:rPr>
        <w:t>4</w:t>
      </w:r>
      <w:bookmarkEnd w:id="5"/>
      <w:bookmarkEnd w:id="6"/>
      <w:r>
        <w:rPr>
          <w:rFonts w:hint="eastAsia"/>
          <w:lang w:val="en-US" w:eastAsia="zh-CN"/>
        </w:rPr>
        <w:t>交付与验收</w:t>
      </w:r>
    </w:p>
    <w:p>
      <w:pPr>
        <w:pStyle w:val="5"/>
        <w:bidi w:val="0"/>
        <w:rPr>
          <w:rFonts w:hint="eastAsia" w:ascii="Arial" w:hAnsi="Arial" w:eastAsia="宋体"/>
          <w:b/>
          <w:bCs w:val="0"/>
          <w:lang w:val="en-US" w:eastAsia="zh-CN"/>
        </w:rPr>
      </w:pPr>
      <w:r>
        <w:rPr>
          <w:rFonts w:hint="eastAsia" w:ascii="Arial" w:hAnsi="Arial" w:eastAsia="宋体"/>
          <w:b/>
          <w:bCs w:val="0"/>
          <w:lang w:val="en-US" w:eastAsia="zh-CN"/>
        </w:rPr>
        <w:t>4.1交付形式及数量要求</w:t>
      </w:r>
    </w:p>
    <w:p>
      <w:pPr>
        <w:ind w:firstLine="560" w:firstLineChars="200"/>
        <w:rPr>
          <w:rFonts w:hint="eastAsia" w:ascii="宋体" w:hAnsi="宋体" w:eastAsia="宋体" w:cs="宋体"/>
          <w:bCs/>
          <w:sz w:val="28"/>
          <w:szCs w:val="24"/>
          <w:lang w:val="en-US" w:eastAsia="zh-CN" w:bidi="ar-SA"/>
        </w:rPr>
      </w:pPr>
      <w:r>
        <w:rPr>
          <w:rFonts w:hint="eastAsia" w:ascii="宋体" w:hAnsi="宋体" w:eastAsia="宋体" w:cs="宋体"/>
          <w:bCs/>
          <w:sz w:val="28"/>
          <w:szCs w:val="24"/>
          <w:lang w:val="en-US" w:eastAsia="zh-CN" w:bidi="ar-SA"/>
        </w:rPr>
        <w:t>(l)路由器2套，满足第2.1的功能要求并通过验收；</w:t>
      </w:r>
    </w:p>
    <w:p>
      <w:pPr>
        <w:ind w:firstLine="560" w:firstLineChars="200"/>
        <w:rPr>
          <w:rFonts w:hint="eastAsia"/>
          <w:lang w:val="en-US" w:eastAsia="zh-CN"/>
        </w:rPr>
      </w:pPr>
      <w:r>
        <w:rPr>
          <w:rFonts w:hint="eastAsia" w:ascii="宋体" w:hAnsi="宋体" w:eastAsia="宋体" w:cs="宋体"/>
          <w:bCs/>
          <w:sz w:val="28"/>
          <w:szCs w:val="24"/>
          <w:lang w:val="en-US" w:eastAsia="zh-CN" w:bidi="ar-SA"/>
        </w:rPr>
        <w:t>(2)提供设备参数数据。</w:t>
      </w:r>
    </w:p>
    <w:p>
      <w:pPr>
        <w:pStyle w:val="5"/>
        <w:bidi w:val="0"/>
        <w:rPr>
          <w:rFonts w:hint="default" w:ascii="Arial" w:hAnsi="Arial" w:eastAsia="宋体"/>
          <w:b/>
          <w:bCs w:val="0"/>
          <w:lang w:val="en-US" w:eastAsia="zh-CN"/>
        </w:rPr>
      </w:pPr>
      <w:r>
        <w:rPr>
          <w:rFonts w:hint="eastAsia" w:ascii="Arial" w:hAnsi="Arial" w:eastAsia="宋体"/>
          <w:b/>
          <w:bCs w:val="0"/>
          <w:lang w:val="en-US" w:eastAsia="zh-CN"/>
        </w:rPr>
        <w:t>4.2</w:t>
      </w:r>
      <w:r>
        <w:rPr>
          <w:rFonts w:hint="default" w:ascii="Arial" w:hAnsi="Arial" w:eastAsia="宋体"/>
          <w:b/>
          <w:bCs w:val="0"/>
          <w:lang w:val="en-US" w:eastAsia="zh-CN"/>
        </w:rPr>
        <w:t>验收</w:t>
      </w:r>
    </w:p>
    <w:p>
      <w:pPr>
        <w:ind w:firstLine="560" w:firstLineChars="200"/>
        <w:rPr>
          <w:rFonts w:hint="default" w:ascii="宋体" w:hAnsi="宋体" w:eastAsia="宋体" w:cs="宋体"/>
          <w:bCs/>
          <w:sz w:val="28"/>
          <w:szCs w:val="24"/>
          <w:lang w:val="en-US" w:eastAsia="zh-CN" w:bidi="ar-SA"/>
        </w:rPr>
      </w:pPr>
      <w:r>
        <w:rPr>
          <w:rFonts w:hint="eastAsia" w:ascii="宋体" w:hAnsi="宋体" w:eastAsia="宋体" w:cs="宋体"/>
          <w:bCs/>
          <w:sz w:val="28"/>
          <w:szCs w:val="24"/>
          <w:lang w:val="en-US" w:eastAsia="zh-CN" w:bidi="ar-SA"/>
        </w:rPr>
        <w:t>(</w:t>
      </w:r>
      <w:r>
        <w:rPr>
          <w:rFonts w:hint="default" w:ascii="宋体" w:hAnsi="宋体" w:eastAsia="宋体" w:cs="宋体"/>
          <w:bCs/>
          <w:sz w:val="28"/>
          <w:szCs w:val="24"/>
          <w:lang w:val="en-US" w:eastAsia="zh-CN" w:bidi="ar-SA"/>
        </w:rPr>
        <w:t>1)装置交付后，由甲方组织专家组对项目的主要技术指标、成果等进行验收。</w:t>
      </w:r>
    </w:p>
    <w:p>
      <w:pPr>
        <w:ind w:firstLine="560" w:firstLineChars="200"/>
        <w:rPr>
          <w:rFonts w:hint="default" w:ascii="宋体" w:hAnsi="宋体" w:eastAsia="宋体" w:cs="宋体"/>
          <w:bCs/>
          <w:sz w:val="28"/>
          <w:szCs w:val="24"/>
          <w:lang w:val="en-US" w:eastAsia="zh-CN" w:bidi="ar-SA"/>
        </w:rPr>
      </w:pPr>
      <w:r>
        <w:rPr>
          <w:rFonts w:hint="default" w:ascii="宋体" w:hAnsi="宋体" w:eastAsia="宋体" w:cs="宋体"/>
          <w:bCs/>
          <w:sz w:val="28"/>
          <w:szCs w:val="24"/>
          <w:lang w:val="en-US" w:eastAsia="zh-CN" w:bidi="ar-SA"/>
        </w:rPr>
        <w:t>(2)乙方未按期完成装置交付的，每逾期1天，应向甲方支付相当于装置购置费0.5％的违约金，逾期超过30日的，甲方有权单方解除合同。</w:t>
      </w:r>
    </w:p>
    <w:p>
      <w:pPr>
        <w:pStyle w:val="5"/>
        <w:bidi w:val="0"/>
        <w:rPr>
          <w:rFonts w:hint="eastAsia"/>
          <w:b/>
          <w:bCs w:val="0"/>
          <w:lang w:val="en-US" w:eastAsia="zh-CN"/>
        </w:rPr>
      </w:pPr>
      <w:r>
        <w:rPr>
          <w:rFonts w:hint="eastAsia"/>
          <w:b/>
          <w:bCs w:val="0"/>
          <w:lang w:val="en-US" w:eastAsia="zh-CN"/>
        </w:rPr>
        <w:t>4.3技术支持与售后服务</w:t>
      </w:r>
    </w:p>
    <w:p>
      <w:pPr>
        <w:pStyle w:val="2"/>
        <w:bidi w:val="0"/>
        <w:ind w:left="0" w:leftChars="0" w:firstLine="0" w:firstLineChars="0"/>
        <w:rPr>
          <w:rFonts w:hint="default"/>
          <w:lang w:val="en-US" w:eastAsia="zh-CN"/>
        </w:rPr>
      </w:pPr>
      <w:r>
        <w:rPr>
          <w:rFonts w:hint="eastAsia"/>
          <w:lang w:val="en-US" w:eastAsia="zh-CN"/>
        </w:rPr>
        <w:t>1、</w:t>
      </w:r>
      <w:r>
        <w:rPr>
          <w:rFonts w:hint="default"/>
          <w:lang w:val="en-US" w:eastAsia="zh-CN"/>
        </w:rPr>
        <w:t>质保期限</w:t>
      </w:r>
    </w:p>
    <w:p>
      <w:pPr>
        <w:pStyle w:val="2"/>
        <w:bidi w:val="0"/>
        <w:rPr>
          <w:rFonts w:hint="default"/>
          <w:lang w:val="en-US" w:eastAsia="zh-CN"/>
        </w:rPr>
      </w:pPr>
      <w:r>
        <w:rPr>
          <w:rFonts w:hint="default"/>
          <w:lang w:val="en-US" w:eastAsia="zh-CN"/>
        </w:rPr>
        <w:t>供应商需提供自验收合格之日起不少于1年的免费质保期。</w:t>
      </w:r>
    </w:p>
    <w:p>
      <w:pPr>
        <w:pStyle w:val="2"/>
        <w:bidi w:val="0"/>
        <w:ind w:left="0" w:leftChars="0" w:firstLine="0" w:firstLineChars="0"/>
        <w:rPr>
          <w:rFonts w:hint="default"/>
          <w:lang w:val="en-US" w:eastAsia="zh-CN"/>
        </w:rPr>
      </w:pPr>
      <w:r>
        <w:rPr>
          <w:rFonts w:hint="eastAsia"/>
          <w:lang w:val="en-US" w:eastAsia="zh-CN"/>
        </w:rPr>
        <w:t>2、</w:t>
      </w:r>
      <w:r>
        <w:rPr>
          <w:rFonts w:hint="default"/>
          <w:lang w:val="en-US" w:eastAsia="zh-CN"/>
        </w:rPr>
        <w:t>质保范围</w:t>
      </w:r>
    </w:p>
    <w:p>
      <w:pPr>
        <w:pStyle w:val="2"/>
        <w:bidi w:val="0"/>
        <w:rPr>
          <w:rFonts w:hint="default"/>
          <w:lang w:val="en-US" w:eastAsia="zh-CN"/>
        </w:rPr>
      </w:pPr>
      <w:r>
        <w:rPr>
          <w:rFonts w:hint="default"/>
          <w:lang w:val="en-US" w:eastAsia="zh-CN"/>
        </w:rPr>
        <w:t>(1)覆盖产品设计、材料或工艺缺陷导致的故障。</w:t>
      </w:r>
    </w:p>
    <w:p>
      <w:pPr>
        <w:pStyle w:val="2"/>
        <w:bidi w:val="0"/>
        <w:rPr>
          <w:rFonts w:hint="default"/>
          <w:lang w:val="en-US" w:eastAsia="zh-CN"/>
        </w:rPr>
      </w:pPr>
      <w:r>
        <w:rPr>
          <w:rFonts w:hint="default"/>
          <w:lang w:val="en-US" w:eastAsia="zh-CN"/>
        </w:rPr>
        <w:t>(2)包括免费维修或更换零部件（人工及材料费用由供应商承担）。</w:t>
      </w:r>
    </w:p>
    <w:p>
      <w:pPr>
        <w:pStyle w:val="2"/>
        <w:bidi w:val="0"/>
        <w:rPr>
          <w:rFonts w:hint="default"/>
          <w:lang w:val="en-US" w:eastAsia="zh-CN"/>
        </w:rPr>
      </w:pPr>
      <w:r>
        <w:rPr>
          <w:rFonts w:hint="default"/>
          <w:lang w:val="en-US" w:eastAsia="zh-CN"/>
        </w:rPr>
        <w:t>(3)不包含人为损坏、误操作、自然灾害等非质量问题；</w:t>
      </w:r>
    </w:p>
    <w:p>
      <w:pPr>
        <w:pStyle w:val="2"/>
        <w:bidi w:val="0"/>
        <w:ind w:left="0" w:leftChars="0" w:firstLine="0" w:firstLineChars="0"/>
        <w:rPr>
          <w:rFonts w:hint="default"/>
          <w:lang w:val="en-US" w:eastAsia="zh-CN"/>
        </w:rPr>
      </w:pPr>
      <w:r>
        <w:rPr>
          <w:rFonts w:hint="eastAsia"/>
          <w:lang w:val="en-US" w:eastAsia="zh-CN"/>
        </w:rPr>
        <w:t>3、</w:t>
      </w:r>
      <w:r>
        <w:rPr>
          <w:rFonts w:hint="default"/>
          <w:lang w:val="en-US" w:eastAsia="zh-CN"/>
        </w:rPr>
        <w:t>服务响应</w:t>
      </w:r>
    </w:p>
    <w:p>
      <w:pPr>
        <w:pStyle w:val="2"/>
        <w:bidi w:val="0"/>
        <w:rPr>
          <w:rFonts w:hint="default"/>
          <w:lang w:val="en-US" w:eastAsia="zh-CN"/>
        </w:rPr>
      </w:pPr>
      <w:r>
        <w:rPr>
          <w:rFonts w:hint="default"/>
          <w:lang w:val="en-US" w:eastAsia="zh-CN"/>
        </w:rPr>
        <w:t>(1)故障报修后，供应商需在48小时内响应，并提供明确解决方案。</w:t>
      </w:r>
    </w:p>
    <w:p>
      <w:pPr>
        <w:pStyle w:val="2"/>
        <w:bidi w:val="0"/>
        <w:rPr>
          <w:rFonts w:hint="default"/>
          <w:lang w:val="en-US" w:eastAsia="zh-CN"/>
        </w:rPr>
      </w:pPr>
      <w:r>
        <w:rPr>
          <w:rFonts w:hint="default"/>
          <w:lang w:val="en-US" w:eastAsia="zh-CN"/>
        </w:rPr>
        <w:t>(2)如需现场服务，技术人员应在3个工作日内到达。</w:t>
      </w:r>
    </w:p>
    <w:p>
      <w:pPr>
        <w:pStyle w:val="2"/>
        <w:bidi w:val="0"/>
        <w:rPr>
          <w:rFonts w:hint="default"/>
          <w:lang w:val="en-US" w:eastAsia="zh-CN"/>
        </w:rPr>
      </w:pPr>
      <w:r>
        <w:rPr>
          <w:rFonts w:hint="default"/>
          <w:lang w:val="en-US" w:eastAsia="zh-CN"/>
        </w:rPr>
        <w:t>(3)返修周期不超过15天，否则需提供备用设备或替代方案。</w:t>
      </w:r>
    </w:p>
    <w:p>
      <w:pPr>
        <w:pStyle w:val="2"/>
        <w:bidi w:val="0"/>
        <w:ind w:left="0" w:leftChars="0" w:firstLine="0" w:firstLineChars="0"/>
        <w:rPr>
          <w:rFonts w:hint="default"/>
          <w:lang w:val="en-US" w:eastAsia="zh-CN"/>
        </w:rPr>
      </w:pPr>
      <w:r>
        <w:rPr>
          <w:rFonts w:hint="eastAsia"/>
          <w:lang w:val="en-US" w:eastAsia="zh-CN"/>
        </w:rPr>
        <w:t>4、</w:t>
      </w:r>
      <w:r>
        <w:rPr>
          <w:rFonts w:hint="default"/>
          <w:lang w:val="en-US" w:eastAsia="zh-CN"/>
        </w:rPr>
        <w:t>技术支持</w:t>
      </w:r>
    </w:p>
    <w:p>
      <w:pPr>
        <w:pStyle w:val="2"/>
        <w:bidi w:val="0"/>
        <w:rPr>
          <w:rFonts w:hint="default"/>
          <w:lang w:val="en-US" w:eastAsia="zh-CN"/>
        </w:rPr>
      </w:pPr>
      <w:r>
        <w:rPr>
          <w:rFonts w:hint="default"/>
          <w:lang w:val="en-US" w:eastAsia="zh-CN"/>
        </w:rPr>
        <w:t>提供终身免费技术咨询。</w:t>
      </w:r>
    </w:p>
    <w:p>
      <w:pPr>
        <w:pStyle w:val="2"/>
        <w:bidi w:val="0"/>
        <w:ind w:left="0" w:leftChars="0" w:firstLine="0" w:firstLineChars="0"/>
        <w:rPr>
          <w:rFonts w:hint="eastAsia"/>
          <w:lang w:val="en-US" w:eastAsia="zh-CN"/>
        </w:rPr>
      </w:pPr>
      <w:r>
        <w:rPr>
          <w:rFonts w:hint="eastAsia"/>
          <w:lang w:val="en-US" w:eastAsia="zh-CN"/>
        </w:rPr>
        <w:t>5、文档要求</w:t>
      </w:r>
    </w:p>
    <w:p>
      <w:pPr>
        <w:pStyle w:val="2"/>
        <w:bidi w:val="0"/>
        <w:rPr>
          <w:rFonts w:hint="default"/>
          <w:lang w:val="en-US" w:eastAsia="zh-CN"/>
        </w:rPr>
      </w:pPr>
      <w:r>
        <w:rPr>
          <w:rFonts w:hint="default"/>
          <w:lang w:val="en-US" w:eastAsia="zh-CN"/>
        </w:rPr>
        <w:t>提供质保书及售后服务联系人。</w:t>
      </w:r>
    </w:p>
    <w:p>
      <w:pPr>
        <w:pStyle w:val="4"/>
        <w:bidi w:val="0"/>
        <w:rPr>
          <w:rFonts w:hint="eastAsia"/>
          <w:lang w:val="en-US" w:eastAsia="zh-CN"/>
        </w:rPr>
      </w:pPr>
      <w:r>
        <w:rPr>
          <w:rFonts w:hint="eastAsia"/>
          <w:lang w:val="en-US" w:eastAsia="zh-CN"/>
        </w:rPr>
        <w:t>5投标技术文件要求</w:t>
      </w:r>
    </w:p>
    <w:p>
      <w:pPr>
        <w:pStyle w:val="5"/>
        <w:bidi w:val="0"/>
        <w:rPr>
          <w:rFonts w:hint="default"/>
          <w:b/>
          <w:bCs w:val="0"/>
          <w:lang w:val="en-US" w:eastAsia="zh-CN"/>
        </w:rPr>
      </w:pPr>
      <w:r>
        <w:rPr>
          <w:rFonts w:hint="eastAsia"/>
          <w:b/>
          <w:bCs w:val="0"/>
          <w:lang w:val="en-US" w:eastAsia="zh-CN"/>
        </w:rPr>
        <w:t>5.1</w:t>
      </w:r>
      <w:r>
        <w:rPr>
          <w:rFonts w:hint="default"/>
          <w:b/>
          <w:bCs w:val="0"/>
          <w:lang w:val="en-US" w:eastAsia="zh-CN"/>
        </w:rPr>
        <w:t>技术方案</w:t>
      </w:r>
    </w:p>
    <w:p>
      <w:pPr>
        <w:pStyle w:val="2"/>
        <w:bidi w:val="0"/>
        <w:rPr>
          <w:rFonts w:hint="default"/>
          <w:lang w:val="en-US" w:eastAsia="zh-CN"/>
        </w:rPr>
      </w:pPr>
      <w:r>
        <w:rPr>
          <w:rFonts w:hint="default"/>
          <w:lang w:val="en-US" w:eastAsia="zh-CN"/>
        </w:rPr>
        <w:t>投标方应针对交付装置提供详尽的技术参数、技术说明。</w:t>
      </w:r>
    </w:p>
    <w:p>
      <w:pPr>
        <w:pStyle w:val="5"/>
        <w:bidi w:val="0"/>
        <w:rPr>
          <w:rFonts w:hint="default"/>
          <w:b/>
          <w:bCs w:val="0"/>
          <w:lang w:val="en-US" w:eastAsia="zh-CN"/>
        </w:rPr>
      </w:pPr>
      <w:r>
        <w:rPr>
          <w:rFonts w:hint="eastAsia"/>
          <w:b/>
          <w:bCs w:val="0"/>
          <w:lang w:val="en-US" w:eastAsia="zh-CN"/>
        </w:rPr>
        <w:t>5.2</w:t>
      </w:r>
      <w:r>
        <w:rPr>
          <w:rFonts w:hint="default"/>
          <w:b/>
          <w:bCs w:val="0"/>
          <w:lang w:val="en-US" w:eastAsia="zh-CN"/>
        </w:rPr>
        <w:t>项目管理实施</w:t>
      </w:r>
    </w:p>
    <w:p>
      <w:pPr>
        <w:pStyle w:val="2"/>
        <w:rPr>
          <w:rFonts w:hint="default"/>
          <w:lang w:val="en-US" w:eastAsia="zh-CN"/>
        </w:rPr>
      </w:pPr>
      <w:r>
        <w:rPr>
          <w:rFonts w:hint="default"/>
          <w:lang w:val="en-US" w:eastAsia="zh-CN"/>
        </w:rPr>
        <w:t>(1)项目进度及保障措施</w:t>
      </w:r>
    </w:p>
    <w:p>
      <w:pPr>
        <w:pStyle w:val="2"/>
        <w:rPr>
          <w:rFonts w:hint="default"/>
          <w:lang w:val="en-US" w:eastAsia="zh-CN"/>
        </w:rPr>
      </w:pPr>
      <w:r>
        <w:rPr>
          <w:rFonts w:hint="default"/>
          <w:lang w:val="en-US" w:eastAsia="zh-CN"/>
        </w:rPr>
        <w:t>(2)项目交付项</w:t>
      </w:r>
    </w:p>
    <w:p>
      <w:pPr>
        <w:pStyle w:val="2"/>
        <w:rPr>
          <w:rFonts w:hint="default"/>
          <w:lang w:val="en-US" w:eastAsia="zh-CN"/>
        </w:rPr>
      </w:pPr>
      <w:r>
        <w:rPr>
          <w:rFonts w:hint="default"/>
          <w:lang w:val="en-US" w:eastAsia="zh-CN"/>
        </w:rPr>
        <w:t>投标方根据验收要求应提交给招标方的交付文件等。</w:t>
      </w:r>
    </w:p>
    <w:p>
      <w:pPr>
        <w:pStyle w:val="5"/>
        <w:bidi w:val="0"/>
        <w:rPr>
          <w:rFonts w:hint="default"/>
          <w:b/>
          <w:bCs w:val="0"/>
          <w:lang w:val="en-US" w:eastAsia="zh-CN"/>
        </w:rPr>
      </w:pPr>
      <w:r>
        <w:rPr>
          <w:rFonts w:hint="eastAsia"/>
          <w:b/>
          <w:bCs w:val="0"/>
          <w:lang w:val="en-US" w:eastAsia="zh-CN"/>
        </w:rPr>
        <w:t>5.3</w:t>
      </w:r>
      <w:r>
        <w:rPr>
          <w:rFonts w:hint="default"/>
          <w:b/>
          <w:bCs w:val="0"/>
          <w:lang w:val="en-US" w:eastAsia="zh-CN"/>
        </w:rPr>
        <w:t>技术支持与售后服务</w:t>
      </w:r>
    </w:p>
    <w:p>
      <w:pPr>
        <w:pStyle w:val="2"/>
        <w:bidi w:val="0"/>
        <w:rPr>
          <w:rFonts w:hint="default"/>
          <w:lang w:val="en-US" w:eastAsia="zh-CN"/>
        </w:rPr>
      </w:pPr>
      <w:r>
        <w:rPr>
          <w:rFonts w:hint="default"/>
          <w:lang w:val="en-US" w:eastAsia="zh-CN"/>
        </w:rPr>
        <w:t>投标方要明确所能提供的售后服务等情况。</w:t>
      </w:r>
    </w:p>
    <w:p>
      <w:pPr>
        <w:pStyle w:val="5"/>
        <w:bidi w:val="0"/>
        <w:rPr>
          <w:rFonts w:hint="default"/>
          <w:b/>
          <w:bCs w:val="0"/>
          <w:lang w:val="en-US" w:eastAsia="zh-CN"/>
        </w:rPr>
      </w:pPr>
      <w:r>
        <w:rPr>
          <w:rFonts w:hint="eastAsia"/>
          <w:b/>
          <w:bCs w:val="0"/>
          <w:lang w:val="en-US" w:eastAsia="zh-CN"/>
        </w:rPr>
        <w:t>5.4</w:t>
      </w:r>
      <w:r>
        <w:rPr>
          <w:rFonts w:hint="default"/>
          <w:b/>
          <w:bCs w:val="0"/>
          <w:lang w:val="en-US" w:eastAsia="zh-CN"/>
        </w:rPr>
        <w:t>其它补充说明</w:t>
      </w:r>
    </w:p>
    <w:p>
      <w:pPr>
        <w:pStyle w:val="2"/>
        <w:bidi w:val="0"/>
        <w:rPr>
          <w:rFonts w:hint="default"/>
          <w:lang w:val="en-US" w:eastAsia="zh-CN"/>
        </w:rPr>
      </w:pPr>
      <w:r>
        <w:rPr>
          <w:rFonts w:hint="default"/>
          <w:lang w:val="en-US" w:eastAsia="zh-CN"/>
        </w:rPr>
        <w:t>投标方认为实现本文件的相关内容存在技术类或其它类风险，请详细说明，并提供相应的对策。</w:t>
      </w:r>
    </w:p>
    <w:p>
      <w:pPr>
        <w:pStyle w:val="4"/>
        <w:bidi w:val="0"/>
        <w:rPr>
          <w:rFonts w:hint="default"/>
          <w:lang w:val="en-US" w:eastAsia="zh-CN"/>
        </w:rPr>
      </w:pPr>
      <w:r>
        <w:rPr>
          <w:rFonts w:hint="eastAsia"/>
          <w:lang w:val="en-US" w:eastAsia="zh-CN"/>
        </w:rPr>
        <w:t>6</w:t>
      </w:r>
      <w:r>
        <w:rPr>
          <w:rFonts w:hint="default"/>
          <w:lang w:val="en-US" w:eastAsia="zh-CN"/>
        </w:rPr>
        <w:t>包装、运输、贮存和质量保证</w:t>
      </w:r>
    </w:p>
    <w:p>
      <w:pPr>
        <w:pStyle w:val="2"/>
        <w:bidi w:val="0"/>
        <w:rPr>
          <w:rFonts w:hint="default"/>
          <w:lang w:val="en-US" w:eastAsia="zh-CN"/>
        </w:rPr>
      </w:pPr>
      <w:r>
        <w:rPr>
          <w:rFonts w:hint="eastAsia"/>
          <w:lang w:val="en-US" w:eastAsia="zh-CN"/>
        </w:rPr>
        <w:t>（1）</w:t>
      </w:r>
      <w:r>
        <w:rPr>
          <w:rFonts w:hint="default"/>
          <w:lang w:val="en-US" w:eastAsia="zh-CN"/>
        </w:rPr>
        <w:t>包装、运输和贮存均由投标方负责，货物按需求分批运输及装卸的目的地为广东省广州市，物资抵达目的地后，投标方组织开箱验收。如果发现任一设备有偏差、损坏、损失、遗漏或数量、质量、技术规范因投标方的责任与合同不符，需求方有权向投标方提出索赔。</w:t>
      </w:r>
    </w:p>
    <w:p>
      <w:pPr>
        <w:pStyle w:val="2"/>
        <w:bidi w:val="0"/>
        <w:rPr>
          <w:rFonts w:hint="default"/>
          <w:lang w:val="en-US" w:eastAsia="zh-CN"/>
        </w:rPr>
      </w:pPr>
      <w:r>
        <w:rPr>
          <w:rFonts w:hint="eastAsia"/>
          <w:lang w:val="en-US" w:eastAsia="zh-CN"/>
        </w:rPr>
        <w:t>（2）</w:t>
      </w:r>
      <w:r>
        <w:rPr>
          <w:rFonts w:hint="default"/>
          <w:lang w:val="en-US" w:eastAsia="zh-CN"/>
        </w:rPr>
        <w:t>所有部件经妥善包装或装箱后，运输过程中尚应采取其它防护措施，以免散失损坏或被盗。</w:t>
      </w:r>
    </w:p>
    <w:p>
      <w:pPr>
        <w:pStyle w:val="2"/>
        <w:bidi w:val="0"/>
        <w:rPr>
          <w:rFonts w:hint="default"/>
          <w:lang w:val="en-US" w:eastAsia="zh-CN"/>
        </w:rPr>
      </w:pPr>
      <w:r>
        <w:rPr>
          <w:rFonts w:hint="eastAsia"/>
          <w:lang w:val="en-US" w:eastAsia="zh-CN"/>
        </w:rPr>
        <w:t>（3）</w:t>
      </w:r>
      <w:r>
        <w:rPr>
          <w:rFonts w:hint="default"/>
          <w:lang w:val="en-US" w:eastAsia="zh-CN"/>
        </w:rPr>
        <w:t>在包装箱外应标明需方的订货号、发货号。</w:t>
      </w:r>
    </w:p>
    <w:p>
      <w:pPr>
        <w:pStyle w:val="2"/>
        <w:bidi w:val="0"/>
        <w:rPr>
          <w:rFonts w:hint="default"/>
          <w:lang w:val="en-US" w:eastAsia="zh-CN"/>
        </w:rPr>
      </w:pPr>
      <w:r>
        <w:rPr>
          <w:rFonts w:hint="eastAsia"/>
          <w:lang w:val="en-US" w:eastAsia="zh-CN"/>
        </w:rPr>
        <w:t>（4）</w:t>
      </w:r>
      <w:r>
        <w:rPr>
          <w:rFonts w:hint="default"/>
          <w:lang w:val="en-US" w:eastAsia="zh-CN"/>
        </w:rPr>
        <w:t>各种包装应能确保各零部件在运输过程中不致遭到损坏、丢失、变形、受潮和腐蚀。</w:t>
      </w:r>
    </w:p>
    <w:p>
      <w:pPr>
        <w:pStyle w:val="2"/>
        <w:bidi w:val="0"/>
        <w:rPr>
          <w:rFonts w:hint="default"/>
          <w:lang w:val="en-US" w:eastAsia="zh-CN"/>
        </w:rPr>
      </w:pPr>
      <w:r>
        <w:rPr>
          <w:rFonts w:hint="eastAsia"/>
          <w:lang w:val="en-US" w:eastAsia="zh-CN"/>
        </w:rPr>
        <w:t>（5）</w:t>
      </w:r>
      <w:r>
        <w:rPr>
          <w:rFonts w:hint="default"/>
          <w:lang w:val="en-US" w:eastAsia="zh-CN"/>
        </w:rPr>
        <w:t>包装箱上应有明显的包装储运图示标志(按GB191)。</w:t>
      </w:r>
    </w:p>
    <w:p>
      <w:pPr>
        <w:pStyle w:val="2"/>
        <w:bidi w:val="0"/>
        <w:rPr>
          <w:rFonts w:hint="default"/>
          <w:lang w:val="en-US" w:eastAsia="zh-CN"/>
        </w:rPr>
      </w:pPr>
      <w:r>
        <w:rPr>
          <w:rFonts w:hint="eastAsia"/>
          <w:lang w:val="en-US" w:eastAsia="zh-CN"/>
        </w:rPr>
        <w:t>（6）</w:t>
      </w:r>
      <w:r>
        <w:rPr>
          <w:rFonts w:hint="default"/>
          <w:lang w:val="en-US" w:eastAsia="zh-CN"/>
        </w:rPr>
        <w:t>整体产品或分别运输的部件都要适合运输和装载的要求。</w:t>
      </w:r>
    </w:p>
    <w:p>
      <w:pPr>
        <w:pStyle w:val="2"/>
        <w:bidi w:val="0"/>
        <w:rPr>
          <w:rFonts w:hint="default"/>
          <w:lang w:val="en-US" w:eastAsia="zh-CN"/>
        </w:rPr>
      </w:pPr>
      <w:r>
        <w:rPr>
          <w:rFonts w:hint="eastAsia"/>
          <w:lang w:val="en-US" w:eastAsia="zh-CN"/>
        </w:rPr>
        <w:t>（7）</w:t>
      </w:r>
      <w:r>
        <w:rPr>
          <w:rFonts w:hint="default"/>
          <w:lang w:val="en-US" w:eastAsia="zh-CN"/>
        </w:rPr>
        <w:t>随产品提供的技术资料应完整无缺，提供份额符合GB11032的要求。</w:t>
      </w:r>
    </w:p>
    <w:p>
      <w:pPr>
        <w:pStyle w:val="2"/>
        <w:bidi w:val="0"/>
        <w:rPr>
          <w:rFonts w:hint="default"/>
          <w:lang w:val="en-US" w:eastAsia="zh-CN"/>
        </w:rPr>
      </w:pPr>
      <w:r>
        <w:rPr>
          <w:rFonts w:hint="eastAsia"/>
          <w:lang w:val="en-US" w:eastAsia="zh-CN"/>
        </w:rPr>
        <w:t>（8）</w:t>
      </w:r>
      <w:r>
        <w:rPr>
          <w:rFonts w:hint="default"/>
          <w:lang w:val="en-US" w:eastAsia="zh-CN"/>
        </w:rPr>
        <w:t>设备制造完成并通过试验后应及时包装，否则应得到切实的保护，确保其不受污损。</w:t>
      </w:r>
    </w:p>
    <w:p>
      <w:pPr>
        <w:pStyle w:val="2"/>
        <w:bidi w:val="0"/>
        <w:rPr>
          <w:rFonts w:hint="default"/>
          <w:lang w:val="en-US" w:eastAsia="zh-CN"/>
        </w:rPr>
      </w:pPr>
      <w:r>
        <w:rPr>
          <w:rFonts w:hint="eastAsia"/>
          <w:lang w:val="en-US" w:eastAsia="zh-CN"/>
        </w:rPr>
        <w:t>（9）</w:t>
      </w:r>
      <w:r>
        <w:rPr>
          <w:rFonts w:hint="default"/>
          <w:lang w:val="en-US" w:eastAsia="zh-CN"/>
        </w:rPr>
        <w:t>订购的新产品除应满足本条件书外，投标方还应提供产品的合格证书。</w:t>
      </w:r>
    </w:p>
    <w:p>
      <w:pPr>
        <w:pStyle w:val="2"/>
        <w:bidi w:val="0"/>
        <w:rPr>
          <w:rFonts w:hint="default"/>
          <w:lang w:val="en-US" w:eastAsia="zh-CN"/>
        </w:rPr>
      </w:pPr>
      <w:r>
        <w:rPr>
          <w:rFonts w:hint="eastAsia"/>
          <w:lang w:val="en-US" w:eastAsia="zh-CN"/>
        </w:rPr>
        <w:t>（10）</w:t>
      </w:r>
      <w:r>
        <w:rPr>
          <w:rFonts w:hint="default"/>
          <w:lang w:val="en-US" w:eastAsia="zh-CN"/>
        </w:rPr>
        <w:t>投标方应保证制造过程中的所有工艺、材料等（包括投标方的外构件在内）均应符合规范书的规定。若需求方根据运行经验指定投标方提供某种外购零部件，投标方应积极配合。</w:t>
      </w:r>
    </w:p>
    <w:p>
      <w:pPr>
        <w:pStyle w:val="2"/>
        <w:bidi w:val="0"/>
        <w:rPr>
          <w:rFonts w:hint="default"/>
          <w:lang w:val="en-US" w:eastAsia="zh-CN"/>
        </w:rPr>
      </w:pPr>
      <w:r>
        <w:rPr>
          <w:rFonts w:hint="eastAsia"/>
          <w:lang w:val="en-US" w:eastAsia="zh-CN"/>
        </w:rPr>
        <w:t>（11）</w:t>
      </w:r>
      <w:r>
        <w:rPr>
          <w:rFonts w:hint="default"/>
          <w:lang w:val="en-US" w:eastAsia="zh-CN"/>
        </w:rPr>
        <w:t>投标方提供产品应与送样检测合格产品保持一致。</w:t>
      </w:r>
    </w:p>
    <w:p>
      <w:pPr>
        <w:pStyle w:val="2"/>
        <w:bidi w:val="0"/>
        <w:rPr>
          <w:rFonts w:hint="default"/>
          <w:lang w:val="en-US" w:eastAsia="zh-CN"/>
        </w:rPr>
      </w:pPr>
      <w:r>
        <w:rPr>
          <w:rFonts w:hint="eastAsia"/>
          <w:lang w:val="en-US" w:eastAsia="zh-CN"/>
        </w:rPr>
        <w:t>（12）</w:t>
      </w:r>
      <w:r>
        <w:rPr>
          <w:rFonts w:hint="default"/>
          <w:lang w:val="en-US" w:eastAsia="zh-CN"/>
        </w:rPr>
        <w:t>投标方应遵守本条件书中各条款和工作项目的ISO9000GB/T1900质量保证体系，该质量保证体系经过国家认证和正常运转。</w:t>
      </w:r>
    </w:p>
    <w:p>
      <w:pPr>
        <w:pStyle w:val="4"/>
        <w:bidi w:val="0"/>
        <w:rPr>
          <w:rFonts w:hint="default"/>
          <w:lang w:val="en-US" w:eastAsia="zh-CN"/>
        </w:rPr>
      </w:pPr>
      <w:r>
        <w:rPr>
          <w:rFonts w:hint="eastAsia"/>
          <w:lang w:val="en-US" w:eastAsia="zh-CN"/>
        </w:rPr>
        <w:t>7</w:t>
      </w:r>
      <w:r>
        <w:rPr>
          <w:rFonts w:hint="default"/>
          <w:lang w:val="en-US" w:eastAsia="zh-CN"/>
        </w:rPr>
        <w:t>自主可控要求</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4"/>
        <w:gridCol w:w="5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25" w:type="dxa"/>
          </w:tcPr>
          <w:p>
            <w:pPr>
              <w:pStyle w:val="2"/>
              <w:bidi w:val="0"/>
              <w:jc w:val="center"/>
              <w:rPr>
                <w:rFonts w:hint="default"/>
                <w:b/>
                <w:bCs/>
                <w:sz w:val="21"/>
                <w:szCs w:val="21"/>
                <w:lang w:val="en-US" w:eastAsia="zh-CN"/>
              </w:rPr>
            </w:pPr>
            <w:r>
              <w:rPr>
                <w:rFonts w:hint="eastAsia"/>
                <w:b/>
                <w:bCs/>
                <w:sz w:val="21"/>
                <w:szCs w:val="21"/>
                <w:lang w:val="en-US" w:eastAsia="zh-CN"/>
              </w:rPr>
              <w:t>管控项</w:t>
            </w:r>
          </w:p>
        </w:tc>
        <w:tc>
          <w:tcPr>
            <w:tcW w:w="6003" w:type="dxa"/>
          </w:tcPr>
          <w:p>
            <w:pPr>
              <w:pStyle w:val="2"/>
              <w:bidi w:val="0"/>
              <w:jc w:val="center"/>
              <w:rPr>
                <w:rFonts w:hint="default"/>
                <w:b/>
                <w:bCs/>
                <w:sz w:val="21"/>
                <w:szCs w:val="21"/>
                <w:lang w:val="en-US" w:eastAsia="zh-CN"/>
              </w:rPr>
            </w:pPr>
            <w:r>
              <w:rPr>
                <w:rFonts w:hint="eastAsia"/>
                <w:b/>
                <w:bCs/>
                <w:sz w:val="21"/>
                <w:szCs w:val="21"/>
                <w:lang w:val="en-US" w:eastAsia="zh-CN"/>
              </w:rPr>
              <w:t>管控要求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5" w:type="dxa"/>
          </w:tcPr>
          <w:p>
            <w:pPr>
              <w:pStyle w:val="2"/>
              <w:bidi w:val="0"/>
              <w:rPr>
                <w:rFonts w:hint="default"/>
                <w:sz w:val="21"/>
                <w:szCs w:val="21"/>
                <w:lang w:val="en-US" w:eastAsia="zh-CN"/>
              </w:rPr>
            </w:pPr>
            <w:r>
              <w:rPr>
                <w:rFonts w:hint="default"/>
                <w:sz w:val="21"/>
                <w:szCs w:val="21"/>
                <w:lang w:val="en-US" w:eastAsia="zh-CN"/>
              </w:rPr>
              <w:t>软硬件资源要求</w:t>
            </w:r>
          </w:p>
        </w:tc>
        <w:tc>
          <w:tcPr>
            <w:tcW w:w="6003" w:type="dxa"/>
          </w:tcPr>
          <w:p>
            <w:pPr>
              <w:pStyle w:val="2"/>
              <w:bidi w:val="0"/>
              <w:ind w:left="0" w:leftChars="0" w:firstLine="0" w:firstLineChars="0"/>
              <w:rPr>
                <w:rFonts w:hint="default"/>
                <w:sz w:val="21"/>
                <w:szCs w:val="21"/>
                <w:lang w:val="en-US" w:eastAsia="zh-CN"/>
              </w:rPr>
            </w:pPr>
            <w:r>
              <w:rPr>
                <w:rFonts w:hint="default"/>
                <w:sz w:val="21"/>
                <w:szCs w:val="21"/>
                <w:lang w:val="en-US" w:eastAsia="zh-CN"/>
              </w:rPr>
              <w:t>投标方所涉及的服务器、操作系统、数据库、芯片、中间件等基础软硬件产品需符合自主可控应用要求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5" w:type="dxa"/>
          </w:tcPr>
          <w:p>
            <w:pPr>
              <w:pStyle w:val="2"/>
              <w:bidi w:val="0"/>
              <w:rPr>
                <w:rFonts w:hint="default"/>
                <w:sz w:val="21"/>
                <w:szCs w:val="21"/>
                <w:lang w:val="en-US" w:eastAsia="zh-CN"/>
              </w:rPr>
            </w:pPr>
            <w:r>
              <w:rPr>
                <w:rFonts w:hint="default"/>
                <w:sz w:val="21"/>
                <w:szCs w:val="21"/>
                <w:lang w:val="en-US" w:eastAsia="zh-CN"/>
              </w:rPr>
              <w:t>运行环境要求</w:t>
            </w:r>
          </w:p>
        </w:tc>
        <w:tc>
          <w:tcPr>
            <w:tcW w:w="6003" w:type="dxa"/>
          </w:tcPr>
          <w:p>
            <w:pPr>
              <w:pStyle w:val="2"/>
              <w:bidi w:val="0"/>
              <w:ind w:left="0" w:leftChars="0" w:firstLine="0" w:firstLineChars="0"/>
              <w:rPr>
                <w:rFonts w:hint="default"/>
                <w:sz w:val="21"/>
                <w:szCs w:val="21"/>
                <w:lang w:val="en-US" w:eastAsia="zh-CN"/>
              </w:rPr>
            </w:pPr>
            <w:r>
              <w:rPr>
                <w:rFonts w:hint="default"/>
                <w:sz w:val="21"/>
                <w:szCs w:val="21"/>
                <w:lang w:val="en-US" w:eastAsia="zh-CN"/>
              </w:rPr>
              <w:t>需满足自主可控标准运行环境要求，投标方所涉及的服务器、终端、操作系统、数据库、中间件等运行环境信息需满足自主可控要求。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5" w:type="dxa"/>
          </w:tcPr>
          <w:p>
            <w:pPr>
              <w:pStyle w:val="2"/>
              <w:bidi w:val="0"/>
              <w:rPr>
                <w:rFonts w:hint="default"/>
                <w:sz w:val="21"/>
                <w:szCs w:val="21"/>
                <w:lang w:val="en-US" w:eastAsia="zh-CN"/>
              </w:rPr>
            </w:pPr>
            <w:r>
              <w:rPr>
                <w:rFonts w:hint="default"/>
                <w:sz w:val="21"/>
                <w:szCs w:val="21"/>
                <w:lang w:val="en-US" w:eastAsia="zh-CN"/>
              </w:rPr>
              <w:t>运行环境要求</w:t>
            </w:r>
          </w:p>
        </w:tc>
        <w:tc>
          <w:tcPr>
            <w:tcW w:w="6003" w:type="dxa"/>
          </w:tcPr>
          <w:p>
            <w:pPr>
              <w:pStyle w:val="2"/>
              <w:bidi w:val="0"/>
              <w:ind w:left="0" w:leftChars="0" w:firstLine="0" w:firstLineChars="0"/>
              <w:rPr>
                <w:rFonts w:hint="default"/>
                <w:sz w:val="21"/>
                <w:szCs w:val="21"/>
                <w:lang w:val="en-US" w:eastAsia="zh-CN"/>
              </w:rPr>
            </w:pPr>
            <w:r>
              <w:rPr>
                <w:rFonts w:hint="default"/>
                <w:sz w:val="21"/>
                <w:szCs w:val="21"/>
                <w:lang w:val="en-US" w:eastAsia="zh-CN"/>
              </w:rPr>
              <w:t>依照《南方电网信息领域基础软硬件自主可控适配目录》相关要求，投标方所涉及的服务器、操作系统、数据库、中间件、终端相关技术路线需满足南方电网公司自主可控要求。</w:t>
            </w:r>
          </w:p>
        </w:tc>
      </w:tr>
    </w:tbl>
    <w:p>
      <w:pPr>
        <w:pStyle w:val="2"/>
        <w:bidi w:val="0"/>
        <w:ind w:left="0" w:leftChars="0" w:firstLine="0" w:firstLineChars="0"/>
        <w:rPr>
          <w:rFonts w:hint="default"/>
          <w:lang w:val="en-US" w:eastAsia="zh-CN"/>
        </w:rPr>
      </w:pPr>
    </w:p>
    <w:p>
      <w:pPr>
        <w:pStyle w:val="2"/>
        <w:bidi w:val="0"/>
      </w:pPr>
      <w:r>
        <w:rPr>
          <w:rFonts w:hint="default"/>
          <w:lang w:val="en-US" w:eastAsia="zh-CN"/>
        </w:rPr>
        <w:t>依照《南方电网信息领域基础软硬件自主可控适配目录》相关要求，投标方所涉及的服务器、操作系统、数据库、中间件、终端相关技术路线需满足南方电网公司自主可控要求。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6E451C"/>
    <w:multiLevelType w:val="singleLevel"/>
    <w:tmpl w:val="C56E451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21D49"/>
    <w:rsid w:val="11F21D49"/>
    <w:rsid w:val="1C562D00"/>
    <w:rsid w:val="24E912B0"/>
    <w:rsid w:val="2AFE28DC"/>
    <w:rsid w:val="3DD10484"/>
    <w:rsid w:val="6D9A6B87"/>
    <w:rsid w:val="78592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4">
    <w:name w:val="heading 1"/>
    <w:basedOn w:val="3"/>
    <w:next w:val="5"/>
    <w:qFormat/>
    <w:uiPriority w:val="0"/>
    <w:pPr>
      <w:keepNext/>
      <w:keepLines/>
      <w:spacing w:beforeLines="0" w:beforeAutospacing="0" w:after="20" w:afterLines="0" w:afterAutospacing="0" w:line="360" w:lineRule="auto"/>
      <w:jc w:val="left"/>
      <w:outlineLvl w:val="0"/>
    </w:pPr>
    <w:rPr>
      <w:rFonts w:ascii="宋体" w:hAnsi="宋体" w:eastAsia="宋体"/>
      <w:kern w:val="44"/>
      <w:sz w:val="30"/>
    </w:rPr>
  </w:style>
  <w:style w:type="paragraph" w:styleId="5">
    <w:name w:val="heading 2"/>
    <w:next w:val="2"/>
    <w:unhideWhenUsed/>
    <w:qFormat/>
    <w:uiPriority w:val="0"/>
    <w:pPr>
      <w:keepNext/>
      <w:keepLines/>
      <w:spacing w:before="260" w:beforeLines="0" w:beforeAutospacing="0" w:after="20" w:afterLines="0" w:afterAutospacing="0" w:line="240" w:lineRule="auto"/>
      <w:outlineLvl w:val="1"/>
    </w:pPr>
    <w:rPr>
      <w:rFonts w:ascii="Arial" w:hAnsi="Arial" w:eastAsia="宋体" w:cstheme="minorBidi"/>
      <w:b/>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ind w:firstLine="562" w:firstLineChars="200"/>
    </w:pPr>
    <w:rPr>
      <w:rFonts w:ascii="宋体" w:hAnsi="宋体" w:eastAsia="宋体"/>
      <w:sz w:val="28"/>
    </w:rPr>
  </w:style>
  <w:style w:type="paragraph" w:styleId="3">
    <w:name w:val="Title"/>
    <w:basedOn w:val="1"/>
    <w:next w:val="1"/>
    <w:qFormat/>
    <w:uiPriority w:val="0"/>
    <w:pPr>
      <w:spacing w:before="240" w:after="60"/>
      <w:jc w:val="center"/>
      <w:outlineLvl w:val="0"/>
    </w:pPr>
    <w:rPr>
      <w:rFonts w:ascii="等线 Light" w:hAnsi="等线 Light" w:cs="Times New Roman"/>
      <w:b/>
      <w:bCs/>
      <w:sz w:val="32"/>
      <w:szCs w:val="32"/>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封面一级标题文字"/>
    <w:basedOn w:val="1"/>
    <w:qFormat/>
    <w:uiPriority w:val="0"/>
    <w:pPr>
      <w:widowControl w:val="0"/>
      <w:spacing w:line="640" w:lineRule="exact"/>
      <w:ind w:firstLine="200" w:firstLineChars="200"/>
      <w:jc w:val="center"/>
    </w:pPr>
    <w:rPr>
      <w:rFonts w:ascii="黑体" w:hAnsi="黑体" w:eastAsia="黑体" w:cs="Times New Roman"/>
      <w:b/>
      <w:bCs/>
      <w:kern w:val="2"/>
      <w:sz w:val="5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2025-07-31T00:58:00Z</dcterms:created>
  <dc:creator>加长版超级无敌噼里啪啦阿姆斯特朗回旋喷气式阿姆斯特朗镭射加农炮-</dc:creator>
  <cp:lastModifiedBy>AAE52E0F24C3483F895ACCEA9ADACA4B</cp:lastModifiedBy>
  <dcterms:modified xsi:type="dcterms:W3CDTF">2025-08-21T01:14:30Z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A312E8297C8145BD8E28C78A5033D2C1_11</vt:lpwstr>
  </property>
  <property fmtid="{D5CDD505-2E9C-101B-9397-08002B2CF9AE}" pid="4" name="KSOTemplateDocerSaveRecord">
    <vt:lpwstr>eyJoZGlkIjoiMTNkYjk0MzU4MDUwNDA3ZjhmOTM4MDlmMjU5OTU5NWUiLCJ1c2VySWQiOiI0MDcwNzU3MTQifQ==</vt:lpwstr>
  </property>
</Properties>
</file>