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color w:val="auto"/>
          <w:sz w:val="21"/>
          <w:szCs w:val="21"/>
        </w:rPr>
      </w:pPr>
      <w:r>
        <w:rPr>
          <w:b/>
          <w:color w:val="auto"/>
          <w:sz w:val="28"/>
          <w:szCs w:val="28"/>
          <w:highlight w:val="none"/>
        </w:rPr>
        <w:pict>
          <v:shape id="图片 2" o:spid="_x0000_s2064" o:spt="75" alt="会议封面-空白-A4" type="#_x0000_t75" style="position:absolute;left:0pt;margin-left:-110.4pt;margin-top:-79.25pt;height:886.35pt;width:621pt;z-index:-251657216;mso-width-relative:page;mso-height-relative:page;" filled="f" o:preferrelative="t" stroked="f" coordsize="21600,21600">
            <v:path/>
            <v:fill on="f" focussize="0,0"/>
            <v:stroke on="f"/>
            <v:imagedata r:id="rId14" o:title="会议封面-空白-A4"/>
            <o:lock v:ext="edit" aspectratio="t"/>
          </v:shape>
        </w:pict>
      </w:r>
    </w:p>
    <w:p>
      <w:pPr>
        <w:spacing w:line="360" w:lineRule="auto"/>
        <w:rPr>
          <w:color w:val="auto"/>
          <w:sz w:val="21"/>
          <w:szCs w:val="21"/>
        </w:rPr>
      </w:pPr>
    </w:p>
    <w:p>
      <w:pPr>
        <w:spacing w:line="360" w:lineRule="auto"/>
        <w:rPr>
          <w:color w:val="auto"/>
          <w:sz w:val="21"/>
          <w:szCs w:val="21"/>
        </w:rPr>
      </w:pPr>
    </w:p>
    <w:p>
      <w:pPr>
        <w:spacing w:line="360" w:lineRule="auto"/>
        <w:rPr>
          <w:color w:val="auto"/>
          <w:sz w:val="21"/>
          <w:szCs w:val="21"/>
        </w:rPr>
      </w:pPr>
    </w:p>
    <w:p>
      <w:pPr>
        <w:spacing w:line="360" w:lineRule="auto"/>
        <w:rPr>
          <w:color w:val="auto"/>
          <w:sz w:val="21"/>
          <w:szCs w:val="21"/>
        </w:rPr>
      </w:pPr>
    </w:p>
    <w:p>
      <w:pPr>
        <w:spacing w:line="360" w:lineRule="auto"/>
        <w:rPr>
          <w:color w:val="auto"/>
          <w:sz w:val="21"/>
          <w:szCs w:val="21"/>
        </w:rPr>
      </w:pPr>
    </w:p>
    <w:p>
      <w:pPr>
        <w:spacing w:line="360" w:lineRule="auto"/>
        <w:rPr>
          <w:color w:val="auto"/>
          <w:sz w:val="21"/>
          <w:szCs w:val="21"/>
        </w:rPr>
      </w:pPr>
    </w:p>
    <w:p>
      <w:pPr>
        <w:spacing w:line="360" w:lineRule="auto"/>
        <w:rPr>
          <w:bCs/>
          <w:color w:val="auto"/>
          <w:sz w:val="21"/>
          <w:szCs w:val="21"/>
        </w:rPr>
      </w:pPr>
    </w:p>
    <w:p>
      <w:pPr>
        <w:spacing w:line="360" w:lineRule="auto"/>
        <w:jc w:val="center"/>
        <w:rPr>
          <w:bCs/>
          <w:color w:val="auto"/>
          <w:sz w:val="21"/>
          <w:szCs w:val="21"/>
        </w:rPr>
      </w:pPr>
    </w:p>
    <w:p>
      <w:pPr>
        <w:spacing w:line="360" w:lineRule="auto"/>
        <w:jc w:val="center"/>
        <w:rPr>
          <w:bCs/>
          <w:color w:val="auto"/>
          <w:sz w:val="21"/>
          <w:szCs w:val="21"/>
        </w:rPr>
      </w:pPr>
    </w:p>
    <w:p>
      <w:pPr>
        <w:spacing w:before="240" w:beforeLines="100" w:after="600" w:afterLines="250"/>
        <w:jc w:val="center"/>
        <w:rPr>
          <w:b/>
          <w:bCs/>
          <w:color w:val="auto"/>
          <w:sz w:val="52"/>
          <w:szCs w:val="52"/>
        </w:rPr>
      </w:pPr>
      <w:r>
        <w:rPr>
          <w:color w:val="auto"/>
          <w:sz w:val="21"/>
          <w:szCs w:val="21"/>
        </w:rPr>
        <w:t xml:space="preserve"> </w:t>
      </w:r>
      <w:r>
        <w:rPr>
          <w:b/>
          <w:color w:val="auto"/>
          <w:sz w:val="52"/>
          <w:szCs w:val="52"/>
        </w:rPr>
        <w:t xml:space="preserve"> 物资名称：</w:t>
      </w:r>
      <w:r>
        <w:rPr>
          <w:rFonts w:hint="eastAsia"/>
          <w:b/>
          <w:bCs/>
          <w:color w:val="auto"/>
          <w:sz w:val="52"/>
          <w:szCs w:val="52"/>
        </w:rPr>
        <w:t>电容</w:t>
      </w:r>
      <w:r>
        <w:rPr>
          <w:rFonts w:hint="eastAsia"/>
          <w:b/>
          <w:bCs/>
          <w:color w:val="auto"/>
          <w:sz w:val="52"/>
          <w:szCs w:val="52"/>
          <w:lang w:val="en-US" w:eastAsia="zh-CN"/>
        </w:rPr>
        <w:t>器</w:t>
      </w:r>
      <w:r>
        <w:rPr>
          <w:rFonts w:hint="eastAsia"/>
          <w:b/>
          <w:bCs/>
          <w:color w:val="auto"/>
          <w:sz w:val="52"/>
          <w:szCs w:val="52"/>
        </w:rPr>
        <w:t>放电棒</w:t>
      </w:r>
    </w:p>
    <w:p>
      <w:pPr>
        <w:spacing w:before="240" w:beforeLines="100" w:after="600" w:afterLines="250"/>
        <w:jc w:val="center"/>
        <w:rPr>
          <w:b/>
          <w:color w:val="auto"/>
          <w:sz w:val="52"/>
          <w:szCs w:val="52"/>
        </w:rPr>
      </w:pPr>
      <w:r>
        <w:rPr>
          <w:b/>
          <w:bCs/>
          <w:color w:val="auto"/>
          <w:sz w:val="52"/>
          <w:szCs w:val="52"/>
        </w:rPr>
        <w:t>技术条件书</w:t>
      </w:r>
    </w:p>
    <w:p>
      <w:pPr>
        <w:spacing w:before="480" w:beforeLines="200"/>
        <w:jc w:val="center"/>
        <w:rPr>
          <w:b/>
          <w:color w:val="auto"/>
          <w:sz w:val="36"/>
        </w:rPr>
      </w:pPr>
    </w:p>
    <w:p>
      <w:pPr>
        <w:spacing w:before="480" w:beforeLines="200"/>
        <w:jc w:val="center"/>
        <w:rPr>
          <w:b/>
          <w:color w:val="auto"/>
          <w:sz w:val="36"/>
        </w:rPr>
      </w:pPr>
      <w:r>
        <w:rPr>
          <w:b/>
          <w:color w:val="auto"/>
          <w:sz w:val="36"/>
        </w:rPr>
        <w:t>编号：</w:t>
      </w:r>
    </w:p>
    <w:p>
      <w:pPr>
        <w:spacing w:before="480" w:beforeLines="200"/>
        <w:rPr>
          <w:b/>
          <w:color w:val="auto"/>
          <w:spacing w:val="20"/>
          <w:w w:val="135"/>
          <w:sz w:val="30"/>
        </w:rPr>
      </w:pPr>
    </w:p>
    <w:p>
      <w:pPr>
        <w:spacing w:before="480" w:beforeLines="200"/>
        <w:rPr>
          <w:b/>
          <w:color w:val="auto"/>
          <w:spacing w:val="20"/>
          <w:w w:val="135"/>
          <w:sz w:val="30"/>
        </w:rPr>
      </w:pPr>
    </w:p>
    <w:p>
      <w:pPr>
        <w:jc w:val="center"/>
        <w:rPr>
          <w:rStyle w:val="51"/>
          <w:rFonts w:hint="eastAsia"/>
          <w:b/>
          <w:sz w:val="40"/>
          <w:szCs w:val="40"/>
        </w:rPr>
      </w:pPr>
    </w:p>
    <w:p>
      <w:pPr>
        <w:jc w:val="center"/>
        <w:rPr>
          <w:rStyle w:val="51"/>
          <w:rFonts w:hint="eastAsia" w:eastAsia="宋体"/>
          <w:b/>
          <w:sz w:val="44"/>
          <w:szCs w:val="44"/>
          <w:lang w:eastAsia="zh-CN"/>
        </w:rPr>
      </w:pPr>
      <w:r>
        <w:rPr>
          <w:rStyle w:val="51"/>
          <w:rFonts w:hint="eastAsia"/>
          <w:b/>
          <w:sz w:val="40"/>
          <w:szCs w:val="40"/>
        </w:rPr>
        <w:t>海南电网有限责任</w:t>
      </w:r>
      <w:r>
        <w:rPr>
          <w:rStyle w:val="51"/>
          <w:rFonts w:hint="eastAsia"/>
          <w:b/>
          <w:sz w:val="40"/>
          <w:szCs w:val="40"/>
          <w:lang w:val="en-US" w:eastAsia="zh-CN"/>
        </w:rPr>
        <w:t>公司</w:t>
      </w:r>
      <w:bookmarkStart w:id="63" w:name="_GoBack"/>
      <w:bookmarkEnd w:id="63"/>
      <w:r>
        <w:rPr>
          <w:rStyle w:val="51"/>
          <w:rFonts w:hint="eastAsia"/>
          <w:b/>
          <w:sz w:val="40"/>
          <w:szCs w:val="40"/>
          <w:lang w:eastAsia="zh-CN"/>
        </w:rPr>
        <w:t>海口变电运检分公司</w:t>
      </w:r>
    </w:p>
    <w:p>
      <w:pPr>
        <w:spacing w:before="480" w:beforeLines="200"/>
        <w:ind w:firstLine="2637" w:firstLineChars="500"/>
        <w:jc w:val="both"/>
        <w:rPr>
          <w:rFonts w:hint="eastAsia" w:ascii="宋体" w:hAnsi="宋体"/>
          <w:b/>
          <w:sz w:val="36"/>
          <w:szCs w:val="36"/>
        </w:rPr>
      </w:pPr>
      <w:r>
        <w:rPr>
          <w:rFonts w:hint="eastAsia" w:ascii="宋体" w:hAnsi="宋体"/>
          <w:b/>
          <w:spacing w:val="20"/>
          <w:w w:val="135"/>
          <w:sz w:val="36"/>
          <w:szCs w:val="36"/>
          <w:lang w:val="en-US" w:eastAsia="zh-CN"/>
        </w:rPr>
        <w:t>2025</w:t>
      </w:r>
      <w:r>
        <w:rPr>
          <w:rFonts w:hint="eastAsia" w:ascii="宋体" w:hAnsi="宋体"/>
          <w:b/>
          <w:spacing w:val="20"/>
          <w:w w:val="135"/>
          <w:sz w:val="36"/>
          <w:szCs w:val="36"/>
        </w:rPr>
        <w:t>年</w:t>
      </w:r>
      <w:r>
        <w:rPr>
          <w:rFonts w:hint="eastAsia" w:ascii="宋体" w:hAnsi="宋体"/>
          <w:b/>
          <w:spacing w:val="20"/>
          <w:w w:val="135"/>
          <w:sz w:val="36"/>
          <w:szCs w:val="36"/>
          <w:lang w:val="en-US" w:eastAsia="zh-CN"/>
        </w:rPr>
        <w:t>8</w:t>
      </w:r>
      <w:r>
        <w:rPr>
          <w:rFonts w:hint="eastAsia" w:ascii="宋体" w:hAnsi="宋体"/>
          <w:b/>
          <w:spacing w:val="20"/>
          <w:w w:val="135"/>
          <w:sz w:val="36"/>
          <w:szCs w:val="36"/>
        </w:rPr>
        <w:t>月</w:t>
      </w:r>
    </w:p>
    <w:p>
      <w:pPr>
        <w:spacing w:before="480" w:beforeLines="200" w:line="240" w:lineRule="auto"/>
        <w:jc w:val="center"/>
        <w:rPr>
          <w:rFonts w:hint="eastAsia" w:ascii="宋体" w:hAnsi="宋体" w:eastAsia="宋体" w:cs="宋体"/>
          <w:highlight w:val="none"/>
        </w:rPr>
        <w:sectPr>
          <w:headerReference r:id="rId4" w:type="first"/>
          <w:headerReference r:id="rId3" w:type="default"/>
          <w:footerReference r:id="rId5" w:type="default"/>
          <w:footerReference r:id="rId6" w:type="even"/>
          <w:pgSz w:w="11907" w:h="16839"/>
          <w:pgMar w:top="1440" w:right="1701" w:bottom="1440" w:left="1701" w:header="964" w:footer="737" w:gutter="0"/>
          <w:pgBorders w:offsetFrom="page">
            <w:top w:val="none" w:sz="0" w:space="0"/>
            <w:left w:val="none" w:sz="0" w:space="0"/>
            <w:bottom w:val="none" w:sz="0" w:space="0"/>
            <w:right w:val="none" w:sz="0" w:space="0"/>
          </w:pgBorders>
          <w:pgNumType w:start="1"/>
          <w:cols w:space="720" w:num="1"/>
          <w:titlePg/>
          <w:docGrid w:linePitch="312" w:charSpace="0"/>
        </w:sectPr>
      </w:pPr>
    </w:p>
    <w:p>
      <w:pPr>
        <w:pStyle w:val="35"/>
        <w:adjustRightInd w:val="0"/>
        <w:snapToGrid w:val="0"/>
        <w:spacing w:line="360" w:lineRule="auto"/>
        <w:ind w:firstLine="0" w:firstLineChars="0"/>
        <w:jc w:val="center"/>
        <w:rPr>
          <w:rFonts w:eastAsia="宋体"/>
          <w:b/>
          <w:color w:val="auto"/>
          <w:sz w:val="28"/>
          <w:szCs w:val="28"/>
        </w:rPr>
      </w:pPr>
    </w:p>
    <w:p>
      <w:pPr>
        <w:spacing w:line="360" w:lineRule="auto"/>
        <w:jc w:val="center"/>
        <w:rPr>
          <w:b/>
          <w:bCs/>
          <w:color w:val="auto"/>
          <w:sz w:val="32"/>
          <w:szCs w:val="32"/>
        </w:rPr>
      </w:pPr>
      <w:r>
        <w:rPr>
          <w:b/>
          <w:color w:val="auto"/>
          <w:sz w:val="28"/>
          <w:szCs w:val="36"/>
        </w:rPr>
        <w:t>目  录</w:t>
      </w:r>
    </w:p>
    <w:p>
      <w:pPr>
        <w:pStyle w:val="14"/>
        <w:widowControl w:val="0"/>
        <w:tabs>
          <w:tab w:val="right" w:leader="dot" w:pos="8290"/>
        </w:tabs>
        <w:spacing w:before="120" w:after="120"/>
        <w:rPr>
          <w:b/>
          <w:bCs/>
          <w:caps/>
          <w:color w:val="auto"/>
          <w:kern w:val="2"/>
          <w:sz w:val="20"/>
          <w:szCs w:val="20"/>
        </w:rPr>
      </w:pPr>
      <w:r>
        <w:rPr>
          <w:b/>
          <w:bCs/>
          <w:caps/>
          <w:color w:val="auto"/>
          <w:kern w:val="2"/>
          <w:sz w:val="20"/>
          <w:szCs w:val="20"/>
        </w:rPr>
        <w:fldChar w:fldCharType="begin"/>
      </w:r>
      <w:r>
        <w:rPr>
          <w:b/>
          <w:bCs/>
          <w:caps/>
          <w:color w:val="auto"/>
          <w:kern w:val="2"/>
          <w:sz w:val="20"/>
          <w:szCs w:val="20"/>
        </w:rPr>
        <w:instrText xml:space="preserve"> TOC \o "1-1" \h \z \u </w:instrText>
      </w:r>
      <w:r>
        <w:rPr>
          <w:b/>
          <w:bCs/>
          <w:caps/>
          <w:color w:val="auto"/>
          <w:kern w:val="2"/>
          <w:sz w:val="20"/>
          <w:szCs w:val="20"/>
        </w:rPr>
        <w:fldChar w:fldCharType="separate"/>
      </w:r>
      <w:r>
        <w:rPr>
          <w:color w:val="auto"/>
        </w:rPr>
        <w:fldChar w:fldCharType="begin"/>
      </w:r>
      <w:r>
        <w:rPr>
          <w:color w:val="auto"/>
        </w:rPr>
        <w:instrText xml:space="preserve"> HYPERLINK \l "_Toc144806696" </w:instrText>
      </w:r>
      <w:r>
        <w:rPr>
          <w:color w:val="auto"/>
        </w:rPr>
        <w:fldChar w:fldCharType="separate"/>
      </w:r>
      <w:r>
        <w:rPr>
          <w:b/>
          <w:bCs/>
          <w:caps/>
          <w:color w:val="auto"/>
          <w:kern w:val="2"/>
          <w:sz w:val="20"/>
          <w:szCs w:val="20"/>
        </w:rPr>
        <w:t>1 总则</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_Toc144806696 \h </w:instrText>
      </w:r>
      <w:r>
        <w:rPr>
          <w:b/>
          <w:bCs/>
          <w:caps/>
          <w:color w:val="auto"/>
          <w:kern w:val="2"/>
          <w:sz w:val="20"/>
          <w:szCs w:val="20"/>
        </w:rPr>
        <w:fldChar w:fldCharType="separate"/>
      </w:r>
      <w:r>
        <w:rPr>
          <w:b/>
          <w:bCs/>
          <w:caps/>
          <w:color w:val="auto"/>
          <w:kern w:val="2"/>
          <w:sz w:val="20"/>
          <w:szCs w:val="20"/>
        </w:rPr>
        <w:t>1</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"_Toc144806697" </w:instrText>
      </w:r>
      <w:r>
        <w:rPr>
          <w:color w:val="auto"/>
        </w:rPr>
        <w:fldChar w:fldCharType="separate"/>
      </w:r>
      <w:r>
        <w:rPr>
          <w:b/>
          <w:bCs/>
          <w:caps/>
          <w:color w:val="auto"/>
          <w:kern w:val="2"/>
          <w:sz w:val="20"/>
          <w:szCs w:val="20"/>
        </w:rPr>
        <w:t>2 工作范围</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_Toc144806697 \h </w:instrText>
      </w:r>
      <w:r>
        <w:rPr>
          <w:b/>
          <w:bCs/>
          <w:caps/>
          <w:color w:val="auto"/>
          <w:kern w:val="2"/>
          <w:sz w:val="20"/>
          <w:szCs w:val="20"/>
        </w:rPr>
        <w:fldChar w:fldCharType="separate"/>
      </w:r>
      <w:r>
        <w:rPr>
          <w:b/>
          <w:bCs/>
          <w:caps/>
          <w:color w:val="auto"/>
          <w:kern w:val="2"/>
          <w:sz w:val="20"/>
          <w:szCs w:val="20"/>
        </w:rPr>
        <w:t>1</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"_Toc144806698" </w:instrText>
      </w:r>
      <w:r>
        <w:rPr>
          <w:color w:val="auto"/>
        </w:rPr>
        <w:fldChar w:fldCharType="separate"/>
      </w:r>
      <w:r>
        <w:rPr>
          <w:b/>
          <w:bCs/>
          <w:caps/>
          <w:color w:val="auto"/>
          <w:kern w:val="2"/>
          <w:sz w:val="20"/>
          <w:szCs w:val="20"/>
        </w:rPr>
        <w:t>3 应遵循的主要标准</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_Toc144806698 \h </w:instrText>
      </w:r>
      <w:r>
        <w:rPr>
          <w:b/>
          <w:bCs/>
          <w:caps/>
          <w:color w:val="auto"/>
          <w:kern w:val="2"/>
          <w:sz w:val="20"/>
          <w:szCs w:val="20"/>
        </w:rPr>
        <w:fldChar w:fldCharType="separate"/>
      </w:r>
      <w:r>
        <w:rPr>
          <w:b/>
          <w:bCs/>
          <w:caps/>
          <w:color w:val="auto"/>
          <w:kern w:val="2"/>
          <w:sz w:val="20"/>
          <w:szCs w:val="20"/>
        </w:rPr>
        <w:t>2</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"_Toc144806699" </w:instrText>
      </w:r>
      <w:r>
        <w:rPr>
          <w:color w:val="auto"/>
        </w:rPr>
        <w:fldChar w:fldCharType="separate"/>
      </w:r>
      <w:r>
        <w:rPr>
          <w:b/>
          <w:bCs/>
          <w:caps/>
          <w:color w:val="auto"/>
          <w:kern w:val="2"/>
          <w:sz w:val="20"/>
          <w:szCs w:val="20"/>
        </w:rPr>
        <w:t>4 技术要求</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_Toc144806699 \h </w:instrText>
      </w:r>
      <w:r>
        <w:rPr>
          <w:b/>
          <w:bCs/>
          <w:caps/>
          <w:color w:val="auto"/>
          <w:kern w:val="2"/>
          <w:sz w:val="20"/>
          <w:szCs w:val="20"/>
        </w:rPr>
        <w:fldChar w:fldCharType="separate"/>
      </w:r>
      <w:r>
        <w:rPr>
          <w:b/>
          <w:bCs/>
          <w:caps/>
          <w:color w:val="auto"/>
          <w:kern w:val="2"/>
          <w:sz w:val="20"/>
          <w:szCs w:val="20"/>
        </w:rPr>
        <w:t>3</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"_Toc144806700" </w:instrText>
      </w:r>
      <w:r>
        <w:rPr>
          <w:color w:val="auto"/>
        </w:rPr>
        <w:fldChar w:fldCharType="separate"/>
      </w:r>
      <w:r>
        <w:rPr>
          <w:b/>
          <w:bCs/>
          <w:caps/>
          <w:color w:val="auto"/>
          <w:kern w:val="2"/>
          <w:sz w:val="20"/>
          <w:szCs w:val="20"/>
        </w:rPr>
        <w:t>5 试验要求</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_Toc144806700 \h </w:instrText>
      </w:r>
      <w:r>
        <w:rPr>
          <w:b/>
          <w:bCs/>
          <w:caps/>
          <w:color w:val="auto"/>
          <w:kern w:val="2"/>
          <w:sz w:val="20"/>
          <w:szCs w:val="20"/>
        </w:rPr>
        <w:fldChar w:fldCharType="separate"/>
      </w:r>
      <w:r>
        <w:rPr>
          <w:b/>
          <w:bCs/>
          <w:caps/>
          <w:color w:val="auto"/>
          <w:kern w:val="2"/>
          <w:sz w:val="20"/>
          <w:szCs w:val="20"/>
        </w:rPr>
        <w:t>4</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"_Toc144806701" </w:instrText>
      </w:r>
      <w:r>
        <w:rPr>
          <w:color w:val="auto"/>
        </w:rPr>
        <w:fldChar w:fldCharType="separate"/>
      </w:r>
      <w:r>
        <w:rPr>
          <w:b/>
          <w:bCs/>
          <w:caps/>
          <w:color w:val="auto"/>
          <w:kern w:val="2"/>
          <w:sz w:val="20"/>
          <w:szCs w:val="20"/>
        </w:rPr>
        <w:t>6 包装和运输</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_Toc144806701 \h </w:instrText>
      </w:r>
      <w:r>
        <w:rPr>
          <w:b/>
          <w:bCs/>
          <w:caps/>
          <w:color w:val="auto"/>
          <w:kern w:val="2"/>
          <w:sz w:val="20"/>
          <w:szCs w:val="20"/>
        </w:rPr>
        <w:fldChar w:fldCharType="separate"/>
      </w:r>
      <w:r>
        <w:rPr>
          <w:b/>
          <w:bCs/>
          <w:caps/>
          <w:color w:val="auto"/>
          <w:kern w:val="2"/>
          <w:sz w:val="20"/>
          <w:szCs w:val="20"/>
        </w:rPr>
        <w:t>5</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b/>
          <w:bCs/>
          <w:caps/>
          <w:color w:val="auto"/>
          <w:kern w:val="2"/>
          <w:sz w:val="20"/>
          <w:szCs w:val="20"/>
        </w:rPr>
      </w:pPr>
      <w:r>
        <w:rPr>
          <w:color w:val="auto"/>
        </w:rPr>
        <w:fldChar w:fldCharType="begin"/>
      </w:r>
      <w:r>
        <w:rPr>
          <w:color w:val="auto"/>
        </w:rPr>
        <w:instrText xml:space="preserve"> HYPERLINK \l "_Toc144806702" </w:instrText>
      </w:r>
      <w:r>
        <w:rPr>
          <w:color w:val="auto"/>
        </w:rPr>
        <w:fldChar w:fldCharType="separate"/>
      </w:r>
      <w:r>
        <w:rPr>
          <w:b/>
          <w:bCs/>
          <w:caps/>
          <w:color w:val="auto"/>
          <w:kern w:val="2"/>
          <w:sz w:val="20"/>
          <w:szCs w:val="20"/>
        </w:rPr>
        <w:t>7 售后服务</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_Toc144806702 \h </w:instrText>
      </w:r>
      <w:r>
        <w:rPr>
          <w:b/>
          <w:bCs/>
          <w:caps/>
          <w:color w:val="auto"/>
          <w:kern w:val="2"/>
          <w:sz w:val="20"/>
          <w:szCs w:val="20"/>
        </w:rPr>
        <w:fldChar w:fldCharType="separate"/>
      </w:r>
      <w:r>
        <w:rPr>
          <w:b/>
          <w:bCs/>
          <w:caps/>
          <w:color w:val="auto"/>
          <w:kern w:val="2"/>
          <w:sz w:val="20"/>
          <w:szCs w:val="20"/>
        </w:rPr>
        <w:t>5</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0"/>
        </w:tabs>
        <w:spacing w:before="120" w:after="120"/>
        <w:rPr>
          <w:rFonts w:ascii="等线" w:hAnsi="等线" w:eastAsia="等线"/>
          <w:color w:val="auto"/>
          <w:kern w:val="2"/>
          <w:sz w:val="21"/>
        </w:rPr>
      </w:pPr>
      <w:r>
        <w:rPr>
          <w:color w:val="auto"/>
        </w:rPr>
        <w:fldChar w:fldCharType="begin"/>
      </w:r>
      <w:r>
        <w:rPr>
          <w:color w:val="auto"/>
        </w:rPr>
        <w:instrText xml:space="preserve"> HYPERLINK \l "_Toc144806703" </w:instrText>
      </w:r>
      <w:r>
        <w:rPr>
          <w:color w:val="auto"/>
        </w:rPr>
        <w:fldChar w:fldCharType="separate"/>
      </w:r>
      <w:r>
        <w:rPr>
          <w:b/>
          <w:bCs/>
          <w:caps/>
          <w:color w:val="auto"/>
          <w:kern w:val="2"/>
          <w:sz w:val="20"/>
          <w:szCs w:val="20"/>
        </w:rPr>
        <w:t>8 技术差异表</w:t>
      </w:r>
      <w:r>
        <w:rPr>
          <w:b/>
          <w:bCs/>
          <w:caps/>
          <w:color w:val="auto"/>
          <w:kern w:val="2"/>
          <w:sz w:val="20"/>
          <w:szCs w:val="20"/>
        </w:rPr>
        <w:tab/>
      </w:r>
      <w:r>
        <w:rPr>
          <w:b/>
          <w:bCs/>
          <w:caps/>
          <w:color w:val="auto"/>
          <w:kern w:val="2"/>
          <w:sz w:val="20"/>
          <w:szCs w:val="20"/>
        </w:rPr>
        <w:fldChar w:fldCharType="begin"/>
      </w:r>
      <w:r>
        <w:rPr>
          <w:b/>
          <w:bCs/>
          <w:caps/>
          <w:color w:val="auto"/>
          <w:kern w:val="2"/>
          <w:sz w:val="20"/>
          <w:szCs w:val="20"/>
        </w:rPr>
        <w:instrText xml:space="preserve"> PAGEREF _Toc144806703 \h </w:instrText>
      </w:r>
      <w:r>
        <w:rPr>
          <w:b/>
          <w:bCs/>
          <w:caps/>
          <w:color w:val="auto"/>
          <w:kern w:val="2"/>
          <w:sz w:val="20"/>
          <w:szCs w:val="20"/>
        </w:rPr>
        <w:fldChar w:fldCharType="separate"/>
      </w:r>
      <w:r>
        <w:rPr>
          <w:b/>
          <w:bCs/>
          <w:caps/>
          <w:color w:val="auto"/>
          <w:kern w:val="2"/>
          <w:sz w:val="20"/>
          <w:szCs w:val="20"/>
        </w:rPr>
        <w:t>5</w:t>
      </w:r>
      <w:r>
        <w:rPr>
          <w:b/>
          <w:bCs/>
          <w:caps/>
          <w:color w:val="auto"/>
          <w:kern w:val="2"/>
          <w:sz w:val="20"/>
          <w:szCs w:val="20"/>
        </w:rPr>
        <w:fldChar w:fldCharType="end"/>
      </w:r>
      <w:r>
        <w:rPr>
          <w:b/>
          <w:bCs/>
          <w:caps/>
          <w:color w:val="auto"/>
          <w:kern w:val="2"/>
          <w:sz w:val="20"/>
          <w:szCs w:val="20"/>
        </w:rPr>
        <w:fldChar w:fldCharType="end"/>
      </w:r>
    </w:p>
    <w:p>
      <w:pPr>
        <w:pStyle w:val="14"/>
        <w:widowControl w:val="0"/>
        <w:tabs>
          <w:tab w:val="right" w:leader="dot" w:pos="8296"/>
        </w:tabs>
        <w:adjustRightInd w:val="0"/>
        <w:snapToGrid w:val="0"/>
        <w:spacing w:before="120" w:after="120" w:line="360" w:lineRule="auto"/>
        <w:rPr>
          <w:bCs/>
          <w:color w:val="auto"/>
          <w:sz w:val="21"/>
          <w:szCs w:val="21"/>
        </w:rPr>
      </w:pPr>
      <w:r>
        <w:rPr>
          <w:bCs/>
          <w:caps/>
          <w:color w:val="auto"/>
          <w:kern w:val="2"/>
          <w:sz w:val="20"/>
          <w:szCs w:val="20"/>
        </w:rPr>
        <w:fldChar w:fldCharType="end"/>
      </w:r>
    </w:p>
    <w:p>
      <w:pPr>
        <w:spacing w:before="120" w:after="120" w:line="360" w:lineRule="auto"/>
        <w:jc w:val="both"/>
        <w:rPr>
          <w:bCs/>
          <w:color w:val="auto"/>
          <w:sz w:val="21"/>
          <w:szCs w:val="21"/>
        </w:rPr>
      </w:pPr>
    </w:p>
    <w:p>
      <w:pPr>
        <w:spacing w:line="360" w:lineRule="auto"/>
        <w:jc w:val="both"/>
        <w:rPr>
          <w:bCs/>
          <w:color w:val="auto"/>
          <w:sz w:val="21"/>
          <w:szCs w:val="21"/>
        </w:rPr>
      </w:pPr>
    </w:p>
    <w:p>
      <w:pPr>
        <w:spacing w:line="360" w:lineRule="auto"/>
        <w:jc w:val="both"/>
        <w:rPr>
          <w:bCs/>
          <w:color w:val="auto"/>
          <w:sz w:val="21"/>
          <w:szCs w:val="21"/>
        </w:rPr>
      </w:pPr>
    </w:p>
    <w:p>
      <w:pPr>
        <w:spacing w:line="360" w:lineRule="auto"/>
        <w:jc w:val="both"/>
        <w:rPr>
          <w:bCs/>
          <w:color w:val="auto"/>
          <w:sz w:val="21"/>
          <w:szCs w:val="21"/>
        </w:rPr>
      </w:pPr>
    </w:p>
    <w:p>
      <w:pPr>
        <w:spacing w:line="360" w:lineRule="auto"/>
        <w:jc w:val="both"/>
        <w:rPr>
          <w:bCs/>
          <w:color w:val="auto"/>
          <w:sz w:val="21"/>
          <w:szCs w:val="21"/>
        </w:rPr>
      </w:pPr>
    </w:p>
    <w:p>
      <w:pPr>
        <w:spacing w:line="360" w:lineRule="auto"/>
        <w:jc w:val="both"/>
        <w:rPr>
          <w:bCs/>
          <w:color w:val="auto"/>
          <w:sz w:val="21"/>
          <w:szCs w:val="21"/>
        </w:rPr>
        <w:sectPr>
          <w:headerReference r:id="rId8" w:type="first"/>
          <w:footerReference r:id="rId10" w:type="first"/>
          <w:headerReference r:id="rId7" w:type="default"/>
          <w:footerReference r:id="rId9" w:type="default"/>
          <w:pgSz w:w="11900" w:h="16838"/>
          <w:pgMar w:top="1440" w:right="1800" w:bottom="1440" w:left="1800" w:header="964" w:footer="737" w:gutter="0"/>
          <w:cols w:space="720" w:num="1"/>
          <w:titlePg/>
          <w:docGrid w:linePitch="299" w:charSpace="0"/>
        </w:sectPr>
      </w:pPr>
    </w:p>
    <w:p>
      <w:pPr>
        <w:spacing w:line="360" w:lineRule="auto"/>
        <w:jc w:val="both"/>
        <w:rPr>
          <w:bCs/>
          <w:color w:val="auto"/>
          <w:sz w:val="21"/>
          <w:szCs w:val="21"/>
        </w:rPr>
      </w:pPr>
    </w:p>
    <w:p>
      <w:pPr>
        <w:pStyle w:val="2"/>
        <w:adjustRightInd w:val="0"/>
        <w:spacing w:before="0" w:beforeLines="0"/>
        <w:rPr>
          <w:rFonts w:ascii="Times New Roman"/>
          <w:color w:val="auto"/>
        </w:rPr>
      </w:pPr>
      <w:bookmarkStart w:id="0" w:name="_Toc144806696"/>
      <w:r>
        <w:rPr>
          <w:rFonts w:ascii="Times New Roman"/>
          <w:color w:val="auto"/>
        </w:rPr>
        <w:t>总则</w:t>
      </w:r>
      <w:bookmarkEnd w:id="0"/>
    </w:p>
    <w:p>
      <w:pPr>
        <w:pStyle w:val="46"/>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en-US"/>
        </w:rPr>
        <w:t xml:space="preserve">1.1 </w:t>
      </w:r>
      <w:r>
        <w:rPr>
          <w:rFonts w:hint="eastAsia" w:ascii="宋体" w:hAnsi="宋体" w:eastAsia="宋体" w:cs="宋体"/>
          <w:color w:val="auto"/>
          <w:sz w:val="21"/>
          <w:szCs w:val="21"/>
        </w:rPr>
        <w:t>本招标技术文件适用于</w:t>
      </w:r>
      <w:r>
        <w:rPr>
          <w:rFonts w:hint="eastAsia" w:cs="宋体"/>
          <w:color w:val="auto"/>
          <w:sz w:val="21"/>
          <w:szCs w:val="21"/>
          <w:lang w:eastAsia="zh-CN"/>
        </w:rPr>
        <w:t>海南电网有限责任公司</w:t>
      </w:r>
      <w:r>
        <w:rPr>
          <w:rFonts w:hint="eastAsia" w:ascii="宋体" w:hAnsi="宋体" w:eastAsia="宋体" w:cs="宋体"/>
          <w:color w:val="auto"/>
          <w:sz w:val="21"/>
          <w:szCs w:val="21"/>
        </w:rPr>
        <w:t>的</w:t>
      </w:r>
      <w:r>
        <w:rPr>
          <w:rFonts w:hint="eastAsia" w:ascii="宋体" w:hAnsi="宋体" w:eastAsia="宋体" w:cs="宋体"/>
          <w:color w:val="auto"/>
          <w:sz w:val="21"/>
          <w:szCs w:val="21"/>
          <w:u w:val="single"/>
          <w:lang w:eastAsia="zh-CN"/>
        </w:rPr>
        <w:t>电容</w:t>
      </w:r>
      <w:r>
        <w:rPr>
          <w:rFonts w:hint="eastAsia" w:cs="宋体"/>
          <w:color w:val="auto"/>
          <w:sz w:val="21"/>
          <w:szCs w:val="21"/>
          <w:u w:val="single"/>
          <w:lang w:val="en-US" w:eastAsia="zh-CN"/>
        </w:rPr>
        <w:t>器</w:t>
      </w:r>
      <w:r>
        <w:rPr>
          <w:rFonts w:hint="eastAsia" w:ascii="宋体" w:hAnsi="宋体" w:eastAsia="宋体" w:cs="宋体"/>
          <w:color w:val="auto"/>
          <w:sz w:val="21"/>
          <w:szCs w:val="21"/>
          <w:u w:val="single"/>
          <w:lang w:eastAsia="zh-CN"/>
        </w:rPr>
        <w:t>放电棒</w:t>
      </w:r>
      <w:r>
        <w:rPr>
          <w:rFonts w:hint="eastAsia" w:ascii="宋体" w:hAnsi="宋体" w:eastAsia="宋体" w:cs="宋体"/>
          <w:color w:val="auto"/>
          <w:sz w:val="21"/>
          <w:szCs w:val="21"/>
        </w:rPr>
        <w:t>,它提出了该物资参数、售后服务、验收和试验、包装、运输和保存等方面的技术要求。</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1.2 本技术条件书提出的是最低限度的技术要求。凡本技术条件书中未规定，但在相关物资的行业标准、国家标准或IEC标准中有规定的规范条文，投标方应按相应标准的条文进行物资销售、设计、制造、试验和安装。对国家有关安全、环保等强制性标准，必须满足其要求。</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1.3 如果投标方没有以书面形式对本技术条件书的条文提出异议，则意味着投标方提供的物资完全符合本技术条件书的要求。</w:t>
      </w:r>
      <w:r>
        <w:rPr>
          <w:rFonts w:hint="eastAsia" w:ascii="宋体" w:hAnsi="宋体" w:eastAsia="宋体" w:cs="宋体"/>
          <w:color w:val="auto"/>
          <w:sz w:val="21"/>
          <w:szCs w:val="21"/>
          <w:u w:val="single"/>
        </w:rPr>
        <w:t>如有任何异议，都应在技术投标文件中以“投标偏差表（技术部分）”为标题</w:t>
      </w:r>
      <w:r>
        <w:rPr>
          <w:rFonts w:hint="eastAsia" w:ascii="宋体" w:hAnsi="宋体" w:eastAsia="宋体" w:cs="宋体"/>
          <w:color w:val="auto"/>
          <w:sz w:val="21"/>
          <w:szCs w:val="21"/>
        </w:rPr>
        <w:t>的专门章节中加以详细描述。</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1.4 本技术条件书所使用的标准如遇与投标方所执行的标准不一致时，按较高标准执行。</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1.5 本技术条件书经招标方、中标方双方确认后作为订货合同的技术附件，与合同正文具有同等的法律效力。</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1.6 本技术条件书未尽事宜，由招标方、中标方双方协商确定。</w:t>
      </w:r>
    </w:p>
    <w:p>
      <w:pPr>
        <w:widowControl w:val="0"/>
        <w:adjustRightInd w:val="0"/>
        <w:snapToGrid w:val="0"/>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1.7 投标方在应标技术文件中应如实反映应标产品与本技术条件书的技术差异。</w:t>
      </w:r>
      <w:r>
        <w:rPr>
          <w:rFonts w:hint="eastAsia" w:ascii="宋体" w:hAnsi="宋体" w:eastAsia="宋体" w:cs="宋体"/>
          <w:b/>
          <w:bCs/>
          <w:color w:val="auto"/>
          <w:sz w:val="21"/>
          <w:szCs w:val="21"/>
        </w:rPr>
        <w:t>如果投标方没有提出技术差异，而在执行合同的过程中，招标方发现投标方提供的产品与其应标的技术条件书的条文存在差异，招标方有权利要求退货。</w:t>
      </w:r>
    </w:p>
    <w:p>
      <w:pPr>
        <w:adjustRightInd w:val="0"/>
        <w:snapToGrid w:val="0"/>
        <w:spacing w:line="360" w:lineRule="auto"/>
        <w:rPr>
          <w:rFonts w:hint="eastAsia" w:ascii="宋体" w:hAnsi="宋体" w:eastAsia="宋体" w:cs="宋体"/>
          <w:b w:val="0"/>
          <w:bCs w:val="0"/>
          <w:color w:val="auto"/>
          <w:kern w:val="0"/>
          <w:szCs w:val="21"/>
        </w:rPr>
      </w:pPr>
      <w:bookmarkStart w:id="1" w:name="_Hlk147862507"/>
      <w:r>
        <w:rPr>
          <w:rFonts w:hint="eastAsia" w:ascii="宋体" w:hAnsi="宋体" w:eastAsia="宋体" w:cs="宋体"/>
          <w:b w:val="0"/>
          <w:bCs w:val="0"/>
          <w:color w:val="auto"/>
          <w:kern w:val="0"/>
          <w:szCs w:val="21"/>
        </w:rPr>
        <w:t>1.8投标方应在供货时向买方提供经国家相关检验机构鉴定的合格证书和符合国家、行业标准的产品证明资料，产品预防性试验报告、出厂试验报告、安装使用、测试、运行、维护说明资料等</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随产品打包提供</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w:t>
      </w:r>
    </w:p>
    <w:p>
      <w:pPr>
        <w:adjustRightInd w:val="0"/>
        <w:snapToGrid w:val="0"/>
        <w:spacing w:line="360" w:lineRule="auto"/>
        <w:rPr>
          <w:rFonts w:hint="eastAsia" w:ascii="宋体" w:hAnsi="宋体" w:eastAsia="宋体" w:cs="宋体"/>
          <w:b w:val="0"/>
          <w:bCs w:val="0"/>
          <w:color w:val="auto"/>
          <w:kern w:val="0"/>
          <w:szCs w:val="21"/>
        </w:rPr>
      </w:pPr>
      <w:r>
        <w:rPr>
          <w:rFonts w:hint="eastAsia" w:ascii="宋体" w:hAnsi="宋体" w:eastAsia="宋体" w:cs="宋体"/>
          <w:b w:val="0"/>
          <w:bCs w:val="0"/>
          <w:color w:val="auto"/>
          <w:kern w:val="0"/>
          <w:szCs w:val="21"/>
        </w:rPr>
        <w:t>1.9本规范书未尽事宜，均须遵守最新的国家标准</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GB</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、国际电工委员会</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IEC</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标准、国际单位制</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SI</w:t>
      </w:r>
      <w:r>
        <w:rPr>
          <w:rFonts w:hint="eastAsia" w:ascii="宋体" w:hAnsi="宋体" w:eastAsia="宋体" w:cs="宋体"/>
          <w:b w:val="0"/>
          <w:bCs w:val="0"/>
          <w:color w:val="auto"/>
          <w:kern w:val="0"/>
          <w:szCs w:val="21"/>
          <w:lang w:eastAsia="zh-CN"/>
        </w:rPr>
        <w:t>）</w:t>
      </w:r>
      <w:r>
        <w:rPr>
          <w:rFonts w:hint="eastAsia" w:ascii="宋体" w:hAnsi="宋体" w:eastAsia="宋体" w:cs="宋体"/>
          <w:b w:val="0"/>
          <w:bCs w:val="0"/>
          <w:color w:val="auto"/>
          <w:kern w:val="0"/>
          <w:szCs w:val="21"/>
        </w:rPr>
        <w:t>标准、电力行业标准（DL/T）、南方电网公司相关标准等，以上标准未规定事宜由招标人和投标人在合同技术谈判时双方协商确定。</w:t>
      </w:r>
    </w:p>
    <w:bookmarkEnd w:id="1"/>
    <w:p>
      <w:pPr>
        <w:pStyle w:val="46"/>
        <w:spacing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1.10 标注“★”的条款为关键条款，作为评标时打分的重点参考。</w:t>
      </w:r>
    </w:p>
    <w:p>
      <w:pPr>
        <w:pStyle w:val="2"/>
        <w:adjustRightInd w:val="0"/>
        <w:spacing w:before="0" w:beforeLines="0"/>
        <w:rPr>
          <w:rFonts w:ascii="Times New Roman"/>
          <w:color w:val="auto"/>
        </w:rPr>
      </w:pPr>
      <w:bookmarkStart w:id="2" w:name="_Toc144806697"/>
      <w:r>
        <w:rPr>
          <w:rFonts w:ascii="Times New Roman"/>
          <w:color w:val="auto"/>
        </w:rPr>
        <w:t>工作范围</w:t>
      </w:r>
      <w:bookmarkEnd w:id="2"/>
    </w:p>
    <w:p>
      <w:pPr>
        <w:pStyle w:val="35"/>
        <w:spacing w:line="360" w:lineRule="auto"/>
        <w:ind w:firstLine="0" w:firstLineChars="0"/>
        <w:rPr>
          <w:rFonts w:eastAsia="宋体"/>
          <w:color w:val="auto"/>
          <w:sz w:val="21"/>
          <w:szCs w:val="21"/>
        </w:rPr>
      </w:pPr>
      <w:r>
        <w:rPr>
          <w:rFonts w:eastAsia="宋体"/>
          <w:color w:val="auto"/>
          <w:sz w:val="21"/>
          <w:szCs w:val="21"/>
        </w:rPr>
        <w:t>2.1中标方应按本标书的要求提供全新的、合格的</w:t>
      </w:r>
      <w:r>
        <w:rPr>
          <w:rFonts w:hint="eastAsia" w:eastAsia="宋体"/>
          <w:color w:val="auto"/>
          <w:sz w:val="21"/>
          <w:szCs w:val="21"/>
          <w:u w:val="single"/>
        </w:rPr>
        <w:t>电容</w:t>
      </w:r>
      <w:r>
        <w:rPr>
          <w:rFonts w:hint="eastAsia" w:eastAsia="宋体"/>
          <w:color w:val="auto"/>
          <w:sz w:val="21"/>
          <w:szCs w:val="21"/>
          <w:u w:val="single"/>
          <w:lang w:val="en-US" w:eastAsia="zh-CN"/>
        </w:rPr>
        <w:t>器</w:t>
      </w:r>
      <w:r>
        <w:rPr>
          <w:rFonts w:hint="eastAsia" w:eastAsia="宋体"/>
          <w:color w:val="auto"/>
          <w:sz w:val="21"/>
          <w:szCs w:val="21"/>
          <w:u w:val="single"/>
        </w:rPr>
        <w:t>放电棒</w:t>
      </w:r>
      <w:r>
        <w:rPr>
          <w:rFonts w:eastAsia="宋体"/>
          <w:color w:val="auto"/>
          <w:sz w:val="21"/>
          <w:szCs w:val="21"/>
        </w:rPr>
        <w:t>以及必要的备品备件（如有）、专用工具（如有）和仪器（如有）。</w:t>
      </w:r>
    </w:p>
    <w:p>
      <w:pPr>
        <w:pStyle w:val="35"/>
        <w:spacing w:line="360" w:lineRule="auto"/>
        <w:ind w:firstLine="0" w:firstLineChars="0"/>
        <w:rPr>
          <w:rFonts w:eastAsia="宋体"/>
          <w:color w:val="auto"/>
          <w:sz w:val="21"/>
          <w:szCs w:val="21"/>
        </w:rPr>
      </w:pPr>
      <w:r>
        <w:rPr>
          <w:rFonts w:eastAsia="宋体"/>
          <w:color w:val="auto"/>
          <w:sz w:val="21"/>
          <w:szCs w:val="21"/>
        </w:rPr>
        <w:t>2.2中标方所提供的组件或附件如需向第三方外购时，中标方应对质量向招标方负责，并提供相应出厂和验收证明。</w:t>
      </w:r>
    </w:p>
    <w:p>
      <w:pPr>
        <w:pStyle w:val="35"/>
        <w:spacing w:line="360" w:lineRule="auto"/>
        <w:ind w:firstLine="0" w:firstLineChars="0"/>
        <w:rPr>
          <w:rFonts w:eastAsia="宋体"/>
          <w:color w:val="auto"/>
          <w:sz w:val="21"/>
          <w:szCs w:val="21"/>
        </w:rPr>
      </w:pPr>
      <w:r>
        <w:rPr>
          <w:rFonts w:eastAsia="宋体"/>
          <w:color w:val="auto"/>
          <w:sz w:val="21"/>
          <w:szCs w:val="21"/>
        </w:rPr>
        <w:t>2.3供货范围一览表</w:t>
      </w:r>
    </w:p>
    <w:p>
      <w:pPr>
        <w:pStyle w:val="35"/>
        <w:spacing w:line="360" w:lineRule="auto"/>
        <w:rPr>
          <w:rFonts w:eastAsia="宋体"/>
          <w:color w:val="auto"/>
          <w:sz w:val="21"/>
          <w:szCs w:val="21"/>
        </w:rPr>
      </w:pPr>
      <w:r>
        <w:rPr>
          <w:rFonts w:eastAsia="宋体"/>
          <w:color w:val="auto"/>
          <w:sz w:val="21"/>
          <w:szCs w:val="21"/>
        </w:rPr>
        <w:t>中标方提供的</w:t>
      </w:r>
      <w:r>
        <w:rPr>
          <w:rFonts w:hint="eastAsia" w:eastAsia="宋体"/>
          <w:color w:val="auto"/>
          <w:sz w:val="21"/>
          <w:szCs w:val="21"/>
        </w:rPr>
        <w:t>电容放电棒</w:t>
      </w:r>
      <w:r>
        <w:rPr>
          <w:rFonts w:eastAsia="宋体"/>
          <w:color w:val="auto"/>
          <w:sz w:val="21"/>
          <w:szCs w:val="21"/>
        </w:rPr>
        <w:t>的具体规格见表2.1。</w:t>
      </w:r>
    </w:p>
    <w:p>
      <w:pPr>
        <w:spacing w:line="360" w:lineRule="auto"/>
        <w:jc w:val="center"/>
        <w:rPr>
          <w:b/>
          <w:color w:val="auto"/>
          <w:sz w:val="21"/>
          <w:szCs w:val="21"/>
        </w:rPr>
      </w:pPr>
      <w:r>
        <w:rPr>
          <w:bCs/>
          <w:color w:val="auto"/>
          <w:sz w:val="21"/>
          <w:szCs w:val="21"/>
        </w:rPr>
        <w:t>表2.1供货范围及物资需求一览表</w:t>
      </w:r>
      <w:r>
        <w:rPr>
          <w:rFonts w:ascii="Segoe UI Symbol" w:hAnsi="Segoe UI Symbol" w:cs="Segoe UI Symbol"/>
          <w:color w:val="auto"/>
          <w:sz w:val="21"/>
          <w:szCs w:val="21"/>
        </w:rPr>
        <w:t>★</w:t>
      </w:r>
    </w:p>
    <w:tbl>
      <w:tblPr>
        <w:tblStyle w:val="17"/>
        <w:tblW w:w="448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top w:w="0" w:type="dxa"/>
          <w:left w:w="108" w:type="dxa"/>
          <w:bottom w:w="0" w:type="dxa"/>
          <w:right w:w="108" w:type="dxa"/>
        </w:tblCellMar>
      </w:tblPr>
      <w:tblGrid>
        <w:gridCol w:w="471"/>
        <w:gridCol w:w="1477"/>
        <w:gridCol w:w="870"/>
        <w:gridCol w:w="1997"/>
        <w:gridCol w:w="523"/>
        <w:gridCol w:w="515"/>
        <w:gridCol w:w="895"/>
        <w:gridCol w:w="8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90" w:hRule="atLeast"/>
          <w:tblHeader/>
          <w:jc w:val="center"/>
        </w:trPr>
        <w:tc>
          <w:tcPr>
            <w:tcW w:w="308" w:type="pct"/>
            <w:shd w:val="clear" w:color="auto" w:fill="FFFFFF"/>
            <w:vAlign w:val="center"/>
          </w:tcPr>
          <w:p>
            <w:pPr>
              <w:jc w:val="center"/>
              <w:rPr>
                <w:color w:val="auto"/>
                <w:sz w:val="21"/>
                <w:szCs w:val="21"/>
              </w:rPr>
            </w:pPr>
            <w:r>
              <w:rPr>
                <w:color w:val="auto"/>
                <w:sz w:val="21"/>
                <w:szCs w:val="21"/>
              </w:rPr>
              <w:t>序号</w:t>
            </w:r>
          </w:p>
        </w:tc>
        <w:tc>
          <w:tcPr>
            <w:tcW w:w="966" w:type="pct"/>
            <w:shd w:val="clear" w:color="auto" w:fill="FFFFFF"/>
            <w:vAlign w:val="center"/>
          </w:tcPr>
          <w:p>
            <w:pPr>
              <w:jc w:val="center"/>
              <w:rPr>
                <w:color w:val="auto"/>
                <w:sz w:val="21"/>
                <w:szCs w:val="21"/>
              </w:rPr>
            </w:pPr>
            <w:r>
              <w:rPr>
                <w:color w:val="auto"/>
                <w:sz w:val="21"/>
                <w:szCs w:val="21"/>
              </w:rPr>
              <w:t>物资编码</w:t>
            </w:r>
          </w:p>
        </w:tc>
        <w:tc>
          <w:tcPr>
            <w:tcW w:w="569" w:type="pct"/>
            <w:shd w:val="clear" w:color="auto" w:fill="FFFFFF"/>
            <w:vAlign w:val="center"/>
          </w:tcPr>
          <w:p>
            <w:pPr>
              <w:jc w:val="center"/>
              <w:rPr>
                <w:color w:val="auto"/>
                <w:sz w:val="21"/>
                <w:szCs w:val="21"/>
              </w:rPr>
            </w:pPr>
            <w:r>
              <w:rPr>
                <w:color w:val="auto"/>
                <w:sz w:val="21"/>
                <w:szCs w:val="21"/>
              </w:rPr>
              <w:t>物资名称</w:t>
            </w:r>
          </w:p>
        </w:tc>
        <w:tc>
          <w:tcPr>
            <w:tcW w:w="1306" w:type="pct"/>
            <w:shd w:val="clear" w:color="auto" w:fill="FFFFFF"/>
            <w:vAlign w:val="center"/>
          </w:tcPr>
          <w:p>
            <w:pPr>
              <w:jc w:val="center"/>
              <w:rPr>
                <w:color w:val="auto"/>
                <w:sz w:val="21"/>
                <w:szCs w:val="21"/>
              </w:rPr>
            </w:pPr>
            <w:r>
              <w:rPr>
                <w:color w:val="auto"/>
                <w:sz w:val="21"/>
                <w:szCs w:val="21"/>
              </w:rPr>
              <w:t>规格型号</w:t>
            </w:r>
          </w:p>
        </w:tc>
        <w:tc>
          <w:tcPr>
            <w:tcW w:w="342" w:type="pct"/>
            <w:shd w:val="clear" w:color="auto" w:fill="FFFFFF"/>
            <w:vAlign w:val="center"/>
          </w:tcPr>
          <w:p>
            <w:pPr>
              <w:jc w:val="center"/>
              <w:rPr>
                <w:color w:val="auto"/>
                <w:sz w:val="21"/>
                <w:szCs w:val="21"/>
              </w:rPr>
            </w:pPr>
            <w:r>
              <w:rPr>
                <w:color w:val="auto"/>
                <w:sz w:val="21"/>
                <w:szCs w:val="21"/>
              </w:rPr>
              <w:t>单位</w:t>
            </w:r>
          </w:p>
        </w:tc>
        <w:tc>
          <w:tcPr>
            <w:tcW w:w="337" w:type="pct"/>
            <w:shd w:val="clear" w:color="auto" w:fill="FFFFFF"/>
            <w:vAlign w:val="center"/>
          </w:tcPr>
          <w:p>
            <w:pPr>
              <w:jc w:val="center"/>
              <w:rPr>
                <w:color w:val="auto"/>
                <w:sz w:val="21"/>
                <w:szCs w:val="21"/>
              </w:rPr>
            </w:pPr>
            <w:r>
              <w:rPr>
                <w:color w:val="auto"/>
                <w:sz w:val="21"/>
                <w:szCs w:val="21"/>
              </w:rPr>
              <w:t>数量</w:t>
            </w:r>
          </w:p>
        </w:tc>
        <w:tc>
          <w:tcPr>
            <w:tcW w:w="585" w:type="pct"/>
            <w:shd w:val="clear" w:color="auto" w:fill="FFFFFF"/>
            <w:vAlign w:val="center"/>
          </w:tcPr>
          <w:p>
            <w:pPr>
              <w:jc w:val="center"/>
              <w:rPr>
                <w:color w:val="auto"/>
                <w:sz w:val="21"/>
                <w:szCs w:val="21"/>
              </w:rPr>
            </w:pPr>
            <w:r>
              <w:rPr>
                <w:color w:val="auto"/>
                <w:sz w:val="21"/>
                <w:szCs w:val="21"/>
              </w:rPr>
              <w:t>样品要求</w:t>
            </w:r>
          </w:p>
        </w:tc>
        <w:tc>
          <w:tcPr>
            <w:tcW w:w="584" w:type="pct"/>
            <w:shd w:val="clear" w:color="auto" w:fill="FFFFFF"/>
            <w:vAlign w:val="center"/>
          </w:tcPr>
          <w:p>
            <w:pPr>
              <w:jc w:val="center"/>
              <w:rPr>
                <w:color w:val="auto"/>
                <w:sz w:val="21"/>
                <w:szCs w:val="21"/>
              </w:rPr>
            </w:pPr>
            <w:r>
              <w:rPr>
                <w:color w:val="auto"/>
                <w:sz w:val="21"/>
                <w:szCs w:val="21"/>
              </w:rPr>
              <w:t>承诺供货周期（自然日）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atLeast"/>
          <w:tblHeader/>
          <w:jc w:val="center"/>
        </w:trPr>
        <w:tc>
          <w:tcPr>
            <w:tcW w:w="308" w:type="pct"/>
            <w:shd w:val="clear" w:color="auto" w:fill="FFFFFF"/>
            <w:vAlign w:val="center"/>
          </w:tcPr>
          <w:p>
            <w:pPr>
              <w:jc w:val="center"/>
              <w:rPr>
                <w:color w:val="auto"/>
                <w:sz w:val="21"/>
                <w:szCs w:val="21"/>
              </w:rPr>
            </w:pPr>
            <w:r>
              <w:rPr>
                <w:color w:val="auto"/>
                <w:sz w:val="21"/>
                <w:szCs w:val="21"/>
              </w:rPr>
              <w:t>1</w:t>
            </w:r>
          </w:p>
        </w:tc>
        <w:tc>
          <w:tcPr>
            <w:tcW w:w="966" w:type="pct"/>
            <w:shd w:val="clear" w:color="auto" w:fill="FFFFFF"/>
            <w:vAlign w:val="center"/>
          </w:tcPr>
          <w:p>
            <w:pPr>
              <w:jc w:val="center"/>
              <w:textAlignment w:val="center"/>
              <w:rPr>
                <w:color w:val="auto"/>
                <w:sz w:val="21"/>
                <w:szCs w:val="21"/>
              </w:rPr>
            </w:pPr>
            <w:r>
              <w:rPr>
                <w:color w:val="auto"/>
                <w:sz w:val="21"/>
                <w:szCs w:val="21"/>
                <w:lang w:bidi="ar"/>
              </w:rPr>
              <w:t>060001100795</w:t>
            </w:r>
          </w:p>
        </w:tc>
        <w:tc>
          <w:tcPr>
            <w:tcW w:w="569" w:type="pct"/>
            <w:shd w:val="clear" w:color="auto" w:fill="FFFFFF"/>
            <w:vAlign w:val="center"/>
          </w:tcPr>
          <w:p>
            <w:pPr>
              <w:jc w:val="center"/>
              <w:rPr>
                <w:color w:val="auto"/>
                <w:sz w:val="21"/>
                <w:szCs w:val="21"/>
              </w:rPr>
            </w:pPr>
            <w:r>
              <w:rPr>
                <w:rFonts w:hint="eastAsia"/>
                <w:color w:val="auto"/>
                <w:sz w:val="21"/>
                <w:szCs w:val="21"/>
                <w:lang w:val="en-US" w:eastAsia="zh-CN"/>
              </w:rPr>
              <w:t>电容器放电棒</w:t>
            </w:r>
          </w:p>
        </w:tc>
        <w:tc>
          <w:tcPr>
            <w:tcW w:w="1306" w:type="pct"/>
            <w:shd w:val="clear" w:color="auto" w:fill="FFFFFF"/>
            <w:vAlign w:val="center"/>
          </w:tcPr>
          <w:p>
            <w:pPr>
              <w:jc w:val="center"/>
              <w:rPr>
                <w:color w:val="auto"/>
                <w:sz w:val="21"/>
                <w:szCs w:val="21"/>
              </w:rPr>
            </w:pPr>
            <w:r>
              <w:rPr>
                <w:rFonts w:hint="eastAsia"/>
                <w:color w:val="auto"/>
                <w:sz w:val="21"/>
                <w:szCs w:val="21"/>
              </w:rPr>
              <w:t>10kV 25²线5米带地夹</w:t>
            </w:r>
          </w:p>
        </w:tc>
        <w:tc>
          <w:tcPr>
            <w:tcW w:w="342" w:type="pct"/>
            <w:shd w:val="clear" w:color="auto" w:fill="FFFFFF"/>
            <w:vAlign w:val="center"/>
          </w:tcPr>
          <w:p>
            <w:pPr>
              <w:jc w:val="center"/>
              <w:rPr>
                <w:rFonts w:hint="default" w:eastAsia="宋体"/>
                <w:color w:val="auto"/>
                <w:sz w:val="21"/>
                <w:szCs w:val="21"/>
                <w:lang w:val="en-US" w:eastAsia="zh-CN"/>
              </w:rPr>
            </w:pPr>
            <w:r>
              <w:rPr>
                <w:rFonts w:hint="eastAsia"/>
                <w:color w:val="auto"/>
                <w:sz w:val="21"/>
                <w:szCs w:val="21"/>
                <w:lang w:val="en-US" w:eastAsia="zh-CN"/>
              </w:rPr>
              <w:t>支</w:t>
            </w:r>
          </w:p>
        </w:tc>
        <w:tc>
          <w:tcPr>
            <w:tcW w:w="337" w:type="pct"/>
            <w:shd w:val="clear" w:color="auto" w:fill="FFFFFF"/>
            <w:vAlign w:val="center"/>
          </w:tcPr>
          <w:p>
            <w:pPr>
              <w:jc w:val="center"/>
              <w:rPr>
                <w:color w:val="auto"/>
                <w:sz w:val="21"/>
                <w:szCs w:val="21"/>
              </w:rPr>
            </w:pPr>
            <w:r>
              <w:rPr>
                <w:color w:val="auto"/>
                <w:sz w:val="21"/>
                <w:szCs w:val="21"/>
              </w:rPr>
              <w:t>1</w:t>
            </w:r>
          </w:p>
        </w:tc>
        <w:tc>
          <w:tcPr>
            <w:tcW w:w="585" w:type="pct"/>
            <w:shd w:val="clear" w:color="auto" w:fill="FFFFFF"/>
            <w:vAlign w:val="center"/>
          </w:tcPr>
          <w:p>
            <w:pPr>
              <w:jc w:val="center"/>
              <w:rPr>
                <w:color w:val="auto"/>
                <w:sz w:val="21"/>
                <w:szCs w:val="21"/>
              </w:rPr>
            </w:pPr>
            <w:r>
              <w:rPr>
                <w:rFonts w:hint="eastAsia"/>
                <w:color w:val="auto"/>
                <w:sz w:val="21"/>
                <w:szCs w:val="21"/>
              </w:rPr>
              <w:t>无</w:t>
            </w:r>
          </w:p>
        </w:tc>
        <w:tc>
          <w:tcPr>
            <w:tcW w:w="584" w:type="pct"/>
            <w:shd w:val="clear" w:color="auto" w:fill="FFFFFF"/>
            <w:vAlign w:val="center"/>
          </w:tcPr>
          <w:p>
            <w:pPr>
              <w:jc w:val="center"/>
              <w:rPr>
                <w:color w:val="auto"/>
                <w:sz w:val="21"/>
                <w:szCs w:val="21"/>
              </w:rPr>
            </w:pPr>
          </w:p>
        </w:tc>
      </w:tr>
    </w:tbl>
    <w:p>
      <w:pPr>
        <w:pStyle w:val="35"/>
        <w:adjustRightInd w:val="0"/>
        <w:snapToGrid w:val="0"/>
        <w:spacing w:line="360" w:lineRule="auto"/>
        <w:ind w:firstLine="0" w:firstLineChars="0"/>
        <w:rPr>
          <w:rFonts w:eastAsia="宋体"/>
          <w:color w:val="auto"/>
          <w:szCs w:val="21"/>
        </w:rPr>
      </w:pPr>
      <w:r>
        <w:rPr>
          <w:rFonts w:eastAsia="宋体"/>
          <w:color w:val="auto"/>
          <w:szCs w:val="21"/>
        </w:rPr>
        <w:t>表格备注：承诺供货周期：自接到供货通知开始至物资送达指定地点的时间。</w:t>
      </w:r>
    </w:p>
    <w:p>
      <w:pPr>
        <w:pStyle w:val="35"/>
        <w:adjustRightInd w:val="0"/>
        <w:snapToGrid w:val="0"/>
        <w:spacing w:line="360" w:lineRule="auto"/>
        <w:ind w:firstLine="0" w:firstLineChars="0"/>
        <w:rPr>
          <w:rFonts w:eastAsia="宋体"/>
          <w:color w:val="auto"/>
          <w:sz w:val="21"/>
          <w:szCs w:val="21"/>
        </w:rPr>
      </w:pPr>
      <w:r>
        <w:rPr>
          <w:rFonts w:eastAsia="宋体"/>
          <w:color w:val="auto"/>
          <w:szCs w:val="21"/>
        </w:rPr>
        <w:t xml:space="preserve">2.4 </w:t>
      </w:r>
      <w:r>
        <w:rPr>
          <w:color w:val="auto"/>
          <w:sz w:val="21"/>
          <w:szCs w:val="21"/>
        </w:rPr>
        <w:t xml:space="preserve"> 配置表</w:t>
      </w:r>
    </w:p>
    <w:p>
      <w:pPr>
        <w:spacing w:line="360" w:lineRule="auto"/>
        <w:jc w:val="center"/>
        <w:rPr>
          <w:bCs/>
          <w:color w:val="auto"/>
          <w:sz w:val="21"/>
          <w:szCs w:val="21"/>
        </w:rPr>
      </w:pPr>
      <w:r>
        <w:rPr>
          <w:bCs/>
          <w:color w:val="auto"/>
          <w:sz w:val="21"/>
          <w:szCs w:val="21"/>
        </w:rPr>
        <w:t>表2.2物资配置一览表</w:t>
      </w:r>
    </w:p>
    <w:tbl>
      <w:tblPr>
        <w:tblStyle w:val="1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top w:w="0" w:type="dxa"/>
          <w:left w:w="108" w:type="dxa"/>
          <w:bottom w:w="0" w:type="dxa"/>
          <w:right w:w="108" w:type="dxa"/>
        </w:tblCellMar>
      </w:tblPr>
      <w:tblGrid>
        <w:gridCol w:w="554"/>
        <w:gridCol w:w="927"/>
        <w:gridCol w:w="921"/>
        <w:gridCol w:w="923"/>
        <w:gridCol w:w="925"/>
        <w:gridCol w:w="782"/>
        <w:gridCol w:w="819"/>
        <w:gridCol w:w="514"/>
        <w:gridCol w:w="514"/>
        <w:gridCol w:w="514"/>
        <w:gridCol w:w="528"/>
        <w:gridCol w:w="5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25" w:type="pct"/>
            <w:vMerge w:val="restart"/>
            <w:shd w:val="clear" w:color="auto" w:fill="FFFFFF"/>
            <w:vAlign w:val="center"/>
          </w:tcPr>
          <w:p>
            <w:pPr>
              <w:jc w:val="center"/>
              <w:rPr>
                <w:color w:val="auto"/>
                <w:szCs w:val="21"/>
              </w:rPr>
            </w:pPr>
            <w:r>
              <w:rPr>
                <w:color w:val="auto"/>
                <w:szCs w:val="21"/>
              </w:rPr>
              <w:t>序号</w:t>
            </w:r>
          </w:p>
        </w:tc>
        <w:tc>
          <w:tcPr>
            <w:tcW w:w="544" w:type="pct"/>
            <w:vMerge w:val="restart"/>
            <w:shd w:val="clear" w:color="auto" w:fill="FFFFFF"/>
            <w:vAlign w:val="center"/>
          </w:tcPr>
          <w:p>
            <w:pPr>
              <w:jc w:val="center"/>
              <w:rPr>
                <w:color w:val="auto"/>
                <w:szCs w:val="21"/>
              </w:rPr>
            </w:pPr>
            <w:r>
              <w:rPr>
                <w:color w:val="auto"/>
                <w:szCs w:val="21"/>
              </w:rPr>
              <w:t>物资编码</w:t>
            </w:r>
          </w:p>
        </w:tc>
        <w:tc>
          <w:tcPr>
            <w:tcW w:w="541" w:type="pct"/>
            <w:vMerge w:val="restart"/>
            <w:shd w:val="clear" w:color="auto" w:fill="FFFFFF"/>
            <w:vAlign w:val="center"/>
          </w:tcPr>
          <w:p>
            <w:pPr>
              <w:jc w:val="center"/>
              <w:rPr>
                <w:color w:val="auto"/>
                <w:szCs w:val="21"/>
              </w:rPr>
            </w:pPr>
            <w:r>
              <w:rPr>
                <w:color w:val="auto"/>
                <w:szCs w:val="21"/>
              </w:rPr>
              <w:t>物资名称</w:t>
            </w:r>
          </w:p>
        </w:tc>
        <w:tc>
          <w:tcPr>
            <w:tcW w:w="542" w:type="pct"/>
            <w:vMerge w:val="restart"/>
            <w:shd w:val="clear" w:color="auto" w:fill="FFFFFF"/>
            <w:vAlign w:val="center"/>
          </w:tcPr>
          <w:p>
            <w:pPr>
              <w:jc w:val="center"/>
              <w:rPr>
                <w:color w:val="auto"/>
                <w:szCs w:val="21"/>
              </w:rPr>
            </w:pPr>
            <w:r>
              <w:rPr>
                <w:color w:val="auto"/>
                <w:szCs w:val="21"/>
              </w:rPr>
              <w:t>规格型号</w:t>
            </w:r>
          </w:p>
        </w:tc>
        <w:tc>
          <w:tcPr>
            <w:tcW w:w="3046" w:type="pct"/>
            <w:gridSpan w:val="8"/>
            <w:shd w:val="clear" w:color="auto" w:fill="FFFFFF"/>
          </w:tcPr>
          <w:p>
            <w:pPr>
              <w:jc w:val="center"/>
              <w:rPr>
                <w:color w:val="auto"/>
                <w:szCs w:val="21"/>
              </w:rPr>
            </w:pPr>
            <w:r>
              <w:rPr>
                <w:color w:val="auto"/>
                <w:szCs w:val="21"/>
              </w:rPr>
              <w:t>配置要求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325" w:type="pct"/>
            <w:vMerge w:val="continue"/>
            <w:shd w:val="clear" w:color="auto" w:fill="FFFFFF"/>
            <w:vAlign w:val="center"/>
          </w:tcPr>
          <w:p>
            <w:pPr>
              <w:jc w:val="center"/>
              <w:rPr>
                <w:color w:val="auto"/>
                <w:szCs w:val="21"/>
              </w:rPr>
            </w:pPr>
          </w:p>
        </w:tc>
        <w:tc>
          <w:tcPr>
            <w:tcW w:w="544" w:type="pct"/>
            <w:vMerge w:val="continue"/>
            <w:shd w:val="clear" w:color="auto" w:fill="FFFFFF"/>
            <w:vAlign w:val="center"/>
          </w:tcPr>
          <w:p>
            <w:pPr>
              <w:jc w:val="center"/>
              <w:rPr>
                <w:color w:val="auto"/>
                <w:szCs w:val="21"/>
              </w:rPr>
            </w:pPr>
          </w:p>
        </w:tc>
        <w:tc>
          <w:tcPr>
            <w:tcW w:w="541" w:type="pct"/>
            <w:vMerge w:val="continue"/>
            <w:shd w:val="clear" w:color="auto" w:fill="FFFFFF"/>
            <w:vAlign w:val="center"/>
          </w:tcPr>
          <w:p>
            <w:pPr>
              <w:jc w:val="center"/>
              <w:rPr>
                <w:color w:val="auto"/>
                <w:szCs w:val="21"/>
              </w:rPr>
            </w:pPr>
          </w:p>
        </w:tc>
        <w:tc>
          <w:tcPr>
            <w:tcW w:w="542" w:type="pct"/>
            <w:vMerge w:val="continue"/>
            <w:shd w:val="clear" w:color="auto" w:fill="FFFFFF"/>
            <w:vAlign w:val="center"/>
          </w:tcPr>
          <w:p>
            <w:pPr>
              <w:jc w:val="center"/>
              <w:rPr>
                <w:color w:val="auto"/>
                <w:szCs w:val="21"/>
              </w:rPr>
            </w:pPr>
          </w:p>
        </w:tc>
        <w:tc>
          <w:tcPr>
            <w:tcW w:w="543" w:type="pct"/>
            <w:shd w:val="clear" w:color="auto" w:fill="FFFFFF"/>
            <w:vAlign w:val="center"/>
          </w:tcPr>
          <w:p>
            <w:pPr>
              <w:jc w:val="center"/>
              <w:rPr>
                <w:color w:val="auto"/>
                <w:szCs w:val="21"/>
              </w:rPr>
            </w:pPr>
            <w:r>
              <w:rPr>
                <w:color w:val="auto"/>
                <w:szCs w:val="21"/>
              </w:rPr>
              <w:t>序号</w:t>
            </w:r>
          </w:p>
        </w:tc>
        <w:tc>
          <w:tcPr>
            <w:tcW w:w="459" w:type="pct"/>
            <w:shd w:val="clear" w:color="auto" w:fill="FFFFFF"/>
            <w:vAlign w:val="center"/>
          </w:tcPr>
          <w:p>
            <w:pPr>
              <w:jc w:val="center"/>
              <w:rPr>
                <w:color w:val="auto"/>
                <w:szCs w:val="21"/>
              </w:rPr>
            </w:pPr>
            <w:r>
              <w:rPr>
                <w:color w:val="auto"/>
                <w:szCs w:val="21"/>
              </w:rPr>
              <w:t>配件编码</w:t>
            </w:r>
          </w:p>
        </w:tc>
        <w:tc>
          <w:tcPr>
            <w:tcW w:w="481" w:type="pct"/>
            <w:shd w:val="clear" w:color="auto" w:fill="FFFFFF"/>
            <w:vAlign w:val="center"/>
          </w:tcPr>
          <w:p>
            <w:pPr>
              <w:jc w:val="center"/>
              <w:rPr>
                <w:color w:val="auto"/>
                <w:szCs w:val="21"/>
              </w:rPr>
            </w:pPr>
            <w:r>
              <w:rPr>
                <w:color w:val="auto"/>
                <w:szCs w:val="21"/>
              </w:rPr>
              <w:t>配件名称</w:t>
            </w:r>
          </w:p>
        </w:tc>
        <w:tc>
          <w:tcPr>
            <w:tcW w:w="302" w:type="pct"/>
            <w:shd w:val="clear" w:color="auto" w:fill="FFFFFF"/>
            <w:vAlign w:val="center"/>
          </w:tcPr>
          <w:p>
            <w:pPr>
              <w:jc w:val="center"/>
              <w:rPr>
                <w:color w:val="auto"/>
                <w:szCs w:val="21"/>
              </w:rPr>
            </w:pPr>
            <w:r>
              <w:rPr>
                <w:color w:val="auto"/>
                <w:szCs w:val="21"/>
              </w:rPr>
              <w:t>默认项</w:t>
            </w:r>
          </w:p>
        </w:tc>
        <w:tc>
          <w:tcPr>
            <w:tcW w:w="302" w:type="pct"/>
            <w:shd w:val="clear" w:color="auto" w:fill="FFFFFF"/>
            <w:vAlign w:val="center"/>
          </w:tcPr>
          <w:p>
            <w:pPr>
              <w:rPr>
                <w:color w:val="auto"/>
                <w:szCs w:val="21"/>
              </w:rPr>
            </w:pPr>
            <w:r>
              <w:rPr>
                <w:color w:val="auto"/>
                <w:szCs w:val="21"/>
              </w:rPr>
              <w:t>规格型号</w:t>
            </w:r>
          </w:p>
        </w:tc>
        <w:tc>
          <w:tcPr>
            <w:tcW w:w="302" w:type="pct"/>
            <w:shd w:val="clear" w:color="auto" w:fill="FFFFFF"/>
            <w:vAlign w:val="center"/>
          </w:tcPr>
          <w:p>
            <w:pPr>
              <w:jc w:val="center"/>
              <w:rPr>
                <w:color w:val="auto"/>
                <w:szCs w:val="21"/>
              </w:rPr>
            </w:pPr>
            <w:r>
              <w:rPr>
                <w:color w:val="auto"/>
                <w:szCs w:val="21"/>
              </w:rPr>
              <w:t>单位</w:t>
            </w:r>
          </w:p>
        </w:tc>
        <w:tc>
          <w:tcPr>
            <w:tcW w:w="310" w:type="pct"/>
            <w:shd w:val="clear" w:color="auto" w:fill="FFFFFF"/>
            <w:vAlign w:val="center"/>
          </w:tcPr>
          <w:p>
            <w:pPr>
              <w:jc w:val="center"/>
              <w:rPr>
                <w:color w:val="auto"/>
                <w:szCs w:val="21"/>
              </w:rPr>
            </w:pPr>
            <w:r>
              <w:rPr>
                <w:color w:val="auto"/>
                <w:szCs w:val="21"/>
              </w:rPr>
              <w:t>数量</w:t>
            </w:r>
          </w:p>
        </w:tc>
        <w:tc>
          <w:tcPr>
            <w:tcW w:w="344" w:type="pct"/>
            <w:shd w:val="clear" w:color="auto" w:fill="FFFFFF"/>
            <w:vAlign w:val="center"/>
          </w:tcPr>
          <w:p>
            <w:pPr>
              <w:jc w:val="center"/>
              <w:rPr>
                <w:color w:val="auto"/>
                <w:szCs w:val="21"/>
              </w:rPr>
            </w:pPr>
            <w:r>
              <w:rPr>
                <w:color w:val="auto"/>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325" w:type="pct"/>
            <w:shd w:val="clear" w:color="auto" w:fill="FFFFFF"/>
            <w:vAlign w:val="center"/>
          </w:tcPr>
          <w:p>
            <w:pPr>
              <w:jc w:val="center"/>
              <w:rPr>
                <w:color w:val="auto"/>
                <w:szCs w:val="21"/>
              </w:rPr>
            </w:pPr>
          </w:p>
        </w:tc>
        <w:tc>
          <w:tcPr>
            <w:tcW w:w="544" w:type="pct"/>
            <w:shd w:val="clear" w:color="auto" w:fill="FFFFFF"/>
            <w:vAlign w:val="center"/>
          </w:tcPr>
          <w:p>
            <w:pPr>
              <w:jc w:val="center"/>
              <w:rPr>
                <w:color w:val="auto"/>
                <w:szCs w:val="21"/>
              </w:rPr>
            </w:pPr>
          </w:p>
        </w:tc>
        <w:tc>
          <w:tcPr>
            <w:tcW w:w="541" w:type="pct"/>
            <w:shd w:val="clear" w:color="auto" w:fill="FFFFFF"/>
            <w:vAlign w:val="center"/>
          </w:tcPr>
          <w:p>
            <w:pPr>
              <w:jc w:val="center"/>
              <w:rPr>
                <w:color w:val="auto"/>
                <w:szCs w:val="21"/>
              </w:rPr>
            </w:pPr>
          </w:p>
        </w:tc>
        <w:tc>
          <w:tcPr>
            <w:tcW w:w="542" w:type="pct"/>
            <w:shd w:val="clear" w:color="auto" w:fill="FFFFFF"/>
            <w:vAlign w:val="center"/>
          </w:tcPr>
          <w:p>
            <w:pPr>
              <w:jc w:val="center"/>
              <w:rPr>
                <w:color w:val="auto"/>
                <w:szCs w:val="21"/>
              </w:rPr>
            </w:pPr>
          </w:p>
        </w:tc>
        <w:tc>
          <w:tcPr>
            <w:tcW w:w="543" w:type="pct"/>
            <w:shd w:val="clear" w:color="auto" w:fill="FFFFFF"/>
            <w:vAlign w:val="center"/>
          </w:tcPr>
          <w:p>
            <w:pPr>
              <w:jc w:val="center"/>
              <w:rPr>
                <w:color w:val="auto"/>
                <w:sz w:val="20"/>
                <w:szCs w:val="20"/>
              </w:rPr>
            </w:pPr>
          </w:p>
        </w:tc>
        <w:tc>
          <w:tcPr>
            <w:tcW w:w="459" w:type="pct"/>
            <w:shd w:val="clear" w:color="auto" w:fill="FFFFFF"/>
            <w:vAlign w:val="center"/>
          </w:tcPr>
          <w:p>
            <w:pPr>
              <w:jc w:val="center"/>
              <w:rPr>
                <w:color w:val="auto"/>
                <w:sz w:val="20"/>
                <w:szCs w:val="20"/>
              </w:rPr>
            </w:pPr>
          </w:p>
        </w:tc>
        <w:tc>
          <w:tcPr>
            <w:tcW w:w="481" w:type="pct"/>
            <w:shd w:val="clear" w:color="auto" w:fill="FFFFFF"/>
            <w:vAlign w:val="center"/>
          </w:tcPr>
          <w:p>
            <w:pPr>
              <w:jc w:val="center"/>
              <w:rPr>
                <w:color w:val="auto"/>
                <w:sz w:val="20"/>
                <w:szCs w:val="20"/>
              </w:rPr>
            </w:pPr>
          </w:p>
        </w:tc>
        <w:tc>
          <w:tcPr>
            <w:tcW w:w="302" w:type="pct"/>
            <w:shd w:val="clear" w:color="auto" w:fill="FFFFFF"/>
            <w:vAlign w:val="center"/>
          </w:tcPr>
          <w:p>
            <w:pPr>
              <w:jc w:val="center"/>
              <w:rPr>
                <w:color w:val="auto"/>
                <w:sz w:val="20"/>
                <w:szCs w:val="20"/>
              </w:rPr>
            </w:pPr>
          </w:p>
        </w:tc>
        <w:tc>
          <w:tcPr>
            <w:tcW w:w="302" w:type="pct"/>
            <w:shd w:val="clear" w:color="auto" w:fill="FFFFFF"/>
            <w:vAlign w:val="center"/>
          </w:tcPr>
          <w:p>
            <w:pPr>
              <w:rPr>
                <w:color w:val="auto"/>
                <w:sz w:val="20"/>
                <w:szCs w:val="20"/>
              </w:rPr>
            </w:pPr>
          </w:p>
        </w:tc>
        <w:tc>
          <w:tcPr>
            <w:tcW w:w="302" w:type="pct"/>
            <w:shd w:val="clear" w:color="auto" w:fill="FFFFFF"/>
            <w:vAlign w:val="center"/>
          </w:tcPr>
          <w:p>
            <w:pPr>
              <w:jc w:val="center"/>
              <w:rPr>
                <w:color w:val="auto"/>
                <w:sz w:val="20"/>
                <w:szCs w:val="20"/>
              </w:rPr>
            </w:pPr>
          </w:p>
        </w:tc>
        <w:tc>
          <w:tcPr>
            <w:tcW w:w="310" w:type="pct"/>
            <w:shd w:val="clear" w:color="auto" w:fill="FFFFFF"/>
            <w:vAlign w:val="center"/>
          </w:tcPr>
          <w:p>
            <w:pPr>
              <w:jc w:val="center"/>
              <w:rPr>
                <w:color w:val="auto"/>
                <w:sz w:val="20"/>
                <w:szCs w:val="20"/>
              </w:rPr>
            </w:pPr>
          </w:p>
        </w:tc>
        <w:tc>
          <w:tcPr>
            <w:tcW w:w="344" w:type="pct"/>
            <w:shd w:val="clear" w:color="auto" w:fill="FFFFFF"/>
            <w:vAlign w:val="center"/>
          </w:tcPr>
          <w:p>
            <w:pPr>
              <w:jc w:val="center"/>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325" w:type="pct"/>
            <w:shd w:val="clear" w:color="auto" w:fill="FFFFFF"/>
            <w:vAlign w:val="center"/>
          </w:tcPr>
          <w:p>
            <w:pPr>
              <w:jc w:val="center"/>
              <w:rPr>
                <w:color w:val="auto"/>
                <w:szCs w:val="21"/>
              </w:rPr>
            </w:pPr>
          </w:p>
        </w:tc>
        <w:tc>
          <w:tcPr>
            <w:tcW w:w="544" w:type="pct"/>
            <w:shd w:val="clear" w:color="auto" w:fill="FFFFFF"/>
            <w:vAlign w:val="center"/>
          </w:tcPr>
          <w:p>
            <w:pPr>
              <w:jc w:val="center"/>
              <w:rPr>
                <w:color w:val="auto"/>
                <w:szCs w:val="21"/>
              </w:rPr>
            </w:pPr>
          </w:p>
        </w:tc>
        <w:tc>
          <w:tcPr>
            <w:tcW w:w="541" w:type="pct"/>
            <w:shd w:val="clear" w:color="auto" w:fill="FFFFFF"/>
            <w:vAlign w:val="center"/>
          </w:tcPr>
          <w:p>
            <w:pPr>
              <w:jc w:val="center"/>
              <w:rPr>
                <w:color w:val="auto"/>
                <w:szCs w:val="21"/>
              </w:rPr>
            </w:pPr>
          </w:p>
        </w:tc>
        <w:tc>
          <w:tcPr>
            <w:tcW w:w="542" w:type="pct"/>
            <w:shd w:val="clear" w:color="auto" w:fill="FFFFFF"/>
            <w:vAlign w:val="center"/>
          </w:tcPr>
          <w:p>
            <w:pPr>
              <w:jc w:val="center"/>
              <w:rPr>
                <w:color w:val="auto"/>
                <w:szCs w:val="21"/>
              </w:rPr>
            </w:pPr>
          </w:p>
        </w:tc>
        <w:tc>
          <w:tcPr>
            <w:tcW w:w="543" w:type="pct"/>
            <w:shd w:val="clear" w:color="auto" w:fill="FFFFFF"/>
            <w:vAlign w:val="center"/>
          </w:tcPr>
          <w:p>
            <w:pPr>
              <w:jc w:val="center"/>
              <w:rPr>
                <w:color w:val="auto"/>
                <w:sz w:val="20"/>
                <w:szCs w:val="20"/>
              </w:rPr>
            </w:pPr>
          </w:p>
        </w:tc>
        <w:tc>
          <w:tcPr>
            <w:tcW w:w="459" w:type="pct"/>
            <w:shd w:val="clear" w:color="auto" w:fill="FFFFFF"/>
            <w:vAlign w:val="center"/>
          </w:tcPr>
          <w:p>
            <w:pPr>
              <w:jc w:val="center"/>
              <w:rPr>
                <w:color w:val="auto"/>
                <w:sz w:val="20"/>
                <w:szCs w:val="20"/>
              </w:rPr>
            </w:pPr>
          </w:p>
        </w:tc>
        <w:tc>
          <w:tcPr>
            <w:tcW w:w="481" w:type="pct"/>
            <w:shd w:val="clear" w:color="auto" w:fill="FFFFFF"/>
            <w:vAlign w:val="center"/>
          </w:tcPr>
          <w:p>
            <w:pPr>
              <w:jc w:val="center"/>
              <w:rPr>
                <w:color w:val="auto"/>
                <w:sz w:val="20"/>
                <w:szCs w:val="20"/>
              </w:rPr>
            </w:pPr>
          </w:p>
        </w:tc>
        <w:tc>
          <w:tcPr>
            <w:tcW w:w="302" w:type="pct"/>
            <w:shd w:val="clear" w:color="auto" w:fill="FFFFFF"/>
            <w:vAlign w:val="center"/>
          </w:tcPr>
          <w:p>
            <w:pPr>
              <w:jc w:val="center"/>
              <w:rPr>
                <w:color w:val="auto"/>
                <w:sz w:val="20"/>
                <w:szCs w:val="20"/>
              </w:rPr>
            </w:pPr>
          </w:p>
        </w:tc>
        <w:tc>
          <w:tcPr>
            <w:tcW w:w="302" w:type="pct"/>
            <w:shd w:val="clear" w:color="auto" w:fill="FFFFFF"/>
            <w:vAlign w:val="center"/>
          </w:tcPr>
          <w:p>
            <w:pPr>
              <w:rPr>
                <w:color w:val="auto"/>
                <w:sz w:val="20"/>
                <w:szCs w:val="20"/>
              </w:rPr>
            </w:pPr>
          </w:p>
        </w:tc>
        <w:tc>
          <w:tcPr>
            <w:tcW w:w="302" w:type="pct"/>
            <w:shd w:val="clear" w:color="auto" w:fill="FFFFFF"/>
            <w:vAlign w:val="center"/>
          </w:tcPr>
          <w:p>
            <w:pPr>
              <w:jc w:val="center"/>
              <w:rPr>
                <w:color w:val="auto"/>
                <w:sz w:val="20"/>
                <w:szCs w:val="20"/>
              </w:rPr>
            </w:pPr>
          </w:p>
        </w:tc>
        <w:tc>
          <w:tcPr>
            <w:tcW w:w="310" w:type="pct"/>
            <w:shd w:val="clear" w:color="auto" w:fill="FFFFFF"/>
            <w:vAlign w:val="center"/>
          </w:tcPr>
          <w:p>
            <w:pPr>
              <w:jc w:val="center"/>
              <w:rPr>
                <w:color w:val="auto"/>
                <w:sz w:val="20"/>
                <w:szCs w:val="20"/>
              </w:rPr>
            </w:pPr>
          </w:p>
        </w:tc>
        <w:tc>
          <w:tcPr>
            <w:tcW w:w="344" w:type="pct"/>
            <w:shd w:val="clear" w:color="auto" w:fill="FFFFFF"/>
            <w:vAlign w:val="center"/>
          </w:tcPr>
          <w:p>
            <w:pPr>
              <w:jc w:val="center"/>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325" w:type="pct"/>
            <w:shd w:val="clear" w:color="auto" w:fill="FFFFFF"/>
            <w:vAlign w:val="center"/>
          </w:tcPr>
          <w:p>
            <w:pPr>
              <w:jc w:val="center"/>
              <w:rPr>
                <w:color w:val="auto"/>
                <w:szCs w:val="21"/>
              </w:rPr>
            </w:pPr>
          </w:p>
        </w:tc>
        <w:tc>
          <w:tcPr>
            <w:tcW w:w="544" w:type="pct"/>
            <w:shd w:val="clear" w:color="auto" w:fill="FFFFFF"/>
            <w:vAlign w:val="center"/>
          </w:tcPr>
          <w:p>
            <w:pPr>
              <w:jc w:val="center"/>
              <w:rPr>
                <w:color w:val="auto"/>
                <w:szCs w:val="21"/>
              </w:rPr>
            </w:pPr>
          </w:p>
        </w:tc>
        <w:tc>
          <w:tcPr>
            <w:tcW w:w="541" w:type="pct"/>
            <w:shd w:val="clear" w:color="auto" w:fill="FFFFFF"/>
            <w:vAlign w:val="center"/>
          </w:tcPr>
          <w:p>
            <w:pPr>
              <w:jc w:val="center"/>
              <w:rPr>
                <w:color w:val="auto"/>
                <w:szCs w:val="21"/>
              </w:rPr>
            </w:pPr>
          </w:p>
        </w:tc>
        <w:tc>
          <w:tcPr>
            <w:tcW w:w="542" w:type="pct"/>
            <w:shd w:val="clear" w:color="auto" w:fill="FFFFFF"/>
            <w:vAlign w:val="center"/>
          </w:tcPr>
          <w:p>
            <w:pPr>
              <w:jc w:val="center"/>
              <w:rPr>
                <w:color w:val="auto"/>
                <w:szCs w:val="21"/>
              </w:rPr>
            </w:pPr>
          </w:p>
        </w:tc>
        <w:tc>
          <w:tcPr>
            <w:tcW w:w="543" w:type="pct"/>
            <w:shd w:val="clear" w:color="auto" w:fill="FFFFFF"/>
            <w:vAlign w:val="center"/>
          </w:tcPr>
          <w:p>
            <w:pPr>
              <w:jc w:val="center"/>
              <w:rPr>
                <w:color w:val="auto"/>
                <w:sz w:val="20"/>
                <w:szCs w:val="20"/>
              </w:rPr>
            </w:pPr>
          </w:p>
        </w:tc>
        <w:tc>
          <w:tcPr>
            <w:tcW w:w="459" w:type="pct"/>
            <w:shd w:val="clear" w:color="auto" w:fill="FFFFFF"/>
            <w:vAlign w:val="center"/>
          </w:tcPr>
          <w:p>
            <w:pPr>
              <w:jc w:val="center"/>
              <w:rPr>
                <w:color w:val="auto"/>
                <w:sz w:val="20"/>
                <w:szCs w:val="20"/>
              </w:rPr>
            </w:pPr>
          </w:p>
        </w:tc>
        <w:tc>
          <w:tcPr>
            <w:tcW w:w="481" w:type="pct"/>
            <w:shd w:val="clear" w:color="auto" w:fill="FFFFFF"/>
            <w:vAlign w:val="center"/>
          </w:tcPr>
          <w:p>
            <w:pPr>
              <w:jc w:val="center"/>
              <w:rPr>
                <w:color w:val="auto"/>
                <w:sz w:val="20"/>
                <w:szCs w:val="20"/>
              </w:rPr>
            </w:pPr>
          </w:p>
        </w:tc>
        <w:tc>
          <w:tcPr>
            <w:tcW w:w="302" w:type="pct"/>
            <w:shd w:val="clear" w:color="auto" w:fill="FFFFFF"/>
            <w:vAlign w:val="center"/>
          </w:tcPr>
          <w:p>
            <w:pPr>
              <w:jc w:val="center"/>
              <w:rPr>
                <w:color w:val="auto"/>
                <w:sz w:val="20"/>
                <w:szCs w:val="20"/>
              </w:rPr>
            </w:pPr>
          </w:p>
        </w:tc>
        <w:tc>
          <w:tcPr>
            <w:tcW w:w="302" w:type="pct"/>
            <w:shd w:val="clear" w:color="auto" w:fill="FFFFFF"/>
            <w:vAlign w:val="center"/>
          </w:tcPr>
          <w:p>
            <w:pPr>
              <w:rPr>
                <w:color w:val="auto"/>
                <w:sz w:val="20"/>
                <w:szCs w:val="20"/>
              </w:rPr>
            </w:pPr>
          </w:p>
        </w:tc>
        <w:tc>
          <w:tcPr>
            <w:tcW w:w="302" w:type="pct"/>
            <w:shd w:val="clear" w:color="auto" w:fill="FFFFFF"/>
            <w:vAlign w:val="center"/>
          </w:tcPr>
          <w:p>
            <w:pPr>
              <w:jc w:val="center"/>
              <w:rPr>
                <w:color w:val="auto"/>
                <w:sz w:val="20"/>
                <w:szCs w:val="20"/>
              </w:rPr>
            </w:pPr>
          </w:p>
        </w:tc>
        <w:tc>
          <w:tcPr>
            <w:tcW w:w="310" w:type="pct"/>
            <w:shd w:val="clear" w:color="auto" w:fill="FFFFFF"/>
            <w:vAlign w:val="center"/>
          </w:tcPr>
          <w:p>
            <w:pPr>
              <w:jc w:val="center"/>
              <w:rPr>
                <w:color w:val="auto"/>
                <w:sz w:val="20"/>
                <w:szCs w:val="20"/>
              </w:rPr>
            </w:pPr>
          </w:p>
        </w:tc>
        <w:tc>
          <w:tcPr>
            <w:tcW w:w="344" w:type="pct"/>
            <w:shd w:val="clear" w:color="auto" w:fill="FFFFFF"/>
            <w:vAlign w:val="center"/>
          </w:tcPr>
          <w:p>
            <w:pPr>
              <w:jc w:val="center"/>
              <w:rPr>
                <w:color w:val="auto"/>
                <w:szCs w:val="21"/>
              </w:rPr>
            </w:pPr>
          </w:p>
        </w:tc>
      </w:tr>
    </w:tbl>
    <w:p>
      <w:pPr>
        <w:pStyle w:val="39"/>
        <w:spacing w:after="0" w:line="360" w:lineRule="auto"/>
        <w:jc w:val="both"/>
        <w:rPr>
          <w:rFonts w:ascii="Times New Roman" w:hAnsi="Times New Roman" w:cs="Times New Roman"/>
          <w:color w:val="auto"/>
          <w:sz w:val="21"/>
          <w:szCs w:val="21"/>
        </w:rPr>
      </w:pPr>
      <w:r>
        <w:rPr>
          <w:rFonts w:ascii="Times New Roman" w:hAnsi="Times New Roman" w:cs="Times New Roman"/>
          <w:color w:val="auto"/>
          <w:sz w:val="21"/>
          <w:szCs w:val="21"/>
        </w:rPr>
        <w:t>表格备注：默认项：填写“是”或者“否”，填“是”则价格纳入价格统计计算价格分，填“否” 则价格不纳入价格统计计算价格分。</w:t>
      </w:r>
    </w:p>
    <w:p>
      <w:pPr>
        <w:pStyle w:val="2"/>
        <w:adjustRightInd w:val="0"/>
        <w:spacing w:before="0" w:beforeLines="0"/>
        <w:rPr>
          <w:rFonts w:ascii="Times New Roman"/>
          <w:color w:val="auto"/>
        </w:rPr>
      </w:pPr>
      <w:bookmarkStart w:id="3" w:name="_Toc144806698"/>
      <w:r>
        <w:rPr>
          <w:rFonts w:ascii="Times New Roman"/>
          <w:color w:val="auto"/>
        </w:rPr>
        <w:t>应遵循的主要标准</w:t>
      </w:r>
      <w:bookmarkEnd w:id="3"/>
    </w:p>
    <w:p>
      <w:pPr>
        <w:pStyle w:val="35"/>
        <w:spacing w:line="360" w:lineRule="auto"/>
        <w:rPr>
          <w:rFonts w:eastAsia="宋体"/>
          <w:color w:val="auto"/>
          <w:sz w:val="21"/>
          <w:szCs w:val="21"/>
        </w:rPr>
      </w:pPr>
      <w:r>
        <w:rPr>
          <w:rFonts w:eastAsia="宋体"/>
          <w:color w:val="auto"/>
          <w:sz w:val="21"/>
          <w:szCs w:val="21"/>
        </w:rPr>
        <w:t>除本标书特殊规定外, 投标方所提供的物资均按规定的标准和规程的最新版本进行销售、设计、制造、试验。如果这些标准内容有矛盾时,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并从买方处获得书面的认可才能使用。提交供审查的标准应为中文或英文版本。主要引用标准如下：</w:t>
      </w:r>
    </w:p>
    <w:p>
      <w:pPr>
        <w:pStyle w:val="35"/>
        <w:adjustRightInd w:val="0"/>
        <w:snapToGrid w:val="0"/>
        <w:spacing w:line="360" w:lineRule="auto"/>
        <w:rPr>
          <w:rFonts w:eastAsia="宋体"/>
          <w:color w:val="auto"/>
          <w:sz w:val="21"/>
          <w:szCs w:val="21"/>
        </w:rPr>
      </w:pPr>
      <w:r>
        <w:rPr>
          <w:rFonts w:eastAsia="宋体"/>
          <w:color w:val="auto"/>
          <w:sz w:val="21"/>
          <w:szCs w:val="21"/>
        </w:rPr>
        <w:t>GB 13398-2008      带电作业用空心绝缘管、泡沫填充绝缘管和实心绝缘棒</w:t>
      </w:r>
    </w:p>
    <w:p>
      <w:pPr>
        <w:pStyle w:val="35"/>
        <w:adjustRightInd w:val="0"/>
        <w:snapToGrid w:val="0"/>
        <w:spacing w:line="360" w:lineRule="auto"/>
        <w:rPr>
          <w:rFonts w:eastAsia="宋体"/>
          <w:color w:val="auto"/>
          <w:sz w:val="21"/>
          <w:szCs w:val="21"/>
        </w:rPr>
      </w:pPr>
      <w:r>
        <w:rPr>
          <w:rFonts w:eastAsia="宋体"/>
          <w:color w:val="auto"/>
          <w:sz w:val="21"/>
          <w:szCs w:val="21"/>
        </w:rPr>
        <w:t>DL/T 879-2021      便携式接地和接地短路装置</w:t>
      </w:r>
    </w:p>
    <w:p>
      <w:pPr>
        <w:pStyle w:val="2"/>
        <w:adjustRightInd w:val="0"/>
        <w:spacing w:before="0" w:beforeLines="0"/>
        <w:rPr>
          <w:rFonts w:ascii="Times New Roman"/>
          <w:color w:val="auto"/>
        </w:rPr>
      </w:pPr>
      <w:bookmarkStart w:id="4" w:name="_Toc144806699"/>
      <w:r>
        <w:rPr>
          <w:rFonts w:ascii="Times New Roman"/>
          <w:color w:val="auto"/>
        </w:rPr>
        <w:t>技术要求</w:t>
      </w:r>
      <w:bookmarkEnd w:id="4"/>
    </w:p>
    <w:p>
      <w:pPr>
        <w:spacing w:line="360" w:lineRule="auto"/>
        <w:ind w:firstLine="442" w:firstLineChars="200"/>
        <w:rPr>
          <w:b/>
          <w:bCs/>
          <w:color w:val="auto"/>
          <w:szCs w:val="21"/>
        </w:rPr>
      </w:pPr>
      <w:bookmarkStart w:id="5" w:name="bookmark16"/>
      <w:bookmarkEnd w:id="5"/>
      <w:bookmarkStart w:id="6" w:name="bookmark17"/>
      <w:r>
        <w:rPr>
          <w:rFonts w:hint="eastAsia"/>
          <w:b/>
          <w:bCs/>
          <w:color w:val="auto"/>
          <w:szCs w:val="21"/>
        </w:rPr>
        <w:t>电容</w:t>
      </w:r>
      <w:r>
        <w:rPr>
          <w:rFonts w:hint="eastAsia"/>
          <w:b/>
          <w:bCs/>
          <w:color w:val="auto"/>
          <w:szCs w:val="21"/>
          <w:lang w:val="en-US" w:eastAsia="zh-CN"/>
        </w:rPr>
        <w:t>器</w:t>
      </w:r>
      <w:r>
        <w:rPr>
          <w:rFonts w:hint="eastAsia"/>
          <w:b/>
          <w:bCs/>
          <w:color w:val="auto"/>
          <w:szCs w:val="21"/>
        </w:rPr>
        <w:t>放电棒</w:t>
      </w:r>
      <w:r>
        <w:rPr>
          <w:b/>
          <w:bCs/>
          <w:color w:val="auto"/>
          <w:szCs w:val="21"/>
        </w:rPr>
        <w:t>除必须满足《</w:t>
      </w:r>
      <w:r>
        <w:rPr>
          <w:rFonts w:hint="eastAsia"/>
          <w:b/>
          <w:bCs/>
          <w:color w:val="auto"/>
          <w:szCs w:val="21"/>
        </w:rPr>
        <w:t>带电作业用空心绝缘管、泡沫填充绝缘管和实心绝缘棒</w:t>
      </w:r>
      <w:r>
        <w:rPr>
          <w:b/>
          <w:bCs/>
          <w:color w:val="auto"/>
          <w:szCs w:val="21"/>
        </w:rPr>
        <w:t>》（GB 13398-2008）等国家、行业标准的要求外，还应满足以下条款要求。</w:t>
      </w:r>
    </w:p>
    <w:p>
      <w:pPr>
        <w:adjustRightInd w:val="0"/>
        <w:snapToGrid w:val="0"/>
        <w:spacing w:line="360" w:lineRule="auto"/>
        <w:rPr>
          <w:color w:val="auto"/>
          <w:sz w:val="21"/>
          <w:szCs w:val="21"/>
        </w:rPr>
      </w:pPr>
      <w:r>
        <w:rPr>
          <w:color w:val="auto"/>
          <w:sz w:val="21"/>
          <w:szCs w:val="21"/>
        </w:rPr>
        <w:t>4.1 一般要求</w:t>
      </w:r>
    </w:p>
    <w:p>
      <w:pPr>
        <w:widowControl w:val="0"/>
        <w:adjustRightInd w:val="0"/>
        <w:snapToGrid w:val="0"/>
        <w:spacing w:line="360" w:lineRule="auto"/>
        <w:jc w:val="both"/>
        <w:rPr>
          <w:color w:val="auto"/>
          <w:kern w:val="2"/>
          <w:sz w:val="21"/>
          <w:szCs w:val="21"/>
        </w:rPr>
      </w:pPr>
      <w:r>
        <w:rPr>
          <w:color w:val="auto"/>
          <w:kern w:val="2"/>
          <w:sz w:val="21"/>
          <w:szCs w:val="21"/>
        </w:rPr>
        <w:t>（</w:t>
      </w:r>
      <w:bookmarkEnd w:id="6"/>
      <w:r>
        <w:rPr>
          <w:color w:val="auto"/>
          <w:kern w:val="2"/>
          <w:sz w:val="21"/>
          <w:szCs w:val="21"/>
        </w:rPr>
        <w:t>1）每组为一支杆（含铜杆头）、</w:t>
      </w:r>
      <w:r>
        <w:rPr>
          <w:color w:val="auto"/>
          <w:kern w:val="2"/>
          <w:sz w:val="21"/>
          <w:szCs w:val="21"/>
          <w:lang w:val="zh-CN"/>
        </w:rPr>
        <w:t>一</w:t>
      </w:r>
      <w:r>
        <w:rPr>
          <w:color w:val="auto"/>
          <w:kern w:val="2"/>
          <w:sz w:val="21"/>
          <w:szCs w:val="21"/>
        </w:rPr>
        <w:t>个接地铜夹、一条接地线。</w:t>
      </w:r>
    </w:p>
    <w:p>
      <w:pPr>
        <w:widowControl w:val="0"/>
        <w:adjustRightInd w:val="0"/>
        <w:snapToGrid w:val="0"/>
        <w:spacing w:line="360" w:lineRule="auto"/>
        <w:jc w:val="both"/>
        <w:rPr>
          <w:color w:val="auto"/>
          <w:kern w:val="2"/>
          <w:sz w:val="21"/>
          <w:szCs w:val="21"/>
        </w:rPr>
      </w:pPr>
      <w:bookmarkStart w:id="7" w:name="bookmark18"/>
      <w:r>
        <w:rPr>
          <w:color w:val="auto"/>
          <w:kern w:val="2"/>
          <w:sz w:val="21"/>
          <w:szCs w:val="21"/>
        </w:rPr>
        <w:t>（</w:t>
      </w:r>
      <w:bookmarkEnd w:id="7"/>
      <w:r>
        <w:rPr>
          <w:color w:val="auto"/>
          <w:kern w:val="2"/>
          <w:sz w:val="21"/>
          <w:szCs w:val="21"/>
        </w:rPr>
        <w:t>2）放电棒的杆材可以分为三类，见表4.1。</w:t>
      </w:r>
    </w:p>
    <w:p>
      <w:pPr>
        <w:adjustRightInd w:val="0"/>
        <w:snapToGrid w:val="0"/>
        <w:spacing w:line="360" w:lineRule="auto"/>
        <w:jc w:val="center"/>
        <w:rPr>
          <w:color w:val="auto"/>
          <w:sz w:val="21"/>
          <w:szCs w:val="21"/>
        </w:rPr>
      </w:pPr>
      <w:r>
        <w:rPr>
          <w:color w:val="auto"/>
          <w:sz w:val="21"/>
          <w:szCs w:val="21"/>
        </w:rPr>
        <w:t>表4.1  按杆材分类</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440"/>
        <w:gridCol w:w="594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tcBorders>
              <w:tl2br w:val="nil"/>
              <w:tr2bl w:val="nil"/>
            </w:tcBorders>
            <w:vAlign w:val="center"/>
          </w:tcPr>
          <w:p>
            <w:pPr>
              <w:spacing w:line="360" w:lineRule="auto"/>
              <w:jc w:val="center"/>
              <w:rPr>
                <w:color w:val="auto"/>
                <w:sz w:val="21"/>
                <w:szCs w:val="21"/>
              </w:rPr>
            </w:pPr>
            <w:r>
              <w:rPr>
                <w:color w:val="auto"/>
                <w:sz w:val="21"/>
                <w:szCs w:val="21"/>
              </w:rPr>
              <w:t>类别</w:t>
            </w:r>
          </w:p>
        </w:tc>
        <w:tc>
          <w:tcPr>
            <w:tcW w:w="1440" w:type="dxa"/>
            <w:tcBorders>
              <w:tl2br w:val="nil"/>
              <w:tr2bl w:val="nil"/>
            </w:tcBorders>
            <w:vAlign w:val="center"/>
          </w:tcPr>
          <w:p>
            <w:pPr>
              <w:spacing w:line="360" w:lineRule="auto"/>
              <w:jc w:val="center"/>
              <w:rPr>
                <w:color w:val="auto"/>
                <w:sz w:val="21"/>
                <w:szCs w:val="21"/>
              </w:rPr>
            </w:pPr>
            <w:r>
              <w:rPr>
                <w:color w:val="auto"/>
                <w:sz w:val="21"/>
                <w:szCs w:val="21"/>
              </w:rPr>
              <w:t>名称</w:t>
            </w:r>
          </w:p>
        </w:tc>
        <w:tc>
          <w:tcPr>
            <w:tcW w:w="5940" w:type="dxa"/>
            <w:tcBorders>
              <w:tl2br w:val="nil"/>
              <w:tr2bl w:val="nil"/>
            </w:tcBorders>
            <w:vAlign w:val="center"/>
          </w:tcPr>
          <w:p>
            <w:pPr>
              <w:spacing w:line="360" w:lineRule="auto"/>
              <w:jc w:val="center"/>
              <w:rPr>
                <w:color w:val="auto"/>
                <w:sz w:val="21"/>
                <w:szCs w:val="21"/>
              </w:rPr>
            </w:pPr>
            <w:r>
              <w:rPr>
                <w:color w:val="auto"/>
                <w:sz w:val="21"/>
                <w:szCs w:val="21"/>
              </w:rPr>
              <w:t>标称外径系列 （mm）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tcBorders>
              <w:tl2br w:val="nil"/>
              <w:tr2bl w:val="nil"/>
            </w:tcBorders>
            <w:vAlign w:val="center"/>
          </w:tcPr>
          <w:p>
            <w:pPr>
              <w:spacing w:line="360" w:lineRule="auto"/>
              <w:jc w:val="center"/>
              <w:rPr>
                <w:color w:val="auto"/>
                <w:sz w:val="21"/>
                <w:szCs w:val="21"/>
              </w:rPr>
            </w:pPr>
            <w:r>
              <w:rPr>
                <w:color w:val="auto"/>
                <w:sz w:val="21"/>
                <w:szCs w:val="21"/>
              </w:rPr>
              <w:t>Ⅰ</w:t>
            </w:r>
          </w:p>
        </w:tc>
        <w:tc>
          <w:tcPr>
            <w:tcW w:w="1440" w:type="dxa"/>
            <w:tcBorders>
              <w:tl2br w:val="nil"/>
              <w:tr2bl w:val="nil"/>
            </w:tcBorders>
            <w:vAlign w:val="center"/>
          </w:tcPr>
          <w:p>
            <w:pPr>
              <w:spacing w:line="360" w:lineRule="auto"/>
              <w:jc w:val="center"/>
              <w:rPr>
                <w:color w:val="auto"/>
                <w:sz w:val="21"/>
                <w:szCs w:val="21"/>
              </w:rPr>
            </w:pPr>
            <w:r>
              <w:rPr>
                <w:color w:val="auto"/>
                <w:sz w:val="21"/>
                <w:szCs w:val="21"/>
              </w:rPr>
              <w:t>实心棒</w:t>
            </w:r>
          </w:p>
        </w:tc>
        <w:tc>
          <w:tcPr>
            <w:tcW w:w="5940" w:type="dxa"/>
            <w:tcBorders>
              <w:tl2br w:val="nil"/>
              <w:tr2bl w:val="nil"/>
            </w:tcBorders>
            <w:vAlign w:val="center"/>
          </w:tcPr>
          <w:p>
            <w:pPr>
              <w:spacing w:line="360" w:lineRule="auto"/>
              <w:jc w:val="center"/>
              <w:rPr>
                <w:color w:val="auto"/>
                <w:sz w:val="21"/>
                <w:szCs w:val="21"/>
              </w:rPr>
            </w:pPr>
            <w:r>
              <w:rPr>
                <w:color w:val="auto"/>
                <w:sz w:val="21"/>
                <w:szCs w:val="21"/>
              </w:rPr>
              <w:t>10,16,24,30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tcBorders>
              <w:tl2br w:val="nil"/>
              <w:tr2bl w:val="nil"/>
            </w:tcBorders>
            <w:vAlign w:val="center"/>
          </w:tcPr>
          <w:p>
            <w:pPr>
              <w:spacing w:line="360" w:lineRule="auto"/>
              <w:jc w:val="center"/>
              <w:rPr>
                <w:color w:val="auto"/>
                <w:sz w:val="21"/>
                <w:szCs w:val="21"/>
              </w:rPr>
            </w:pPr>
            <w:r>
              <w:rPr>
                <w:color w:val="auto"/>
                <w:sz w:val="21"/>
                <w:szCs w:val="21"/>
              </w:rPr>
              <w:t>Ⅱ</w:t>
            </w:r>
          </w:p>
        </w:tc>
        <w:tc>
          <w:tcPr>
            <w:tcW w:w="1440" w:type="dxa"/>
            <w:tcBorders>
              <w:tl2br w:val="nil"/>
              <w:tr2bl w:val="nil"/>
            </w:tcBorders>
            <w:vAlign w:val="center"/>
          </w:tcPr>
          <w:p>
            <w:pPr>
              <w:spacing w:line="360" w:lineRule="auto"/>
              <w:jc w:val="center"/>
              <w:rPr>
                <w:color w:val="auto"/>
                <w:sz w:val="21"/>
                <w:szCs w:val="21"/>
              </w:rPr>
            </w:pPr>
            <w:r>
              <w:rPr>
                <w:color w:val="auto"/>
                <w:sz w:val="21"/>
                <w:szCs w:val="21"/>
              </w:rPr>
              <w:t>空心管</w:t>
            </w:r>
          </w:p>
        </w:tc>
        <w:tc>
          <w:tcPr>
            <w:tcW w:w="5940" w:type="dxa"/>
            <w:tcBorders>
              <w:tl2br w:val="nil"/>
              <w:tr2bl w:val="nil"/>
            </w:tcBorders>
            <w:vAlign w:val="center"/>
          </w:tcPr>
          <w:p>
            <w:pPr>
              <w:spacing w:line="360" w:lineRule="auto"/>
              <w:jc w:val="center"/>
              <w:rPr>
                <w:color w:val="auto"/>
                <w:sz w:val="21"/>
                <w:szCs w:val="21"/>
              </w:rPr>
            </w:pPr>
            <w:r>
              <w:rPr>
                <w:color w:val="auto"/>
                <w:sz w:val="21"/>
                <w:szCs w:val="21"/>
              </w:rPr>
              <w:t>20,22,24,26,28,30,32,36,40,44,50,60,70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tcBorders>
              <w:tl2br w:val="nil"/>
              <w:tr2bl w:val="nil"/>
            </w:tcBorders>
            <w:vAlign w:val="center"/>
          </w:tcPr>
          <w:p>
            <w:pPr>
              <w:spacing w:line="360" w:lineRule="auto"/>
              <w:jc w:val="center"/>
              <w:rPr>
                <w:color w:val="auto"/>
                <w:sz w:val="21"/>
                <w:szCs w:val="21"/>
              </w:rPr>
            </w:pPr>
            <w:r>
              <w:rPr>
                <w:color w:val="auto"/>
                <w:sz w:val="21"/>
                <w:szCs w:val="21"/>
              </w:rPr>
              <w:t>Ⅲ</w:t>
            </w:r>
          </w:p>
        </w:tc>
        <w:tc>
          <w:tcPr>
            <w:tcW w:w="1440" w:type="dxa"/>
            <w:tcBorders>
              <w:tl2br w:val="nil"/>
              <w:tr2bl w:val="nil"/>
            </w:tcBorders>
            <w:vAlign w:val="center"/>
          </w:tcPr>
          <w:p>
            <w:pPr>
              <w:spacing w:line="360" w:lineRule="auto"/>
              <w:jc w:val="center"/>
              <w:rPr>
                <w:color w:val="auto"/>
                <w:sz w:val="21"/>
                <w:szCs w:val="21"/>
              </w:rPr>
            </w:pPr>
            <w:r>
              <w:rPr>
                <w:color w:val="auto"/>
                <w:sz w:val="21"/>
                <w:szCs w:val="21"/>
              </w:rPr>
              <w:t>泡沫填充管</w:t>
            </w:r>
          </w:p>
        </w:tc>
        <w:tc>
          <w:tcPr>
            <w:tcW w:w="5940" w:type="dxa"/>
            <w:tcBorders>
              <w:tl2br w:val="nil"/>
              <w:tr2bl w:val="nil"/>
            </w:tcBorders>
            <w:vAlign w:val="center"/>
          </w:tcPr>
          <w:p>
            <w:pPr>
              <w:spacing w:line="360" w:lineRule="auto"/>
              <w:jc w:val="center"/>
              <w:rPr>
                <w:color w:val="auto"/>
                <w:sz w:val="21"/>
                <w:szCs w:val="21"/>
              </w:rPr>
            </w:pPr>
            <w:r>
              <w:rPr>
                <w:color w:val="auto"/>
                <w:sz w:val="21"/>
                <w:szCs w:val="21"/>
              </w:rPr>
              <w:t>20,22,24,26,28,30,32,36,40,44,50,60,70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0" w:type="dxa"/>
            <w:gridSpan w:val="3"/>
            <w:tcBorders>
              <w:tl2br w:val="nil"/>
              <w:tr2bl w:val="nil"/>
            </w:tcBorders>
            <w:vAlign w:val="center"/>
          </w:tcPr>
          <w:p>
            <w:pPr>
              <w:spacing w:line="360" w:lineRule="auto"/>
              <w:rPr>
                <w:color w:val="auto"/>
                <w:sz w:val="21"/>
                <w:szCs w:val="21"/>
              </w:rPr>
            </w:pPr>
            <w:r>
              <w:rPr>
                <w:color w:val="auto"/>
                <w:sz w:val="21"/>
                <w:szCs w:val="21"/>
              </w:rPr>
              <w:t>注：填充绝缘管其标称外径与空心管系列相同。</w:t>
            </w:r>
          </w:p>
        </w:tc>
      </w:tr>
    </w:tbl>
    <w:p>
      <w:pPr>
        <w:adjustRightInd w:val="0"/>
        <w:snapToGrid w:val="0"/>
        <w:spacing w:line="360" w:lineRule="auto"/>
        <w:rPr>
          <w:color w:val="auto"/>
          <w:sz w:val="21"/>
          <w:szCs w:val="21"/>
        </w:rPr>
      </w:pPr>
      <w:r>
        <w:rPr>
          <w:color w:val="auto"/>
          <w:sz w:val="21"/>
          <w:szCs w:val="21"/>
        </w:rPr>
        <w:t>4.2 材料要求</w:t>
      </w:r>
    </w:p>
    <w:p>
      <w:pPr>
        <w:widowControl w:val="0"/>
        <w:adjustRightInd w:val="0"/>
        <w:snapToGrid w:val="0"/>
        <w:spacing w:line="360" w:lineRule="auto"/>
        <w:jc w:val="both"/>
        <w:rPr>
          <w:color w:val="auto"/>
          <w:kern w:val="2"/>
          <w:sz w:val="21"/>
          <w:szCs w:val="21"/>
        </w:rPr>
      </w:pPr>
      <w:r>
        <w:rPr>
          <w:color w:val="auto"/>
          <w:kern w:val="2"/>
          <w:sz w:val="21"/>
          <w:szCs w:val="21"/>
        </w:rPr>
        <w:t xml:space="preserve">4.2.1 </w:t>
      </w:r>
      <w:r>
        <w:rPr>
          <w:rFonts w:hint="eastAsia"/>
          <w:b/>
          <w:bCs/>
          <w:color w:val="auto"/>
          <w:kern w:val="2"/>
          <w:sz w:val="21"/>
          <w:szCs w:val="21"/>
        </w:rPr>
        <w:t>放电棒绝缘杆采用环氧树脂玻纤管，其整体绝缘电阻不小于1000MΩ；</w:t>
      </w:r>
      <w:r>
        <w:rPr>
          <w:rFonts w:hint="eastAsia"/>
          <w:color w:val="auto"/>
          <w:kern w:val="2"/>
          <w:sz w:val="21"/>
          <w:szCs w:val="21"/>
        </w:rPr>
        <w:t>杆材</w:t>
      </w:r>
      <w:r>
        <w:rPr>
          <w:color w:val="auto"/>
          <w:kern w:val="2"/>
          <w:sz w:val="21"/>
          <w:szCs w:val="21"/>
        </w:rPr>
        <w:t>可用无机或人造纤维加强，</w:t>
      </w:r>
      <w:r>
        <w:rPr>
          <w:rFonts w:hint="eastAsia"/>
          <w:color w:val="auto"/>
          <w:kern w:val="2"/>
          <w:sz w:val="21"/>
          <w:szCs w:val="21"/>
        </w:rPr>
        <w:t>应</w:t>
      </w:r>
      <w:r>
        <w:rPr>
          <w:rFonts w:hint="eastAsia"/>
          <w:b/>
          <w:bCs/>
          <w:color w:val="auto"/>
          <w:kern w:val="2"/>
          <w:sz w:val="21"/>
          <w:szCs w:val="21"/>
        </w:rPr>
        <w:t>结实耐用，不易折损</w:t>
      </w:r>
      <w:r>
        <w:rPr>
          <w:rFonts w:hint="eastAsia" w:ascii="仿宋" w:hAnsi="仿宋" w:eastAsia="仿宋"/>
          <w:color w:val="auto"/>
          <w:sz w:val="28"/>
          <w:szCs w:val="28"/>
        </w:rPr>
        <w:t>，</w:t>
      </w:r>
      <w:r>
        <w:rPr>
          <w:color w:val="auto"/>
          <w:kern w:val="2"/>
          <w:sz w:val="21"/>
          <w:szCs w:val="21"/>
        </w:rPr>
        <w:t>其外观颜色可由用户确定。其密度不应小于</w:t>
      </w:r>
      <w:r>
        <w:rPr>
          <w:color w:val="auto"/>
          <w:sz w:val="21"/>
          <w:szCs w:val="21"/>
        </w:rPr>
        <w:t>1.75g/cm</w:t>
      </w:r>
      <w:r>
        <w:rPr>
          <w:color w:val="auto"/>
          <w:sz w:val="21"/>
          <w:szCs w:val="21"/>
          <w:vertAlign w:val="superscript"/>
        </w:rPr>
        <w:t>3</w:t>
      </w:r>
      <w:r>
        <w:rPr>
          <w:rFonts w:hint="eastAsia"/>
          <w:color w:val="auto"/>
          <w:kern w:val="2"/>
          <w:sz w:val="21"/>
          <w:szCs w:val="21"/>
        </w:rPr>
        <w:t>，</w:t>
      </w:r>
      <w:r>
        <w:rPr>
          <w:color w:val="auto"/>
          <w:kern w:val="2"/>
          <w:sz w:val="21"/>
          <w:szCs w:val="21"/>
        </w:rPr>
        <w:t>吸水率不大于0.15%, 50Hz介质损耗角正切不大于0.01。</w:t>
      </w:r>
    </w:p>
    <w:p>
      <w:pPr>
        <w:widowControl w:val="0"/>
        <w:adjustRightInd w:val="0"/>
        <w:snapToGrid w:val="0"/>
        <w:spacing w:line="360" w:lineRule="auto"/>
        <w:ind w:firstLine="422" w:firstLineChars="200"/>
        <w:jc w:val="both"/>
        <w:rPr>
          <w:b/>
          <w:bCs/>
          <w:color w:val="auto"/>
          <w:kern w:val="2"/>
          <w:sz w:val="21"/>
          <w:szCs w:val="21"/>
        </w:rPr>
      </w:pPr>
      <w:r>
        <w:rPr>
          <w:rFonts w:hint="eastAsia"/>
          <w:b/>
          <w:bCs/>
          <w:color w:val="auto"/>
          <w:kern w:val="2"/>
          <w:sz w:val="21"/>
          <w:szCs w:val="21"/>
        </w:rPr>
        <w:t>放电棒连接放电导线应为不小于</w:t>
      </w:r>
      <w:r>
        <w:rPr>
          <w:b/>
          <w:bCs/>
          <w:color w:val="auto"/>
          <w:kern w:val="2"/>
          <w:sz w:val="21"/>
          <w:szCs w:val="21"/>
        </w:rPr>
        <w:t>25</w:t>
      </w:r>
      <w:r>
        <w:rPr>
          <w:rFonts w:hint="eastAsia"/>
          <w:b/>
          <w:bCs/>
          <w:color w:val="auto"/>
          <w:kern w:val="2"/>
          <w:sz w:val="21"/>
          <w:szCs w:val="21"/>
        </w:rPr>
        <w:t>mm²的多股软铜线组成，软铜线一段应有与放电棒匹配的连接头，另一端应为夹子，可方便固定在接地体上。各部件组装自如，组装后平直，无松动现象。</w:t>
      </w:r>
    </w:p>
    <w:p>
      <w:pPr>
        <w:widowControl w:val="0"/>
        <w:adjustRightInd w:val="0"/>
        <w:snapToGrid w:val="0"/>
        <w:spacing w:line="360" w:lineRule="auto"/>
        <w:jc w:val="both"/>
        <w:rPr>
          <w:color w:val="auto"/>
          <w:kern w:val="2"/>
          <w:sz w:val="21"/>
          <w:szCs w:val="21"/>
        </w:rPr>
      </w:pPr>
      <w:r>
        <w:rPr>
          <w:color w:val="auto"/>
          <w:kern w:val="2"/>
          <w:sz w:val="21"/>
          <w:szCs w:val="21"/>
        </w:rPr>
        <w:t>4.2.2 填充泡沫应粘合在绝缘管内壁。在进行本规范所规定的试验时，除部件破坏引起的损坏外，泡沫或粘接剂都不应损坏。</w:t>
      </w:r>
    </w:p>
    <w:p>
      <w:pPr>
        <w:widowControl w:val="0"/>
        <w:adjustRightInd w:val="0"/>
        <w:snapToGrid w:val="0"/>
        <w:spacing w:line="360" w:lineRule="auto"/>
        <w:jc w:val="both"/>
        <w:rPr>
          <w:color w:val="auto"/>
          <w:kern w:val="2"/>
          <w:sz w:val="21"/>
          <w:szCs w:val="21"/>
        </w:rPr>
      </w:pPr>
      <w:r>
        <w:rPr>
          <w:color w:val="auto"/>
          <w:kern w:val="2"/>
          <w:sz w:val="21"/>
          <w:szCs w:val="21"/>
        </w:rPr>
        <w:t>4.2.3 用空心管制造的放电棒的内、外表面及端部必须进行防潮处理，可釆用泡沬对空心管进 行填充，以防止内表面受潮和脏污。</w:t>
      </w:r>
    </w:p>
    <w:p>
      <w:pPr>
        <w:widowControl w:val="0"/>
        <w:adjustRightInd w:val="0"/>
        <w:snapToGrid w:val="0"/>
        <w:spacing w:line="360" w:lineRule="auto"/>
        <w:jc w:val="both"/>
        <w:rPr>
          <w:color w:val="auto"/>
          <w:kern w:val="2"/>
          <w:sz w:val="21"/>
          <w:szCs w:val="21"/>
        </w:rPr>
      </w:pPr>
      <w:r>
        <w:rPr>
          <w:color w:val="auto"/>
          <w:kern w:val="2"/>
          <w:sz w:val="21"/>
          <w:szCs w:val="21"/>
        </w:rPr>
        <w:t>4.3 放电棒的最短有效绝缘长度不应小于表4.2中所列的数值。</w:t>
      </w:r>
    </w:p>
    <w:p>
      <w:pPr>
        <w:adjustRightInd w:val="0"/>
        <w:snapToGrid w:val="0"/>
        <w:spacing w:line="360" w:lineRule="auto"/>
        <w:jc w:val="center"/>
        <w:rPr>
          <w:color w:val="auto"/>
          <w:sz w:val="21"/>
          <w:szCs w:val="21"/>
        </w:rPr>
      </w:pPr>
      <w:r>
        <w:rPr>
          <w:color w:val="auto"/>
          <w:sz w:val="21"/>
          <w:szCs w:val="21"/>
        </w:rPr>
        <w:t>表4.2 放电棒绝缘长度的要求</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2880"/>
        <w:gridCol w:w="28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0" w:type="dxa"/>
            <w:tcBorders>
              <w:tl2br w:val="nil"/>
              <w:tr2bl w:val="nil"/>
            </w:tcBorders>
          </w:tcPr>
          <w:p>
            <w:pPr>
              <w:spacing w:line="360" w:lineRule="auto"/>
              <w:jc w:val="center"/>
              <w:rPr>
                <w:color w:val="auto"/>
                <w:sz w:val="21"/>
                <w:szCs w:val="21"/>
              </w:rPr>
            </w:pPr>
            <w:r>
              <w:rPr>
                <w:color w:val="auto"/>
                <w:sz w:val="21"/>
                <w:szCs w:val="21"/>
              </w:rPr>
              <w:t>电压等级（kV）</w:t>
            </w:r>
          </w:p>
        </w:tc>
        <w:tc>
          <w:tcPr>
            <w:tcW w:w="2880" w:type="dxa"/>
            <w:tcBorders>
              <w:tl2br w:val="nil"/>
              <w:tr2bl w:val="nil"/>
            </w:tcBorders>
          </w:tcPr>
          <w:p>
            <w:pPr>
              <w:spacing w:line="360" w:lineRule="auto"/>
              <w:jc w:val="center"/>
              <w:rPr>
                <w:color w:val="auto"/>
                <w:sz w:val="21"/>
                <w:szCs w:val="21"/>
              </w:rPr>
            </w:pPr>
            <w:r>
              <w:rPr>
                <w:color w:val="auto"/>
                <w:sz w:val="21"/>
                <w:szCs w:val="21"/>
              </w:rPr>
              <w:t>最短有效绝缘长度（m）</w:t>
            </w:r>
          </w:p>
        </w:tc>
        <w:tc>
          <w:tcPr>
            <w:tcW w:w="2880" w:type="dxa"/>
            <w:tcBorders>
              <w:tl2br w:val="nil"/>
              <w:tr2bl w:val="nil"/>
            </w:tcBorders>
          </w:tcPr>
          <w:p>
            <w:pPr>
              <w:spacing w:line="360" w:lineRule="auto"/>
              <w:jc w:val="center"/>
              <w:rPr>
                <w:color w:val="auto"/>
                <w:sz w:val="21"/>
                <w:szCs w:val="21"/>
              </w:rPr>
            </w:pPr>
            <w:r>
              <w:rPr>
                <w:color w:val="auto"/>
                <w:sz w:val="21"/>
                <w:szCs w:val="21"/>
              </w:rPr>
              <w:t>握手部分长度（m）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0" w:type="dxa"/>
            <w:tcBorders>
              <w:tl2br w:val="nil"/>
              <w:tr2bl w:val="nil"/>
            </w:tcBorders>
          </w:tcPr>
          <w:p>
            <w:pPr>
              <w:spacing w:line="360" w:lineRule="auto"/>
              <w:jc w:val="center"/>
              <w:rPr>
                <w:color w:val="auto"/>
                <w:sz w:val="21"/>
                <w:szCs w:val="21"/>
              </w:rPr>
            </w:pPr>
            <w:r>
              <w:rPr>
                <w:color w:val="auto"/>
                <w:sz w:val="21"/>
                <w:szCs w:val="21"/>
              </w:rPr>
              <w:t>10</w:t>
            </w:r>
          </w:p>
        </w:tc>
        <w:tc>
          <w:tcPr>
            <w:tcW w:w="2880" w:type="dxa"/>
            <w:tcBorders>
              <w:tl2br w:val="nil"/>
              <w:tr2bl w:val="nil"/>
            </w:tcBorders>
          </w:tcPr>
          <w:p>
            <w:pPr>
              <w:spacing w:line="360" w:lineRule="auto"/>
              <w:jc w:val="center"/>
              <w:rPr>
                <w:color w:val="auto"/>
                <w:sz w:val="21"/>
                <w:szCs w:val="21"/>
              </w:rPr>
            </w:pPr>
            <w:r>
              <w:rPr>
                <w:color w:val="auto"/>
                <w:sz w:val="21"/>
                <w:szCs w:val="21"/>
              </w:rPr>
              <w:t>≥0.70</w:t>
            </w:r>
          </w:p>
        </w:tc>
        <w:tc>
          <w:tcPr>
            <w:tcW w:w="2880" w:type="dxa"/>
            <w:tcBorders>
              <w:tl2br w:val="nil"/>
              <w:tr2bl w:val="nil"/>
            </w:tcBorders>
          </w:tcPr>
          <w:p>
            <w:pPr>
              <w:spacing w:line="360" w:lineRule="auto"/>
              <w:jc w:val="center"/>
              <w:rPr>
                <w:color w:val="auto"/>
                <w:sz w:val="21"/>
                <w:szCs w:val="21"/>
              </w:rPr>
            </w:pPr>
            <w:r>
              <w:rPr>
                <w:color w:val="auto"/>
                <w:sz w:val="21"/>
                <w:szCs w:val="21"/>
              </w:rPr>
              <w:t>≥0.60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0" w:type="dxa"/>
            <w:tcBorders>
              <w:tl2br w:val="nil"/>
              <w:tr2bl w:val="nil"/>
            </w:tcBorders>
          </w:tcPr>
          <w:p>
            <w:pPr>
              <w:spacing w:line="360" w:lineRule="auto"/>
              <w:jc w:val="center"/>
              <w:rPr>
                <w:color w:val="auto"/>
                <w:sz w:val="21"/>
                <w:szCs w:val="21"/>
              </w:rPr>
            </w:pPr>
            <w:r>
              <w:rPr>
                <w:color w:val="auto"/>
                <w:sz w:val="21"/>
                <w:szCs w:val="21"/>
              </w:rPr>
              <w:t>35</w:t>
            </w:r>
          </w:p>
        </w:tc>
        <w:tc>
          <w:tcPr>
            <w:tcW w:w="2880" w:type="dxa"/>
            <w:tcBorders>
              <w:tl2br w:val="nil"/>
              <w:tr2bl w:val="nil"/>
            </w:tcBorders>
          </w:tcPr>
          <w:p>
            <w:pPr>
              <w:spacing w:line="360" w:lineRule="auto"/>
              <w:jc w:val="center"/>
              <w:rPr>
                <w:color w:val="auto"/>
                <w:sz w:val="21"/>
                <w:szCs w:val="21"/>
              </w:rPr>
            </w:pPr>
            <w:r>
              <w:rPr>
                <w:color w:val="auto"/>
                <w:sz w:val="21"/>
                <w:szCs w:val="21"/>
              </w:rPr>
              <w:t>≥0.90</w:t>
            </w:r>
          </w:p>
        </w:tc>
        <w:tc>
          <w:tcPr>
            <w:tcW w:w="2880" w:type="dxa"/>
            <w:tcBorders>
              <w:tl2br w:val="nil"/>
              <w:tr2bl w:val="nil"/>
            </w:tcBorders>
          </w:tcPr>
          <w:p>
            <w:pPr>
              <w:spacing w:line="360" w:lineRule="auto"/>
              <w:jc w:val="center"/>
              <w:rPr>
                <w:color w:val="auto"/>
                <w:sz w:val="21"/>
                <w:szCs w:val="21"/>
              </w:rPr>
            </w:pPr>
            <w:r>
              <w:rPr>
                <w:color w:val="auto"/>
                <w:sz w:val="21"/>
                <w:szCs w:val="21"/>
              </w:rPr>
              <w:t>≥0.60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0" w:type="dxa"/>
            <w:tcBorders>
              <w:tl2br w:val="nil"/>
              <w:tr2bl w:val="nil"/>
            </w:tcBorders>
          </w:tcPr>
          <w:p>
            <w:pPr>
              <w:spacing w:line="360" w:lineRule="auto"/>
              <w:jc w:val="center"/>
              <w:rPr>
                <w:color w:val="auto"/>
                <w:sz w:val="21"/>
                <w:szCs w:val="21"/>
              </w:rPr>
            </w:pPr>
            <w:r>
              <w:rPr>
                <w:color w:val="auto"/>
                <w:sz w:val="21"/>
                <w:szCs w:val="21"/>
              </w:rPr>
              <w:t>110</w:t>
            </w:r>
          </w:p>
        </w:tc>
        <w:tc>
          <w:tcPr>
            <w:tcW w:w="2880" w:type="dxa"/>
            <w:tcBorders>
              <w:tl2br w:val="nil"/>
              <w:tr2bl w:val="nil"/>
            </w:tcBorders>
          </w:tcPr>
          <w:p>
            <w:pPr>
              <w:spacing w:line="360" w:lineRule="auto"/>
              <w:jc w:val="center"/>
              <w:rPr>
                <w:color w:val="auto"/>
                <w:sz w:val="21"/>
                <w:szCs w:val="21"/>
              </w:rPr>
            </w:pPr>
            <w:r>
              <w:rPr>
                <w:color w:val="auto"/>
                <w:sz w:val="21"/>
                <w:szCs w:val="21"/>
              </w:rPr>
              <w:t>≥1.30</w:t>
            </w:r>
          </w:p>
        </w:tc>
        <w:tc>
          <w:tcPr>
            <w:tcW w:w="2880" w:type="dxa"/>
            <w:tcBorders>
              <w:tl2br w:val="nil"/>
              <w:tr2bl w:val="nil"/>
            </w:tcBorders>
          </w:tcPr>
          <w:p>
            <w:pPr>
              <w:spacing w:line="360" w:lineRule="auto"/>
              <w:jc w:val="center"/>
              <w:rPr>
                <w:color w:val="auto"/>
                <w:sz w:val="21"/>
                <w:szCs w:val="21"/>
              </w:rPr>
            </w:pPr>
            <w:r>
              <w:rPr>
                <w:color w:val="auto"/>
                <w:sz w:val="21"/>
                <w:szCs w:val="21"/>
              </w:rPr>
              <w:t>≥0.70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0" w:type="dxa"/>
            <w:tcBorders>
              <w:tl2br w:val="nil"/>
              <w:tr2bl w:val="nil"/>
            </w:tcBorders>
          </w:tcPr>
          <w:p>
            <w:pPr>
              <w:spacing w:line="360" w:lineRule="auto"/>
              <w:jc w:val="center"/>
              <w:rPr>
                <w:color w:val="auto"/>
                <w:sz w:val="21"/>
                <w:szCs w:val="21"/>
              </w:rPr>
            </w:pPr>
            <w:r>
              <w:rPr>
                <w:color w:val="auto"/>
                <w:sz w:val="21"/>
                <w:szCs w:val="21"/>
              </w:rPr>
              <w:t>220</w:t>
            </w:r>
          </w:p>
        </w:tc>
        <w:tc>
          <w:tcPr>
            <w:tcW w:w="2880" w:type="dxa"/>
            <w:tcBorders>
              <w:tl2br w:val="nil"/>
              <w:tr2bl w:val="nil"/>
            </w:tcBorders>
          </w:tcPr>
          <w:p>
            <w:pPr>
              <w:spacing w:line="360" w:lineRule="auto"/>
              <w:jc w:val="center"/>
              <w:rPr>
                <w:color w:val="auto"/>
                <w:sz w:val="21"/>
                <w:szCs w:val="21"/>
              </w:rPr>
            </w:pPr>
            <w:r>
              <w:rPr>
                <w:color w:val="auto"/>
                <w:sz w:val="21"/>
                <w:szCs w:val="21"/>
              </w:rPr>
              <w:t>≥2.10</w:t>
            </w:r>
          </w:p>
        </w:tc>
        <w:tc>
          <w:tcPr>
            <w:tcW w:w="2880" w:type="dxa"/>
            <w:tcBorders>
              <w:tl2br w:val="nil"/>
              <w:tr2bl w:val="nil"/>
            </w:tcBorders>
          </w:tcPr>
          <w:p>
            <w:pPr>
              <w:spacing w:line="360" w:lineRule="auto"/>
              <w:jc w:val="center"/>
              <w:rPr>
                <w:color w:val="auto"/>
                <w:sz w:val="21"/>
                <w:szCs w:val="21"/>
              </w:rPr>
            </w:pPr>
            <w:r>
              <w:rPr>
                <w:color w:val="auto"/>
                <w:sz w:val="21"/>
                <w:szCs w:val="21"/>
              </w:rPr>
              <w:t>≥0.90</w:t>
            </w:r>
          </w:p>
        </w:tc>
      </w:tr>
    </w:tbl>
    <w:p>
      <w:pPr>
        <w:widowControl w:val="0"/>
        <w:adjustRightInd w:val="0"/>
        <w:snapToGrid w:val="0"/>
        <w:spacing w:line="360" w:lineRule="auto"/>
        <w:jc w:val="both"/>
        <w:rPr>
          <w:color w:val="auto"/>
          <w:kern w:val="2"/>
          <w:sz w:val="21"/>
          <w:szCs w:val="21"/>
        </w:rPr>
      </w:pPr>
      <w:r>
        <w:rPr>
          <w:color w:val="auto"/>
          <w:kern w:val="2"/>
          <w:sz w:val="21"/>
          <w:szCs w:val="21"/>
        </w:rPr>
        <w:t>4.4 握手部分为操作人员握持的部分，其材质与绝缘部分相同，与绝缘部分以护环、颜色或其它明显标志相隔开。根据电压等级的不同，握手部分长度不应小于表5.2中所列的数值。</w:t>
      </w:r>
    </w:p>
    <w:p>
      <w:pPr>
        <w:widowControl w:val="0"/>
        <w:adjustRightInd w:val="0"/>
        <w:snapToGrid w:val="0"/>
        <w:spacing w:line="360" w:lineRule="auto"/>
        <w:jc w:val="both"/>
        <w:rPr>
          <w:color w:val="auto"/>
          <w:kern w:val="2"/>
          <w:sz w:val="21"/>
          <w:szCs w:val="21"/>
        </w:rPr>
      </w:pPr>
      <w:r>
        <w:rPr>
          <w:color w:val="auto"/>
          <w:kern w:val="2"/>
          <w:sz w:val="21"/>
          <w:szCs w:val="21"/>
        </w:rPr>
        <w:t>4.5 接地电缆应用多股软铜线，其截面积应符合装设地点短路电流的要求。若短路容量大，接地及短路电缆选择的截面积也要大，但均不得小于25mm²；长度应满足工作现场需要；接地及短路电缆必须有透明的绝缘护层，护层厚度不小于1mm，以便于观测导线的受腐蚀情况或表面导线束的损坏迹象。</w:t>
      </w:r>
    </w:p>
    <w:p>
      <w:pPr>
        <w:widowControl w:val="0"/>
        <w:adjustRightInd w:val="0"/>
        <w:snapToGrid w:val="0"/>
        <w:spacing w:line="360" w:lineRule="auto"/>
        <w:jc w:val="both"/>
        <w:rPr>
          <w:color w:val="auto"/>
          <w:kern w:val="2"/>
          <w:sz w:val="21"/>
          <w:szCs w:val="21"/>
        </w:rPr>
      </w:pPr>
      <w:r>
        <w:rPr>
          <w:rFonts w:hint="eastAsia"/>
          <w:color w:val="auto"/>
          <w:kern w:val="2"/>
          <w:sz w:val="21"/>
          <w:szCs w:val="21"/>
        </w:rPr>
        <w:t>4</w:t>
      </w:r>
      <w:r>
        <w:rPr>
          <w:color w:val="auto"/>
          <w:kern w:val="2"/>
          <w:sz w:val="21"/>
          <w:szCs w:val="21"/>
        </w:rPr>
        <w:t>.6</w:t>
      </w:r>
      <w:r>
        <w:rPr>
          <w:rFonts w:hint="eastAsia"/>
          <w:b/>
          <w:bCs/>
          <w:color w:val="auto"/>
          <w:kern w:val="2"/>
          <w:sz w:val="21"/>
          <w:szCs w:val="21"/>
        </w:rPr>
        <w:t>产品应有铭牌标志，每件产品的铭牌、合格证应用不易自然浸蚀的材料制成，宜采用印刷等方式，字样、符号应清楚，并耐久不掉。铭牌上应标明制造厂名称或商标、制造标准、产品型号及名称、适用电压等级、出厂编号、制造年月等。</w:t>
      </w:r>
    </w:p>
    <w:p>
      <w:pPr>
        <w:pStyle w:val="2"/>
        <w:adjustRightInd w:val="0"/>
        <w:spacing w:before="0" w:beforeLines="0"/>
        <w:rPr>
          <w:rFonts w:ascii="Times New Roman"/>
          <w:color w:val="auto"/>
        </w:rPr>
      </w:pPr>
      <w:bookmarkStart w:id="8" w:name="_Toc144806700"/>
      <w:r>
        <w:rPr>
          <w:rFonts w:ascii="Times New Roman"/>
          <w:color w:val="auto"/>
        </w:rPr>
        <w:t>试验要求</w:t>
      </w:r>
      <w:bookmarkEnd w:id="8"/>
    </w:p>
    <w:p>
      <w:pPr>
        <w:spacing w:line="360" w:lineRule="auto"/>
        <w:rPr>
          <w:color w:val="auto"/>
          <w:szCs w:val="21"/>
        </w:rPr>
      </w:pPr>
      <w:r>
        <w:rPr>
          <w:color w:val="auto"/>
          <w:szCs w:val="21"/>
        </w:rPr>
        <w:t>5.1试验类型</w:t>
      </w:r>
    </w:p>
    <w:p>
      <w:pPr>
        <w:spacing w:line="360" w:lineRule="auto"/>
        <w:ind w:firstLine="440" w:firstLineChars="200"/>
        <w:rPr>
          <w:color w:val="auto"/>
          <w:szCs w:val="21"/>
        </w:rPr>
      </w:pPr>
      <w:r>
        <w:rPr>
          <w:color w:val="auto"/>
          <w:szCs w:val="21"/>
        </w:rPr>
        <w:t>试验类别分为型式试验、出厂试验、验收试验。试验项目及方法按照GB 13398-2008</w:t>
      </w:r>
      <w:r>
        <w:rPr>
          <w:bCs/>
          <w:color w:val="auto"/>
        </w:rPr>
        <w:t>等标准执行。</w:t>
      </w:r>
    </w:p>
    <w:p>
      <w:pPr>
        <w:spacing w:line="360" w:lineRule="auto"/>
        <w:rPr>
          <w:color w:val="auto"/>
          <w:szCs w:val="21"/>
        </w:rPr>
      </w:pPr>
      <w:r>
        <w:rPr>
          <w:color w:val="auto"/>
          <w:szCs w:val="21"/>
        </w:rPr>
        <w:t>5.2外观检查</w:t>
      </w:r>
    </w:p>
    <w:p>
      <w:pPr>
        <w:widowControl w:val="0"/>
        <w:adjustRightInd w:val="0"/>
        <w:snapToGrid w:val="0"/>
        <w:spacing w:line="360" w:lineRule="auto"/>
        <w:ind w:firstLine="420" w:firstLineChars="200"/>
        <w:jc w:val="both"/>
        <w:rPr>
          <w:color w:val="auto"/>
          <w:sz w:val="21"/>
          <w:szCs w:val="21"/>
        </w:rPr>
      </w:pPr>
      <w:r>
        <w:rPr>
          <w:color w:val="auto"/>
          <w:sz w:val="21"/>
          <w:szCs w:val="21"/>
        </w:rPr>
        <w:t>放电棒操作杆的绝缘部件应光滑、无气泡、皱纹、开裂，玻璃纤维布与树脂间黏接完好， 杆段间连接需用金属回弹卡扣牢固，防止杆身回缩，绝缘件与金属件的连接应牢固可靠。接地电缆的保护层应完好无损，线夹完整、无损坏，线夹与电力设备及接地体的接触面无毛刺。导线无裸露部分，导线外覆透明层应均匀、无龟裂，横截面积应符合相关标准要求。</w:t>
      </w:r>
    </w:p>
    <w:p>
      <w:pPr>
        <w:widowControl w:val="0"/>
        <w:spacing w:line="360" w:lineRule="auto"/>
        <w:jc w:val="both"/>
        <w:rPr>
          <w:color w:val="auto"/>
          <w:kern w:val="2"/>
          <w:sz w:val="21"/>
          <w:szCs w:val="21"/>
        </w:rPr>
      </w:pPr>
      <w:r>
        <w:rPr>
          <w:color w:val="auto"/>
          <w:kern w:val="2"/>
          <w:sz w:val="21"/>
          <w:szCs w:val="21"/>
        </w:rPr>
        <w:t>5.3试验要求</w:t>
      </w:r>
    </w:p>
    <w:p>
      <w:pPr>
        <w:widowControl w:val="0"/>
        <w:spacing w:line="360" w:lineRule="auto"/>
        <w:jc w:val="both"/>
        <w:rPr>
          <w:color w:val="auto"/>
          <w:kern w:val="2"/>
          <w:sz w:val="21"/>
          <w:szCs w:val="21"/>
        </w:rPr>
      </w:pPr>
      <w:r>
        <w:rPr>
          <w:color w:val="auto"/>
          <w:kern w:val="2"/>
          <w:sz w:val="21"/>
          <w:szCs w:val="21"/>
        </w:rPr>
        <w:t>5.3.1出厂试验</w:t>
      </w:r>
    </w:p>
    <w:p>
      <w:pPr>
        <w:widowControl w:val="0"/>
        <w:spacing w:line="360" w:lineRule="auto"/>
        <w:ind w:firstLine="420"/>
        <w:jc w:val="both"/>
        <w:rPr>
          <w:color w:val="auto"/>
          <w:kern w:val="2"/>
          <w:sz w:val="21"/>
          <w:szCs w:val="21"/>
        </w:rPr>
      </w:pPr>
      <w:r>
        <w:rPr>
          <w:color w:val="auto"/>
          <w:kern w:val="2"/>
          <w:sz w:val="21"/>
          <w:szCs w:val="21"/>
        </w:rPr>
        <w:t>中标方应对所生产的</w:t>
      </w:r>
      <w:r>
        <w:rPr>
          <w:rFonts w:hint="eastAsia"/>
          <w:color w:val="auto"/>
          <w:kern w:val="2"/>
          <w:sz w:val="21"/>
          <w:szCs w:val="21"/>
        </w:rPr>
        <w:t>电容放电棒</w:t>
      </w:r>
      <w:r>
        <w:rPr>
          <w:color w:val="auto"/>
          <w:kern w:val="2"/>
          <w:sz w:val="21"/>
          <w:szCs w:val="21"/>
        </w:rPr>
        <w:t>产品逐批进行出厂试验，出厂试验项目和方法应按照</w:t>
      </w:r>
      <w:r>
        <w:rPr>
          <w:color w:val="auto"/>
          <w:sz w:val="21"/>
          <w:szCs w:val="21"/>
        </w:rPr>
        <w:t>GB 13398-2008</w:t>
      </w:r>
      <w:r>
        <w:rPr>
          <w:color w:val="auto"/>
          <w:kern w:val="2"/>
          <w:sz w:val="21"/>
          <w:szCs w:val="21"/>
        </w:rPr>
        <w:t>中规定进行。</w:t>
      </w:r>
    </w:p>
    <w:p>
      <w:pPr>
        <w:widowControl w:val="0"/>
        <w:spacing w:line="360" w:lineRule="auto"/>
        <w:rPr>
          <w:rFonts w:ascii="宋体" w:hAnsi="宋体" w:cs="宋体"/>
          <w:color w:val="auto"/>
          <w:szCs w:val="21"/>
        </w:rPr>
      </w:pPr>
      <w:r>
        <w:rPr>
          <w:rFonts w:hint="eastAsia" w:ascii="宋体" w:hAnsi="宋体" w:cs="宋体"/>
          <w:color w:val="auto"/>
          <w:szCs w:val="21"/>
        </w:rPr>
        <w:t>5.3.2验收要求</w:t>
      </w:r>
    </w:p>
    <w:p>
      <w:pPr>
        <w:spacing w:line="360" w:lineRule="auto"/>
        <w:rPr>
          <w:rFonts w:ascii="宋体" w:hAnsi="宋体" w:cs="宋体"/>
          <w:color w:val="auto"/>
        </w:rPr>
      </w:pPr>
      <w:r>
        <w:rPr>
          <w:rFonts w:hint="eastAsia" w:ascii="宋体" w:hAnsi="宋体" w:cs="宋体"/>
          <w:color w:val="auto"/>
        </w:rPr>
        <w:t>5.3.2.1 到货检验</w:t>
      </w:r>
    </w:p>
    <w:p>
      <w:pPr>
        <w:spacing w:line="360" w:lineRule="auto"/>
        <w:ind w:firstLine="440" w:firstLineChars="200"/>
        <w:rPr>
          <w:rFonts w:ascii="宋体" w:hAnsi="宋体" w:cs="宋体"/>
          <w:color w:val="auto"/>
        </w:rPr>
      </w:pPr>
      <w:r>
        <w:rPr>
          <w:rFonts w:hint="eastAsia" w:ascii="宋体" w:hAnsi="宋体" w:cs="宋体"/>
          <w:color w:val="auto"/>
        </w:rPr>
        <w:t>货物到货签收时，按送货批次中货物数量进行抽检，对照GB/T 2828.1-2003《计数抽样检验程序》，原则上按一批次货物数量1-50抽检样本量为1、51-200抽检样本量为3、201-500抽检样本量为5、501及以上抽检样本量为10。中标方将产品送至</w:t>
      </w:r>
      <w:r>
        <w:rPr>
          <w:rFonts w:hint="eastAsia" w:ascii="宋体" w:hAnsi="宋体" w:cs="宋体"/>
          <w:color w:val="auto"/>
          <w:lang w:eastAsia="zh-CN"/>
        </w:rPr>
        <w:t>海南电网有限责任公司</w:t>
      </w:r>
      <w:r>
        <w:rPr>
          <w:rFonts w:hint="eastAsia" w:ascii="宋体" w:hAnsi="宋体" w:cs="宋体"/>
          <w:color w:val="auto"/>
        </w:rPr>
        <w:t>安全工器具检测中标的单位进行品控检验，并以检验合格为判断标准，合格者由中标方将产品送至合同约定的收货地点。</w:t>
      </w:r>
    </w:p>
    <w:p>
      <w:pPr>
        <w:spacing w:line="360" w:lineRule="auto"/>
        <w:rPr>
          <w:rFonts w:ascii="宋体" w:hAnsi="宋体" w:cs="宋体"/>
          <w:color w:val="auto"/>
        </w:rPr>
      </w:pPr>
      <w:r>
        <w:rPr>
          <w:rFonts w:hint="eastAsia" w:ascii="宋体" w:hAnsi="宋体" w:cs="宋体"/>
          <w:color w:val="auto"/>
          <w:sz w:val="21"/>
          <w:szCs w:val="21"/>
        </w:rPr>
        <w:t>★</w:t>
      </w:r>
      <w:r>
        <w:rPr>
          <w:rFonts w:hint="eastAsia" w:ascii="宋体" w:hAnsi="宋体" w:cs="宋体"/>
          <w:color w:val="auto"/>
        </w:rPr>
        <w:t>5.3.2.2 投标报价需考虑产品抽检试验费用，该费用由投标方负责，抽检试验不合格者，由中标方负责更换。</w:t>
      </w:r>
    </w:p>
    <w:p>
      <w:pPr>
        <w:widowControl w:val="0"/>
        <w:spacing w:line="360" w:lineRule="auto"/>
        <w:jc w:val="both"/>
        <w:rPr>
          <w:color w:val="auto"/>
          <w:kern w:val="2"/>
          <w:sz w:val="21"/>
          <w:szCs w:val="24"/>
        </w:rPr>
      </w:pPr>
      <w:r>
        <w:rPr>
          <w:rFonts w:hint="eastAsia" w:ascii="宋体" w:hAnsi="宋体" w:cs="宋体"/>
          <w:color w:val="auto"/>
          <w:sz w:val="21"/>
          <w:szCs w:val="21"/>
        </w:rPr>
        <w:t>5.3.2.3 投入使用前使用方将对产品进行全检，全检试验不合格者，由中标方负责更换。全检不合格率超过10%取消供货资格。</w:t>
      </w:r>
    </w:p>
    <w:p>
      <w:pPr>
        <w:spacing w:line="360" w:lineRule="auto"/>
        <w:rPr>
          <w:color w:val="auto"/>
          <w:szCs w:val="21"/>
        </w:rPr>
      </w:pPr>
    </w:p>
    <w:p>
      <w:pPr>
        <w:pStyle w:val="2"/>
        <w:snapToGrid/>
        <w:spacing w:before="0" w:beforeLines="0"/>
        <w:rPr>
          <w:rFonts w:ascii="Times New Roman"/>
          <w:color w:val="auto"/>
        </w:rPr>
      </w:pPr>
      <w:bookmarkStart w:id="9" w:name="_Toc1363"/>
      <w:bookmarkStart w:id="10" w:name="_Toc144806701"/>
      <w:bookmarkStart w:id="11" w:name="_Toc31188"/>
      <w:bookmarkStart w:id="12" w:name="_Toc30210"/>
      <w:bookmarkStart w:id="13" w:name="_Toc3999"/>
      <w:bookmarkStart w:id="14" w:name="_Toc20984"/>
      <w:bookmarkStart w:id="15" w:name="_Toc10358"/>
      <w:bookmarkStart w:id="16" w:name="_Toc10023"/>
      <w:bookmarkStart w:id="17" w:name="_Toc398543110"/>
      <w:bookmarkStart w:id="18" w:name="_Toc30361"/>
      <w:bookmarkStart w:id="19" w:name="_Toc11750"/>
      <w:bookmarkStart w:id="20" w:name="_Toc305941241"/>
      <w:bookmarkStart w:id="21" w:name="_Toc305941530"/>
      <w:bookmarkStart w:id="22" w:name="_Toc276490915"/>
      <w:bookmarkStart w:id="23" w:name="_Toc276492433"/>
      <w:r>
        <w:rPr>
          <w:rFonts w:ascii="Times New Roman"/>
          <w:color w:val="auto"/>
        </w:rPr>
        <w:t>包装和运输</w:t>
      </w:r>
      <w:bookmarkEnd w:id="9"/>
      <w:bookmarkEnd w:id="10"/>
    </w:p>
    <w:p>
      <w:pPr>
        <w:pStyle w:val="47"/>
        <w:keepNext/>
        <w:widowControl/>
        <w:numPr>
          <w:ilvl w:val="0"/>
          <w:numId w:val="0"/>
        </w:numPr>
        <w:adjustRightInd/>
        <w:snapToGrid/>
        <w:outlineLvl w:val="9"/>
        <w:rPr>
          <w:rFonts w:ascii="Times New Roman"/>
          <w:color w:val="auto"/>
        </w:rPr>
      </w:pPr>
      <w:r>
        <w:rPr>
          <w:rFonts w:ascii="Times New Roman"/>
          <w:color w:val="auto"/>
        </w:rPr>
        <w:t>6.1包装</w:t>
      </w:r>
      <w:bookmarkEnd w:id="11"/>
      <w:bookmarkEnd w:id="12"/>
      <w:bookmarkEnd w:id="13"/>
    </w:p>
    <w:p>
      <w:pPr>
        <w:adjustRightInd w:val="0"/>
        <w:snapToGrid w:val="0"/>
        <w:spacing w:line="360" w:lineRule="auto"/>
        <w:rPr>
          <w:color w:val="auto"/>
          <w:szCs w:val="21"/>
        </w:rPr>
      </w:pPr>
      <w:bookmarkStart w:id="24" w:name="_Toc18330"/>
      <w:bookmarkStart w:id="25" w:name="_Toc6187"/>
      <w:bookmarkStart w:id="26" w:name="_Toc23146"/>
      <w:r>
        <w:rPr>
          <w:color w:val="auto"/>
          <w:szCs w:val="21"/>
        </w:rPr>
        <w:t>6.1.1 装箱</w:t>
      </w:r>
      <w:r>
        <w:rPr>
          <w:rFonts w:hint="eastAsia"/>
          <w:color w:val="auto"/>
          <w:szCs w:val="21"/>
        </w:rPr>
        <w:t>电容放电棒</w:t>
      </w:r>
      <w:r>
        <w:rPr>
          <w:color w:val="auto"/>
          <w:szCs w:val="21"/>
        </w:rPr>
        <w:t>必须是即用成品。应将每</w:t>
      </w:r>
      <w:r>
        <w:rPr>
          <w:rFonts w:hint="eastAsia"/>
          <w:color w:val="auto"/>
          <w:szCs w:val="21"/>
        </w:rPr>
        <w:t>根电容放电棒</w:t>
      </w:r>
      <w:r>
        <w:rPr>
          <w:color w:val="auto"/>
          <w:szCs w:val="21"/>
        </w:rPr>
        <w:t>用塑料薄膜包好再放入纸箱内。</w:t>
      </w:r>
    </w:p>
    <w:p>
      <w:pPr>
        <w:adjustRightInd w:val="0"/>
        <w:snapToGrid w:val="0"/>
        <w:spacing w:line="360" w:lineRule="auto"/>
        <w:rPr>
          <w:color w:val="auto"/>
          <w:szCs w:val="21"/>
        </w:rPr>
      </w:pPr>
      <w:r>
        <w:rPr>
          <w:color w:val="auto"/>
          <w:szCs w:val="21"/>
        </w:rPr>
        <w:t>6.1.2 纸箱上应注有产品名称、数量、重量、体积和其他注意事项等标记。</w:t>
      </w:r>
    </w:p>
    <w:p>
      <w:pPr>
        <w:adjustRightInd w:val="0"/>
        <w:snapToGrid w:val="0"/>
        <w:spacing w:line="360" w:lineRule="auto"/>
        <w:rPr>
          <w:b/>
          <w:bCs/>
          <w:color w:val="auto"/>
          <w:kern w:val="2"/>
          <w:sz w:val="21"/>
          <w:szCs w:val="21"/>
        </w:rPr>
      </w:pPr>
      <w:r>
        <w:rPr>
          <w:color w:val="auto"/>
          <w:szCs w:val="21"/>
        </w:rPr>
        <w:t>6.1.3 每</w:t>
      </w:r>
      <w:r>
        <w:rPr>
          <w:rFonts w:hint="eastAsia"/>
          <w:color w:val="auto"/>
          <w:szCs w:val="21"/>
        </w:rPr>
        <w:t>根电容放电棒</w:t>
      </w:r>
      <w:r>
        <w:rPr>
          <w:color w:val="auto"/>
          <w:szCs w:val="21"/>
        </w:rPr>
        <w:t>均要附一份使用说明书。</w:t>
      </w:r>
      <w:r>
        <w:rPr>
          <w:rFonts w:hint="eastAsia"/>
          <w:b/>
          <w:bCs/>
          <w:color w:val="auto"/>
          <w:kern w:val="2"/>
          <w:sz w:val="21"/>
          <w:szCs w:val="24"/>
        </w:rPr>
        <w:t>使用说明书至少应有如下内容：</w:t>
      </w:r>
    </w:p>
    <w:p>
      <w:pPr>
        <w:adjustRightInd w:val="0"/>
        <w:snapToGrid w:val="0"/>
        <w:spacing w:line="360" w:lineRule="auto"/>
        <w:ind w:firstLine="440" w:firstLineChars="200"/>
        <w:rPr>
          <w:color w:val="auto"/>
        </w:rPr>
      </w:pPr>
      <w:r>
        <w:rPr>
          <w:rFonts w:hint="eastAsia"/>
          <w:color w:val="auto"/>
          <w:lang w:val="en-US" w:eastAsia="zh-CN"/>
        </w:rPr>
        <w:t>a.</w:t>
      </w:r>
      <w:r>
        <w:rPr>
          <w:rFonts w:hint="eastAsia"/>
          <w:color w:val="auto"/>
        </w:rPr>
        <w:t>生产厂商的名称、地址、电话；</w:t>
      </w:r>
    </w:p>
    <w:p>
      <w:pPr>
        <w:adjustRightInd w:val="0"/>
        <w:snapToGrid w:val="0"/>
        <w:spacing w:line="360" w:lineRule="auto"/>
        <w:ind w:firstLine="440" w:firstLineChars="200"/>
        <w:rPr>
          <w:color w:val="auto"/>
        </w:rPr>
      </w:pPr>
      <w:r>
        <w:rPr>
          <w:rFonts w:hint="eastAsia"/>
          <w:color w:val="auto"/>
          <w:lang w:val="en-US" w:eastAsia="zh-CN"/>
        </w:rPr>
        <w:t>b.</w:t>
      </w:r>
      <w:r>
        <w:rPr>
          <w:rFonts w:hint="eastAsia"/>
          <w:color w:val="auto"/>
        </w:rPr>
        <w:t>产品型号；</w:t>
      </w:r>
    </w:p>
    <w:p>
      <w:pPr>
        <w:adjustRightInd w:val="0"/>
        <w:snapToGrid w:val="0"/>
        <w:spacing w:line="360" w:lineRule="auto"/>
        <w:ind w:firstLine="440" w:firstLineChars="200"/>
        <w:rPr>
          <w:color w:val="auto"/>
        </w:rPr>
      </w:pPr>
      <w:r>
        <w:rPr>
          <w:rFonts w:hint="eastAsia"/>
          <w:color w:val="auto"/>
          <w:lang w:val="en-US" w:eastAsia="zh-CN"/>
        </w:rPr>
        <w:t>c.</w:t>
      </w:r>
      <w:r>
        <w:rPr>
          <w:rFonts w:hint="eastAsia"/>
          <w:color w:val="auto"/>
        </w:rPr>
        <w:t>本产品为合格品的声明；</w:t>
      </w:r>
    </w:p>
    <w:p>
      <w:pPr>
        <w:adjustRightInd w:val="0"/>
        <w:snapToGrid w:val="0"/>
        <w:spacing w:line="360" w:lineRule="auto"/>
        <w:ind w:firstLine="440" w:firstLineChars="200"/>
        <w:rPr>
          <w:color w:val="auto"/>
        </w:rPr>
      </w:pPr>
      <w:r>
        <w:rPr>
          <w:rFonts w:hint="eastAsia"/>
          <w:color w:val="auto"/>
          <w:lang w:val="en-US" w:eastAsia="zh-CN"/>
        </w:rPr>
        <w:t>d.</w:t>
      </w:r>
      <w:r>
        <w:rPr>
          <w:rFonts w:hint="eastAsia"/>
          <w:color w:val="auto"/>
        </w:rPr>
        <w:t>使用方法；</w:t>
      </w:r>
    </w:p>
    <w:p>
      <w:pPr>
        <w:adjustRightInd w:val="0"/>
        <w:snapToGrid w:val="0"/>
        <w:spacing w:line="360" w:lineRule="auto"/>
        <w:ind w:firstLine="440" w:firstLineChars="200"/>
        <w:rPr>
          <w:color w:val="auto"/>
        </w:rPr>
      </w:pPr>
      <w:r>
        <w:rPr>
          <w:rFonts w:hint="eastAsia"/>
          <w:color w:val="auto"/>
          <w:lang w:val="en-US" w:eastAsia="zh-CN"/>
        </w:rPr>
        <w:t>e.</w:t>
      </w:r>
      <w:r>
        <w:rPr>
          <w:rFonts w:hint="eastAsia"/>
          <w:color w:val="auto"/>
        </w:rPr>
        <w:t>维护和检测指南；</w:t>
      </w:r>
    </w:p>
    <w:p>
      <w:pPr>
        <w:adjustRightInd w:val="0"/>
        <w:snapToGrid w:val="0"/>
        <w:spacing w:line="360" w:lineRule="auto"/>
        <w:ind w:firstLine="440" w:firstLineChars="200"/>
        <w:rPr>
          <w:color w:val="auto"/>
        </w:rPr>
      </w:pPr>
      <w:r>
        <w:rPr>
          <w:rFonts w:hint="eastAsia"/>
          <w:color w:val="auto"/>
          <w:lang w:val="en-US" w:eastAsia="zh-CN"/>
        </w:rPr>
        <w:t>f.</w:t>
      </w:r>
      <w:r>
        <w:rPr>
          <w:rFonts w:hint="eastAsia"/>
          <w:color w:val="auto"/>
        </w:rPr>
        <w:t>日常检查的方法和部位；</w:t>
      </w:r>
    </w:p>
    <w:p>
      <w:pPr>
        <w:adjustRightInd w:val="0"/>
        <w:snapToGrid w:val="0"/>
        <w:spacing w:line="360" w:lineRule="auto"/>
        <w:ind w:firstLine="440" w:firstLineChars="200"/>
        <w:rPr>
          <w:color w:val="auto"/>
        </w:rPr>
      </w:pPr>
      <w:r>
        <w:rPr>
          <w:rFonts w:hint="eastAsia"/>
          <w:color w:val="auto"/>
          <w:lang w:val="en-US" w:eastAsia="zh-CN"/>
        </w:rPr>
        <w:t>g.</w:t>
      </w:r>
      <w:r>
        <w:rPr>
          <w:rFonts w:hint="eastAsia"/>
          <w:color w:val="auto"/>
        </w:rPr>
        <w:t>清洁、维护、贮存的方法；</w:t>
      </w:r>
    </w:p>
    <w:p>
      <w:pPr>
        <w:adjustRightInd w:val="0"/>
        <w:snapToGrid w:val="0"/>
        <w:spacing w:line="360" w:lineRule="auto"/>
        <w:ind w:firstLine="440" w:firstLineChars="200"/>
        <w:rPr>
          <w:color w:val="auto"/>
        </w:rPr>
      </w:pPr>
      <w:r>
        <w:rPr>
          <w:rFonts w:hint="eastAsia"/>
          <w:color w:val="auto"/>
          <w:lang w:val="en-US" w:eastAsia="zh-CN"/>
        </w:rPr>
        <w:t>h.</w:t>
      </w:r>
      <w:r>
        <w:rPr>
          <w:rFonts w:hint="eastAsia"/>
          <w:color w:val="auto"/>
        </w:rPr>
        <w:t>用户须知（或安全警告）。</w:t>
      </w:r>
    </w:p>
    <w:p>
      <w:pPr>
        <w:pStyle w:val="47"/>
        <w:keepNext/>
        <w:widowControl/>
        <w:numPr>
          <w:ilvl w:val="0"/>
          <w:numId w:val="0"/>
        </w:numPr>
        <w:adjustRightInd/>
        <w:snapToGrid/>
        <w:outlineLvl w:val="9"/>
        <w:rPr>
          <w:rFonts w:ascii="Times New Roman"/>
          <w:color w:val="auto"/>
        </w:rPr>
      </w:pPr>
      <w:r>
        <w:rPr>
          <w:rFonts w:ascii="Times New Roman"/>
          <w:color w:val="auto"/>
        </w:rPr>
        <w:t>6.2运输</w:t>
      </w:r>
      <w:bookmarkEnd w:id="24"/>
      <w:bookmarkEnd w:id="25"/>
      <w:bookmarkEnd w:id="26"/>
    </w:p>
    <w:p>
      <w:pPr>
        <w:adjustRightInd w:val="0"/>
        <w:snapToGrid w:val="0"/>
        <w:spacing w:line="360" w:lineRule="auto"/>
        <w:rPr>
          <w:color w:val="auto"/>
          <w:szCs w:val="21"/>
        </w:rPr>
      </w:pPr>
      <w:bookmarkStart w:id="27" w:name="_Toc245269012"/>
      <w:bookmarkStart w:id="28" w:name="_Toc245436568"/>
      <w:bookmarkStart w:id="29" w:name="_Toc245270662"/>
      <w:bookmarkStart w:id="30" w:name="_Toc245269366"/>
      <w:bookmarkStart w:id="31" w:name="_Toc245270861"/>
      <w:r>
        <w:rPr>
          <w:color w:val="auto"/>
          <w:szCs w:val="21"/>
        </w:rPr>
        <w:t>6.2.1产品经妥善包装或装箱后, 在运输过程中应采取有效防护措施, 以免损坏或遗失。</w:t>
      </w:r>
      <w:bookmarkEnd w:id="27"/>
      <w:bookmarkEnd w:id="28"/>
      <w:bookmarkEnd w:id="29"/>
      <w:bookmarkEnd w:id="30"/>
      <w:bookmarkEnd w:id="31"/>
    </w:p>
    <w:p>
      <w:pPr>
        <w:adjustRightInd w:val="0"/>
        <w:snapToGrid w:val="0"/>
        <w:spacing w:line="360" w:lineRule="auto"/>
        <w:rPr>
          <w:color w:val="auto"/>
          <w:szCs w:val="21"/>
        </w:rPr>
      </w:pPr>
      <w:bookmarkStart w:id="32" w:name="_Toc245269367"/>
      <w:bookmarkStart w:id="33" w:name="_Toc245436569"/>
      <w:bookmarkStart w:id="34" w:name="_Toc245269013"/>
      <w:bookmarkStart w:id="35" w:name="_Toc245270663"/>
      <w:bookmarkStart w:id="36" w:name="_Toc245270862"/>
      <w:r>
        <w:rPr>
          <w:color w:val="auto"/>
          <w:szCs w:val="21"/>
        </w:rPr>
        <w:t>6.2.2在包装箱外应标明需方的订货号、发货号。</w:t>
      </w:r>
      <w:bookmarkEnd w:id="32"/>
      <w:bookmarkEnd w:id="33"/>
      <w:bookmarkEnd w:id="34"/>
      <w:bookmarkEnd w:id="35"/>
      <w:bookmarkEnd w:id="36"/>
    </w:p>
    <w:p>
      <w:pPr>
        <w:adjustRightInd w:val="0"/>
        <w:snapToGrid w:val="0"/>
        <w:spacing w:line="360" w:lineRule="auto"/>
        <w:rPr>
          <w:color w:val="auto"/>
          <w:szCs w:val="21"/>
        </w:rPr>
      </w:pPr>
      <w:bookmarkStart w:id="37" w:name="_Toc245270668"/>
      <w:bookmarkStart w:id="38" w:name="_Toc245270867"/>
      <w:bookmarkStart w:id="39" w:name="_Toc245436574"/>
      <w:bookmarkStart w:id="40" w:name="_Toc245269372"/>
      <w:bookmarkStart w:id="41" w:name="_Toc245269018"/>
      <w:r>
        <w:rPr>
          <w:color w:val="auto"/>
          <w:szCs w:val="21"/>
        </w:rPr>
        <w:t>6.2.3包装和运输均由中标方负责，产品抵达目的地后，中标方组织开箱验收。如果发现任一产品有偏差、损坏、遗漏或因中标方的责任与合同不符，招标方有权向中标方提出索赔。</w:t>
      </w:r>
      <w:bookmarkEnd w:id="37"/>
      <w:bookmarkEnd w:id="38"/>
      <w:bookmarkEnd w:id="39"/>
      <w:bookmarkEnd w:id="40"/>
      <w:bookmarkEnd w:id="41"/>
    </w:p>
    <w:p>
      <w:pPr>
        <w:pStyle w:val="2"/>
        <w:snapToGrid/>
        <w:spacing w:before="0" w:beforeLines="0"/>
        <w:rPr>
          <w:rFonts w:ascii="Times New Roman"/>
          <w:color w:val="auto"/>
        </w:rPr>
      </w:pPr>
      <w:bookmarkStart w:id="42" w:name="_Toc15966"/>
      <w:bookmarkStart w:id="43" w:name="_Toc144806702"/>
      <w:r>
        <w:rPr>
          <w:rFonts w:ascii="Times New Roman"/>
          <w:color w:val="auto"/>
        </w:rPr>
        <w:t>售后服务</w:t>
      </w:r>
      <w:bookmarkEnd w:id="14"/>
      <w:bookmarkEnd w:id="15"/>
      <w:bookmarkEnd w:id="16"/>
      <w:bookmarkEnd w:id="17"/>
      <w:bookmarkEnd w:id="18"/>
      <w:bookmarkEnd w:id="19"/>
      <w:bookmarkEnd w:id="42"/>
      <w:bookmarkEnd w:id="43"/>
    </w:p>
    <w:bookmarkEnd w:id="20"/>
    <w:bookmarkEnd w:id="21"/>
    <w:bookmarkEnd w:id="22"/>
    <w:bookmarkEnd w:id="23"/>
    <w:p>
      <w:pPr>
        <w:adjustRightInd w:val="0"/>
        <w:snapToGrid w:val="0"/>
        <w:spacing w:line="360" w:lineRule="auto"/>
        <w:rPr>
          <w:color w:val="auto"/>
          <w:szCs w:val="21"/>
        </w:rPr>
      </w:pPr>
      <w:bookmarkStart w:id="44" w:name="_Toc5954"/>
      <w:bookmarkStart w:id="45" w:name="_Toc279695206"/>
      <w:bookmarkStart w:id="46" w:name="_Toc8493"/>
      <w:bookmarkStart w:id="47" w:name="_Toc8742"/>
      <w:bookmarkStart w:id="48" w:name="_Toc1305"/>
      <w:bookmarkStart w:id="49" w:name="_Toc11723"/>
      <w:bookmarkStart w:id="50" w:name="_Toc398543111"/>
      <w:r>
        <w:rPr>
          <w:color w:val="auto"/>
          <w:szCs w:val="21"/>
        </w:rPr>
        <w:t>7.1 自招标方向投标方订购产品使用之日起，投标方应向招标方提供包括热线技术指导、现场故障排除等各种用户技术服务。</w:t>
      </w:r>
    </w:p>
    <w:p>
      <w:pPr>
        <w:adjustRightInd w:val="0"/>
        <w:snapToGrid w:val="0"/>
        <w:spacing w:line="360" w:lineRule="auto"/>
        <w:rPr>
          <w:color w:val="auto"/>
          <w:szCs w:val="21"/>
        </w:rPr>
      </w:pPr>
      <w:r>
        <w:rPr>
          <w:color w:val="auto"/>
          <w:szCs w:val="21"/>
        </w:rPr>
        <w:t>7.2 质保期限：自产品出厂日期与交货日期起不短于正常使用三年或产品到货三年（中标方承诺的质保期若长于上述时间，则按承诺时间执行）。</w:t>
      </w:r>
    </w:p>
    <w:p>
      <w:pPr>
        <w:adjustRightInd w:val="0"/>
        <w:snapToGrid w:val="0"/>
        <w:spacing w:line="360" w:lineRule="auto"/>
        <w:rPr>
          <w:color w:val="auto"/>
          <w:szCs w:val="21"/>
        </w:rPr>
      </w:pPr>
      <w:r>
        <w:rPr>
          <w:color w:val="auto"/>
          <w:szCs w:val="21"/>
        </w:rPr>
        <w:t>7.3招标方在产品的质保期内使用过程中出现因产品或配件质量问题导致的功能性故障时，中标方应对产品进行保修或更换。</w:t>
      </w:r>
    </w:p>
    <w:bookmarkEnd w:id="44"/>
    <w:bookmarkEnd w:id="45"/>
    <w:bookmarkEnd w:id="46"/>
    <w:bookmarkEnd w:id="47"/>
    <w:bookmarkEnd w:id="48"/>
    <w:bookmarkEnd w:id="49"/>
    <w:bookmarkEnd w:id="50"/>
    <w:p>
      <w:pPr>
        <w:pStyle w:val="2"/>
        <w:snapToGrid/>
        <w:spacing w:before="0" w:beforeLines="0"/>
        <w:rPr>
          <w:rFonts w:ascii="Times New Roman"/>
          <w:color w:val="auto"/>
        </w:rPr>
      </w:pPr>
      <w:bookmarkStart w:id="51" w:name="_Toc31053"/>
      <w:bookmarkStart w:id="52" w:name="_Toc305941275"/>
      <w:bookmarkStart w:id="53" w:name="_Toc21473"/>
      <w:bookmarkStart w:id="54" w:name="_Toc398543115"/>
      <w:bookmarkStart w:id="55" w:name="_Toc3899"/>
      <w:bookmarkStart w:id="56" w:name="_Toc30911"/>
      <w:bookmarkStart w:id="57" w:name="_Toc11573"/>
      <w:bookmarkStart w:id="58" w:name="_Toc21143"/>
      <w:bookmarkStart w:id="59" w:name="_Toc305941559"/>
      <w:bookmarkStart w:id="60" w:name="_Toc144806703"/>
      <w:bookmarkStart w:id="61" w:name="_Toc287602849"/>
      <w:r>
        <w:rPr>
          <w:rFonts w:ascii="Times New Roman"/>
          <w:color w:val="auto"/>
        </w:rPr>
        <w:t>技术差异表</w:t>
      </w:r>
      <w:bookmarkEnd w:id="51"/>
      <w:bookmarkEnd w:id="52"/>
      <w:bookmarkEnd w:id="53"/>
      <w:bookmarkEnd w:id="54"/>
      <w:bookmarkEnd w:id="55"/>
      <w:bookmarkEnd w:id="56"/>
      <w:bookmarkEnd w:id="57"/>
      <w:bookmarkEnd w:id="58"/>
      <w:bookmarkEnd w:id="59"/>
      <w:bookmarkEnd w:id="60"/>
      <w:bookmarkEnd w:id="61"/>
    </w:p>
    <w:p>
      <w:pPr>
        <w:spacing w:line="360" w:lineRule="auto"/>
        <w:ind w:firstLine="440" w:firstLineChars="200"/>
        <w:rPr>
          <w:color w:val="auto"/>
          <w:szCs w:val="21"/>
        </w:rPr>
      </w:pPr>
      <w:bookmarkStart w:id="62" w:name="_Toc226362579"/>
      <w:r>
        <w:rPr>
          <w:color w:val="auto"/>
          <w:szCs w:val="21"/>
        </w:rPr>
        <w:t>投标方应将所供物资与本招标书技术文件有差异之处，无论优于或劣于本招标书技术文件要求，均汇集成此表。</w:t>
      </w:r>
    </w:p>
    <w:p>
      <w:pPr>
        <w:spacing w:line="360" w:lineRule="auto"/>
        <w:jc w:val="center"/>
        <w:rPr>
          <w:color w:val="auto"/>
          <w:szCs w:val="21"/>
        </w:rPr>
      </w:pPr>
      <w:r>
        <w:rPr>
          <w:color w:val="auto"/>
          <w:szCs w:val="21"/>
        </w:rPr>
        <w:t>表8.1技术差异表</w:t>
      </w:r>
      <w:bookmarkEnd w:id="62"/>
      <w:r>
        <w:rPr>
          <w:color w:val="auto"/>
          <w:szCs w:val="21"/>
        </w:rPr>
        <w:t>（投标方填写）</w:t>
      </w:r>
    </w:p>
    <w:tbl>
      <w:tblPr>
        <w:tblStyle w:val="17"/>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179"/>
        <w:gridCol w:w="2756"/>
        <w:gridCol w:w="1276"/>
        <w:gridCol w:w="261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04" w:type="pct"/>
            <w:vMerge w:val="restart"/>
            <w:vAlign w:val="center"/>
          </w:tcPr>
          <w:p>
            <w:pPr>
              <w:autoSpaceDE w:val="0"/>
              <w:autoSpaceDN w:val="0"/>
              <w:spacing w:before="40" w:line="360" w:lineRule="auto"/>
              <w:jc w:val="center"/>
              <w:textAlignment w:val="bottom"/>
              <w:rPr>
                <w:color w:val="auto"/>
                <w:szCs w:val="21"/>
              </w:rPr>
            </w:pPr>
            <w:r>
              <w:rPr>
                <w:color w:val="auto"/>
                <w:szCs w:val="21"/>
              </w:rPr>
              <w:t>序</w:t>
            </w:r>
          </w:p>
          <w:p>
            <w:pPr>
              <w:autoSpaceDE w:val="0"/>
              <w:autoSpaceDN w:val="0"/>
              <w:spacing w:before="40" w:line="360" w:lineRule="auto"/>
              <w:jc w:val="center"/>
              <w:textAlignment w:val="bottom"/>
              <w:rPr>
                <w:color w:val="auto"/>
                <w:szCs w:val="21"/>
              </w:rPr>
            </w:pPr>
            <w:r>
              <w:rPr>
                <w:color w:val="auto"/>
                <w:szCs w:val="21"/>
              </w:rPr>
              <w:t>号</w:t>
            </w:r>
          </w:p>
        </w:tc>
        <w:tc>
          <w:tcPr>
            <w:tcW w:w="2310" w:type="pct"/>
            <w:gridSpan w:val="2"/>
            <w:vAlign w:val="center"/>
          </w:tcPr>
          <w:p>
            <w:pPr>
              <w:autoSpaceDE w:val="0"/>
              <w:autoSpaceDN w:val="0"/>
              <w:spacing w:before="40" w:line="360" w:lineRule="auto"/>
              <w:jc w:val="center"/>
              <w:textAlignment w:val="bottom"/>
              <w:rPr>
                <w:color w:val="auto"/>
                <w:szCs w:val="21"/>
              </w:rPr>
            </w:pPr>
            <w:r>
              <w:rPr>
                <w:color w:val="auto"/>
                <w:szCs w:val="21"/>
              </w:rPr>
              <w:t>招 标 文 件</w:t>
            </w:r>
          </w:p>
        </w:tc>
        <w:tc>
          <w:tcPr>
            <w:tcW w:w="2285" w:type="pct"/>
            <w:gridSpan w:val="2"/>
            <w:vAlign w:val="center"/>
          </w:tcPr>
          <w:p>
            <w:pPr>
              <w:autoSpaceDE w:val="0"/>
              <w:autoSpaceDN w:val="0"/>
              <w:spacing w:before="40" w:line="360" w:lineRule="auto"/>
              <w:jc w:val="center"/>
              <w:textAlignment w:val="bottom"/>
              <w:rPr>
                <w:color w:val="auto"/>
                <w:szCs w:val="21"/>
              </w:rPr>
            </w:pPr>
            <w:r>
              <w:rPr>
                <w:color w:val="auto"/>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04" w:type="pct"/>
            <w:vMerge w:val="continue"/>
            <w:vAlign w:val="center"/>
          </w:tcPr>
          <w:p>
            <w:pPr>
              <w:autoSpaceDE w:val="0"/>
              <w:autoSpaceDN w:val="0"/>
              <w:spacing w:before="40" w:line="360" w:lineRule="auto"/>
              <w:jc w:val="center"/>
              <w:textAlignment w:val="bottom"/>
              <w:rPr>
                <w:color w:val="auto"/>
                <w:szCs w:val="21"/>
              </w:rPr>
            </w:pPr>
          </w:p>
        </w:tc>
        <w:tc>
          <w:tcPr>
            <w:tcW w:w="692" w:type="pct"/>
            <w:vAlign w:val="center"/>
          </w:tcPr>
          <w:p>
            <w:pPr>
              <w:autoSpaceDE w:val="0"/>
              <w:autoSpaceDN w:val="0"/>
              <w:spacing w:before="40" w:line="360" w:lineRule="auto"/>
              <w:jc w:val="center"/>
              <w:textAlignment w:val="bottom"/>
              <w:rPr>
                <w:color w:val="auto"/>
                <w:szCs w:val="21"/>
              </w:rPr>
            </w:pPr>
            <w:r>
              <w:rPr>
                <w:color w:val="auto"/>
                <w:szCs w:val="21"/>
              </w:rPr>
              <w:t>条  目</w:t>
            </w:r>
          </w:p>
        </w:tc>
        <w:tc>
          <w:tcPr>
            <w:tcW w:w="1617" w:type="pct"/>
            <w:vAlign w:val="center"/>
          </w:tcPr>
          <w:p>
            <w:pPr>
              <w:autoSpaceDE w:val="0"/>
              <w:autoSpaceDN w:val="0"/>
              <w:spacing w:before="40" w:line="360" w:lineRule="auto"/>
              <w:jc w:val="center"/>
              <w:textAlignment w:val="bottom"/>
              <w:rPr>
                <w:color w:val="auto"/>
                <w:szCs w:val="21"/>
              </w:rPr>
            </w:pPr>
            <w:r>
              <w:rPr>
                <w:color w:val="auto"/>
                <w:szCs w:val="21"/>
              </w:rPr>
              <w:t>简  要  内  容</w:t>
            </w:r>
          </w:p>
        </w:tc>
        <w:tc>
          <w:tcPr>
            <w:tcW w:w="749" w:type="pct"/>
            <w:vAlign w:val="center"/>
          </w:tcPr>
          <w:p>
            <w:pPr>
              <w:autoSpaceDE w:val="0"/>
              <w:autoSpaceDN w:val="0"/>
              <w:spacing w:before="40" w:line="360" w:lineRule="auto"/>
              <w:jc w:val="center"/>
              <w:textAlignment w:val="bottom"/>
              <w:rPr>
                <w:color w:val="auto"/>
                <w:szCs w:val="21"/>
              </w:rPr>
            </w:pPr>
            <w:r>
              <w:rPr>
                <w:color w:val="auto"/>
                <w:szCs w:val="21"/>
              </w:rPr>
              <w:t>条  目</w:t>
            </w:r>
          </w:p>
        </w:tc>
        <w:tc>
          <w:tcPr>
            <w:tcW w:w="1535" w:type="pct"/>
            <w:vAlign w:val="center"/>
          </w:tcPr>
          <w:p>
            <w:pPr>
              <w:autoSpaceDE w:val="0"/>
              <w:autoSpaceDN w:val="0"/>
              <w:spacing w:before="40" w:line="360" w:lineRule="auto"/>
              <w:jc w:val="center"/>
              <w:textAlignment w:val="bottom"/>
              <w:rPr>
                <w:color w:val="auto"/>
                <w:szCs w:val="21"/>
              </w:rPr>
            </w:pPr>
            <w:r>
              <w:rPr>
                <w:color w:val="auto"/>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1</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2</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3</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4</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5</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6</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7</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8</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9</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vAlign w:val="center"/>
          </w:tcPr>
          <w:p>
            <w:pPr>
              <w:autoSpaceDE w:val="0"/>
              <w:autoSpaceDN w:val="0"/>
              <w:spacing w:line="360" w:lineRule="auto"/>
              <w:jc w:val="center"/>
              <w:textAlignment w:val="bottom"/>
              <w:rPr>
                <w:color w:val="auto"/>
                <w:szCs w:val="21"/>
              </w:rPr>
            </w:pPr>
            <w:r>
              <w:rPr>
                <w:color w:val="auto"/>
                <w:szCs w:val="21"/>
              </w:rPr>
              <w:t>10</w:t>
            </w:r>
          </w:p>
        </w:tc>
        <w:tc>
          <w:tcPr>
            <w:tcW w:w="692" w:type="pct"/>
            <w:vAlign w:val="center"/>
          </w:tcPr>
          <w:p>
            <w:pPr>
              <w:autoSpaceDE w:val="0"/>
              <w:autoSpaceDN w:val="0"/>
              <w:spacing w:line="360" w:lineRule="auto"/>
              <w:jc w:val="center"/>
              <w:textAlignment w:val="bottom"/>
              <w:rPr>
                <w:color w:val="auto"/>
                <w:szCs w:val="21"/>
              </w:rPr>
            </w:pPr>
          </w:p>
        </w:tc>
        <w:tc>
          <w:tcPr>
            <w:tcW w:w="1617" w:type="pct"/>
            <w:vAlign w:val="center"/>
          </w:tcPr>
          <w:p>
            <w:pPr>
              <w:autoSpaceDE w:val="0"/>
              <w:autoSpaceDN w:val="0"/>
              <w:spacing w:line="360" w:lineRule="auto"/>
              <w:jc w:val="center"/>
              <w:textAlignment w:val="bottom"/>
              <w:rPr>
                <w:color w:val="auto"/>
                <w:szCs w:val="21"/>
              </w:rPr>
            </w:pPr>
          </w:p>
        </w:tc>
        <w:tc>
          <w:tcPr>
            <w:tcW w:w="749" w:type="pct"/>
            <w:vAlign w:val="center"/>
          </w:tcPr>
          <w:p>
            <w:pPr>
              <w:autoSpaceDE w:val="0"/>
              <w:autoSpaceDN w:val="0"/>
              <w:spacing w:line="360" w:lineRule="auto"/>
              <w:jc w:val="center"/>
              <w:textAlignment w:val="bottom"/>
              <w:rPr>
                <w:color w:val="auto"/>
                <w:szCs w:val="21"/>
              </w:rPr>
            </w:pPr>
          </w:p>
        </w:tc>
        <w:tc>
          <w:tcPr>
            <w:tcW w:w="1535" w:type="pct"/>
            <w:vAlign w:val="center"/>
          </w:tcPr>
          <w:p>
            <w:pPr>
              <w:autoSpaceDE w:val="0"/>
              <w:autoSpaceDN w:val="0"/>
              <w:spacing w:line="360" w:lineRule="auto"/>
              <w:jc w:val="center"/>
              <w:textAlignment w:val="bottom"/>
              <w:rPr>
                <w:color w:val="auto"/>
                <w:szCs w:val="21"/>
              </w:rPr>
            </w:pPr>
          </w:p>
        </w:tc>
      </w:tr>
    </w:tbl>
    <w:p>
      <w:pPr>
        <w:pStyle w:val="9"/>
        <w:adjustRightInd w:val="0"/>
        <w:snapToGrid w:val="0"/>
        <w:spacing w:before="120" w:beforeLines="50" w:line="360" w:lineRule="auto"/>
        <w:rPr>
          <w:rFonts w:ascii="Times New Roman" w:hAnsi="Times New Roman"/>
          <w:color w:val="auto"/>
          <w:szCs w:val="21"/>
        </w:rPr>
      </w:pPr>
      <w:r>
        <w:rPr>
          <w:rFonts w:ascii="Times New Roman" w:hAnsi="Times New Roman"/>
          <w:color w:val="auto"/>
          <w:szCs w:val="21"/>
        </w:rPr>
        <w:t>投标方：</w:t>
      </w:r>
      <w:r>
        <w:rPr>
          <w:rFonts w:ascii="Times New Roman" w:hAnsi="Times New Roman"/>
          <w:color w:val="auto"/>
          <w:szCs w:val="21"/>
          <w:u w:val="single"/>
        </w:rPr>
        <w:t xml:space="preserve">                </w:t>
      </w:r>
      <w:r>
        <w:rPr>
          <w:rFonts w:ascii="Times New Roman" w:hAnsi="Times New Roman"/>
          <w:color w:val="auto"/>
          <w:szCs w:val="21"/>
        </w:rPr>
        <w:t>盖章：</w:t>
      </w:r>
    </w:p>
    <w:sectPr>
      <w:footerReference r:id="rId12" w:type="first"/>
      <w:footerReference r:id="rId11" w:type="default"/>
      <w:pgSz w:w="11900" w:h="16838"/>
      <w:pgMar w:top="1440" w:right="1800" w:bottom="1440" w:left="1800" w:header="964" w:footer="737" w:gutter="0"/>
      <w:pgNumType w:start="1"/>
      <w:cols w:space="720" w:num="1"/>
      <w:titlePg/>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Style w:val="20"/>
      </w:rPr>
    </w:pPr>
    <w:r>
      <w:fldChar w:fldCharType="begin"/>
    </w:r>
    <w:r>
      <w:rPr>
        <w:rStyle w:val="20"/>
      </w:rPr>
      <w:instrText xml:space="preserve">PAGE  </w:instrText>
    </w:r>
    <w:r>
      <w:fldChar w:fldCharType="separate"/>
    </w:r>
    <w:r>
      <w:rPr>
        <w:rStyle w:val="20"/>
      </w:rPr>
      <w:t>2</w:t>
    </w:r>
    <w:r>
      <w:fldChar w:fldCharType="end"/>
    </w:r>
  </w:p>
  <w:p>
    <w:pPr>
      <w:pStyle w:val="42"/>
      <w:ind w:right="360" w:firstLine="360"/>
      <w:rPr>
        <w:rStyle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ind w:right="360" w:firstLine="360"/>
      <w:jc w:val="center"/>
      <w:rPr>
        <w:rStyle w:val="20"/>
      </w:rPr>
    </w:pPr>
    <w:r>
      <w:rPr>
        <w:kern w:val="2"/>
        <w:szCs w:val="18"/>
      </w:rPr>
      <w:fldChar w:fldCharType="begin"/>
    </w:r>
    <w:r>
      <w:rPr>
        <w:rStyle w:val="20"/>
        <w:kern w:val="2"/>
        <w:szCs w:val="18"/>
      </w:rPr>
      <w:instrText xml:space="preserve"> PAGE </w:instrText>
    </w:r>
    <w:r>
      <w:rPr>
        <w:kern w:val="2"/>
        <w:szCs w:val="18"/>
      </w:rPr>
      <w:fldChar w:fldCharType="separate"/>
    </w:r>
    <w:r>
      <w:rPr>
        <w:rStyle w:val="20"/>
        <w:kern w:val="2"/>
        <w:szCs w:val="18"/>
      </w:rPr>
      <w:t>4</w:t>
    </w:r>
    <w:r>
      <w:rPr>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Style w:val="20"/>
      </w:rPr>
    </w:pPr>
  </w:p>
  <w:p>
    <w:pPr>
      <w:pStyle w:val="42"/>
      <w:ind w:right="360" w:firstLine="360"/>
      <w:rPr>
        <w:rStyle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Style w:val="20"/>
      </w:rPr>
    </w:pPr>
    <w:r>
      <w:pict>
        <v:shape id="_x0000_s1087" o:spid="_x0000_s108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 页</w:t>
                </w:r>
              </w:p>
            </w:txbxContent>
          </v:textbox>
        </v:shape>
      </w:pict>
    </w:r>
  </w:p>
  <w:p>
    <w:pPr>
      <w:pStyle w:val="42"/>
      <w:ind w:right="360" w:firstLine="360"/>
      <w:rPr>
        <w:rStyle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pict>
        <v:shape id="_x0000_s1088" o:spid="_x0000_s108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w:t>
                </w:r>
                <w:r>
                  <w:rPr>
                    <w:rFonts w:hint="eastAsia"/>
                    <w:sz w:val="18"/>
                    <w:lang w:val="en-US" w:eastAsia="zh-CN"/>
                  </w:rPr>
                  <w:t>6</w:t>
                </w:r>
                <w:r>
                  <w:rPr>
                    <w:rFonts w:hint="eastAsia"/>
                    <w:sz w:val="18"/>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firstLineChars="200"/>
      <w:jc w:val="both"/>
    </w:pPr>
    <w:r>
      <w:rPr>
        <w:rFonts w:hint="eastAsia"/>
      </w:rPr>
      <w:t>广州供电局</w:t>
    </w:r>
    <w:r>
      <w:rPr>
        <w:rFonts w:hint="eastAsia"/>
        <w:shd w:val="pct10" w:color="auto" w:fill="FFFFFF"/>
      </w:rPr>
      <w:t>携带型短路接地线</w:t>
    </w:r>
    <w:r>
      <w:rPr>
        <w:rFonts w:hint="eastAsia"/>
      </w:rPr>
      <w:t xml:space="preserve">标准技术标书           第 </w:t>
    </w:r>
    <w:r>
      <w:fldChar w:fldCharType="begin"/>
    </w:r>
    <w:r>
      <w:rPr>
        <w:rStyle w:val="20"/>
      </w:rPr>
      <w:instrText xml:space="preserve"> PAGE </w:instrText>
    </w:r>
    <w:r>
      <w:fldChar w:fldCharType="separate"/>
    </w:r>
    <w:r>
      <w:rPr>
        <w:rStyle w:val="20"/>
      </w:rPr>
      <w:t>I</w:t>
    </w:r>
    <w:r>
      <w:fldChar w:fldCharType="end"/>
    </w:r>
    <w:r>
      <w:rPr>
        <w:rStyle w:val="20"/>
        <w:rFonts w:hint="eastAsia"/>
      </w:rPr>
      <w:t xml:space="preserve"> 页 / 共 19页</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tabs>
        <w:tab w:val="clear" w:pos="1120"/>
      </w:tabs>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lang w:val="en-US" w:eastAsia="zh-CN"/>
      </w:rPr>
      <w:t>海南</w:t>
    </w:r>
    <w:r>
      <w:rPr>
        <w:rFonts w:hint="eastAsia"/>
      </w:rPr>
      <w:t>电网有限责任公司电容</w:t>
    </w:r>
    <w:r>
      <w:rPr>
        <w:rFonts w:hint="eastAsia"/>
        <w:lang w:val="en-US" w:eastAsia="zh-CN"/>
      </w:rPr>
      <w:t>器</w:t>
    </w:r>
    <w:r>
      <w:rPr>
        <w:rFonts w:hint="eastAsia"/>
      </w:rPr>
      <w:t>放电棒技术条件书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pBdr>
        <w:bottom w:val="single" w:color="auto" w:sz="4" w:space="0"/>
      </w:pBdr>
      <w:tabs>
        <w:tab w:val="clear" w:pos="1120"/>
      </w:tabs>
      <w:ind w:firstLine="0"/>
      <w:jc w:val="center"/>
    </w:pPr>
    <w:r>
      <w:rPr>
        <w:rFonts w:hint="eastAsia"/>
        <w:lang w:val="en-US" w:eastAsia="zh-CN"/>
      </w:rPr>
      <w:t>海南</w:t>
    </w:r>
    <w:r>
      <w:rPr>
        <w:rFonts w:hint="eastAsia"/>
      </w:rPr>
      <w:t>电网有限责任公司电容</w:t>
    </w:r>
    <w:r>
      <w:rPr>
        <w:rFonts w:hint="eastAsia"/>
        <w:lang w:val="en-US" w:eastAsia="zh-CN"/>
      </w:rPr>
      <w:t>器</w:t>
    </w:r>
    <w:r>
      <w:rPr>
        <w:rFonts w:hint="eastAsia"/>
      </w:rPr>
      <w:t>放电棒技术条件书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284"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43DE53CB"/>
    <w:multiLevelType w:val="multilevel"/>
    <w:tmpl w:val="43DE53CB"/>
    <w:lvl w:ilvl="0" w:tentative="0">
      <w:start w:val="1"/>
      <w:numFmt w:val="decimal"/>
      <w:lvlText w:val="%1 "/>
      <w:lvlJc w:val="left"/>
      <w:pPr>
        <w:ind w:left="425" w:hanging="425"/>
      </w:pPr>
      <w:rPr>
        <w:rFonts w:hint="eastAsia" w:ascii="黑体" w:hAnsi="黑体" w:eastAsia="黑体"/>
      </w:rPr>
    </w:lvl>
    <w:lvl w:ilvl="1" w:tentative="0">
      <w:start w:val="1"/>
      <w:numFmt w:val="decimal"/>
      <w:pStyle w:val="47"/>
      <w:lvlText w:val="%1.%2 "/>
      <w:lvlJc w:val="left"/>
      <w:pPr>
        <w:ind w:left="992" w:hanging="567"/>
      </w:pPr>
      <w:rPr>
        <w:rFonts w:hint="eastAsia"/>
      </w:rPr>
    </w:lvl>
    <w:lvl w:ilvl="2" w:tentative="0">
      <w:start w:val="1"/>
      <w:numFmt w:val="decimal"/>
      <w:pStyle w:val="49"/>
      <w:lvlText w:val="%1.%2.%3"/>
      <w:lvlJc w:val="left"/>
      <w:pPr>
        <w:ind w:left="1418" w:hanging="1021"/>
      </w:pPr>
      <w:rPr>
        <w:rFonts w:hint="eastAsia"/>
      </w:rPr>
    </w:lvl>
    <w:lvl w:ilvl="3" w:tentative="0">
      <w:start w:val="1"/>
      <w:numFmt w:val="decimal"/>
      <w:pStyle w:val="48"/>
      <w:lvlText w:val="%1.%2.%3.%4"/>
      <w:lvlJc w:val="left"/>
      <w:pPr>
        <w:ind w:left="1984" w:hanging="1530"/>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720"/>
  <w:displayHorizontalDrawingGridEvery w:val="1"/>
  <w:displayVerticalDrawingGridEvery w:val="1"/>
  <w:noPunctuationKerning w:val="1"/>
  <w:characterSpacingControl w:val="doNotCompress"/>
  <w:hdrShapeDefaults>
    <o:shapelayout v:ext="edit">
      <o:idmap v:ext="edit" data="1"/>
    </o:shapelayout>
  </w:hdrShapeDefaults>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k1ZDc1MGMxNTNkYzJmZGY3M2IzNjJkZDY2NWZmOTEifQ=="/>
    <w:docVar w:name="FLIR_DOCUMENT_ID" w:val="4b8ed134-fac1-42c1-ad0f-2e8998184370"/>
  </w:docVars>
  <w:rsids>
    <w:rsidRoot w:val="002A1F72"/>
    <w:rsid w:val="00017AA3"/>
    <w:rsid w:val="00036C05"/>
    <w:rsid w:val="00037873"/>
    <w:rsid w:val="000474FF"/>
    <w:rsid w:val="00086F0C"/>
    <w:rsid w:val="000D24BF"/>
    <w:rsid w:val="000E42A0"/>
    <w:rsid w:val="000E53E5"/>
    <w:rsid w:val="001307D7"/>
    <w:rsid w:val="00147C00"/>
    <w:rsid w:val="001A355A"/>
    <w:rsid w:val="001A4439"/>
    <w:rsid w:val="001A70FA"/>
    <w:rsid w:val="001D11E5"/>
    <w:rsid w:val="001E4E5A"/>
    <w:rsid w:val="0021205F"/>
    <w:rsid w:val="00230693"/>
    <w:rsid w:val="002343D1"/>
    <w:rsid w:val="00261B06"/>
    <w:rsid w:val="002A1F72"/>
    <w:rsid w:val="002B27DF"/>
    <w:rsid w:val="002D2C9F"/>
    <w:rsid w:val="002E2528"/>
    <w:rsid w:val="00306412"/>
    <w:rsid w:val="0038029B"/>
    <w:rsid w:val="00384D81"/>
    <w:rsid w:val="003959D0"/>
    <w:rsid w:val="0039740A"/>
    <w:rsid w:val="003A61ED"/>
    <w:rsid w:val="003F75CC"/>
    <w:rsid w:val="003F77F1"/>
    <w:rsid w:val="00411DC9"/>
    <w:rsid w:val="0048768A"/>
    <w:rsid w:val="0049208E"/>
    <w:rsid w:val="00494328"/>
    <w:rsid w:val="004C5A92"/>
    <w:rsid w:val="004F4F18"/>
    <w:rsid w:val="004F52D1"/>
    <w:rsid w:val="004F7C51"/>
    <w:rsid w:val="00500B3C"/>
    <w:rsid w:val="00515D0D"/>
    <w:rsid w:val="00526EFA"/>
    <w:rsid w:val="00536A49"/>
    <w:rsid w:val="005949DF"/>
    <w:rsid w:val="005B50E2"/>
    <w:rsid w:val="005E0677"/>
    <w:rsid w:val="005E4933"/>
    <w:rsid w:val="005E7580"/>
    <w:rsid w:val="006073A9"/>
    <w:rsid w:val="00612109"/>
    <w:rsid w:val="00612BE8"/>
    <w:rsid w:val="00613787"/>
    <w:rsid w:val="00623509"/>
    <w:rsid w:val="00633D79"/>
    <w:rsid w:val="006455C3"/>
    <w:rsid w:val="00651E5A"/>
    <w:rsid w:val="0065431C"/>
    <w:rsid w:val="006C4B28"/>
    <w:rsid w:val="006C75A6"/>
    <w:rsid w:val="006D016F"/>
    <w:rsid w:val="006D0B7F"/>
    <w:rsid w:val="0072309D"/>
    <w:rsid w:val="0074491F"/>
    <w:rsid w:val="00782CF4"/>
    <w:rsid w:val="007A2FD3"/>
    <w:rsid w:val="007D72CE"/>
    <w:rsid w:val="00835E4B"/>
    <w:rsid w:val="00852476"/>
    <w:rsid w:val="0086515F"/>
    <w:rsid w:val="00874FBF"/>
    <w:rsid w:val="008A2B6D"/>
    <w:rsid w:val="008B17C8"/>
    <w:rsid w:val="008E601C"/>
    <w:rsid w:val="008F1BD5"/>
    <w:rsid w:val="008F54AC"/>
    <w:rsid w:val="00915A02"/>
    <w:rsid w:val="00915D9B"/>
    <w:rsid w:val="00917406"/>
    <w:rsid w:val="00963EED"/>
    <w:rsid w:val="009707DD"/>
    <w:rsid w:val="009B13FC"/>
    <w:rsid w:val="009C48CC"/>
    <w:rsid w:val="009D4F16"/>
    <w:rsid w:val="009D531E"/>
    <w:rsid w:val="00A50C28"/>
    <w:rsid w:val="00A57368"/>
    <w:rsid w:val="00A62D56"/>
    <w:rsid w:val="00A86C78"/>
    <w:rsid w:val="00AA19E5"/>
    <w:rsid w:val="00AE3DA3"/>
    <w:rsid w:val="00AE6F5C"/>
    <w:rsid w:val="00AF4737"/>
    <w:rsid w:val="00B25241"/>
    <w:rsid w:val="00B47929"/>
    <w:rsid w:val="00B6671E"/>
    <w:rsid w:val="00B71B23"/>
    <w:rsid w:val="00B75FA7"/>
    <w:rsid w:val="00BA7D9C"/>
    <w:rsid w:val="00BC41ED"/>
    <w:rsid w:val="00BE00DC"/>
    <w:rsid w:val="00BE3004"/>
    <w:rsid w:val="00BF6C9E"/>
    <w:rsid w:val="00C633F9"/>
    <w:rsid w:val="00C63B70"/>
    <w:rsid w:val="00C923F9"/>
    <w:rsid w:val="00CB47C7"/>
    <w:rsid w:val="00CC7354"/>
    <w:rsid w:val="00CD1254"/>
    <w:rsid w:val="00CE065B"/>
    <w:rsid w:val="00D01355"/>
    <w:rsid w:val="00D54FEE"/>
    <w:rsid w:val="00D61A78"/>
    <w:rsid w:val="00D7084A"/>
    <w:rsid w:val="00D73B0D"/>
    <w:rsid w:val="00D80496"/>
    <w:rsid w:val="00D87923"/>
    <w:rsid w:val="00DE2D31"/>
    <w:rsid w:val="00DF5AC2"/>
    <w:rsid w:val="00E1068E"/>
    <w:rsid w:val="00E15A54"/>
    <w:rsid w:val="00E911B4"/>
    <w:rsid w:val="00E91EE7"/>
    <w:rsid w:val="00EB5324"/>
    <w:rsid w:val="00F06B39"/>
    <w:rsid w:val="00F651F7"/>
    <w:rsid w:val="00F74258"/>
    <w:rsid w:val="00F75A07"/>
    <w:rsid w:val="00F831AA"/>
    <w:rsid w:val="00FC14E5"/>
    <w:rsid w:val="00FC70D0"/>
    <w:rsid w:val="01077388"/>
    <w:rsid w:val="01240B3E"/>
    <w:rsid w:val="01610B9E"/>
    <w:rsid w:val="0172697C"/>
    <w:rsid w:val="01B27BCB"/>
    <w:rsid w:val="01D56ABC"/>
    <w:rsid w:val="01DC0BCD"/>
    <w:rsid w:val="024D1336"/>
    <w:rsid w:val="02544AD5"/>
    <w:rsid w:val="029456D3"/>
    <w:rsid w:val="02CF621C"/>
    <w:rsid w:val="0360124A"/>
    <w:rsid w:val="03684835"/>
    <w:rsid w:val="037602DB"/>
    <w:rsid w:val="046B68BF"/>
    <w:rsid w:val="04D22079"/>
    <w:rsid w:val="04F93806"/>
    <w:rsid w:val="04FA7DD2"/>
    <w:rsid w:val="05001E57"/>
    <w:rsid w:val="05053AC3"/>
    <w:rsid w:val="052B3CAF"/>
    <w:rsid w:val="05596D7C"/>
    <w:rsid w:val="05DC6EC4"/>
    <w:rsid w:val="063501DD"/>
    <w:rsid w:val="06471E55"/>
    <w:rsid w:val="068258DC"/>
    <w:rsid w:val="073D7252"/>
    <w:rsid w:val="076441FB"/>
    <w:rsid w:val="07CD028E"/>
    <w:rsid w:val="07DB4CB3"/>
    <w:rsid w:val="07E05CE4"/>
    <w:rsid w:val="07EB6279"/>
    <w:rsid w:val="082B641B"/>
    <w:rsid w:val="088F37B9"/>
    <w:rsid w:val="090B0B8E"/>
    <w:rsid w:val="09195CBB"/>
    <w:rsid w:val="09473632"/>
    <w:rsid w:val="098C44E5"/>
    <w:rsid w:val="099E2C33"/>
    <w:rsid w:val="09D200AD"/>
    <w:rsid w:val="0A161179"/>
    <w:rsid w:val="0A4426A0"/>
    <w:rsid w:val="0A6570A7"/>
    <w:rsid w:val="0A8722AC"/>
    <w:rsid w:val="0ABA5B29"/>
    <w:rsid w:val="0ABD47B1"/>
    <w:rsid w:val="0AE8092E"/>
    <w:rsid w:val="0B100735"/>
    <w:rsid w:val="0B512EA9"/>
    <w:rsid w:val="0B8D1095"/>
    <w:rsid w:val="0BA11696"/>
    <w:rsid w:val="0BC20FF8"/>
    <w:rsid w:val="0BEF6E12"/>
    <w:rsid w:val="0C4B61D2"/>
    <w:rsid w:val="0CD820DF"/>
    <w:rsid w:val="0CDF72FA"/>
    <w:rsid w:val="0CE932A4"/>
    <w:rsid w:val="0D0A30EE"/>
    <w:rsid w:val="0D5D093A"/>
    <w:rsid w:val="0D6447BB"/>
    <w:rsid w:val="0D6E6ECC"/>
    <w:rsid w:val="0D9F3A08"/>
    <w:rsid w:val="0DD36B57"/>
    <w:rsid w:val="0E1D2F90"/>
    <w:rsid w:val="0E460A15"/>
    <w:rsid w:val="0E614D95"/>
    <w:rsid w:val="0E9801F8"/>
    <w:rsid w:val="0EC418E7"/>
    <w:rsid w:val="0ED35AF2"/>
    <w:rsid w:val="0EFF197C"/>
    <w:rsid w:val="0EFF494A"/>
    <w:rsid w:val="0F2A30AB"/>
    <w:rsid w:val="0F2D4490"/>
    <w:rsid w:val="0F2E626C"/>
    <w:rsid w:val="0F2F1F5B"/>
    <w:rsid w:val="0F701156"/>
    <w:rsid w:val="0F977015"/>
    <w:rsid w:val="0FA127DA"/>
    <w:rsid w:val="0FD5248C"/>
    <w:rsid w:val="0FD93A0F"/>
    <w:rsid w:val="1032264E"/>
    <w:rsid w:val="1035015C"/>
    <w:rsid w:val="103D593E"/>
    <w:rsid w:val="10696D8A"/>
    <w:rsid w:val="10C77A7F"/>
    <w:rsid w:val="10EC7B29"/>
    <w:rsid w:val="10F36BAB"/>
    <w:rsid w:val="110C3F14"/>
    <w:rsid w:val="113F0DA1"/>
    <w:rsid w:val="1160122E"/>
    <w:rsid w:val="1164146D"/>
    <w:rsid w:val="117564EF"/>
    <w:rsid w:val="11A20CC7"/>
    <w:rsid w:val="123E17F5"/>
    <w:rsid w:val="123E2F71"/>
    <w:rsid w:val="12994C09"/>
    <w:rsid w:val="12C57AAD"/>
    <w:rsid w:val="13014DDA"/>
    <w:rsid w:val="13107DEB"/>
    <w:rsid w:val="131D0445"/>
    <w:rsid w:val="1364097E"/>
    <w:rsid w:val="13812329"/>
    <w:rsid w:val="13A61E42"/>
    <w:rsid w:val="13A760FF"/>
    <w:rsid w:val="13B147E6"/>
    <w:rsid w:val="13C70026"/>
    <w:rsid w:val="13D07C73"/>
    <w:rsid w:val="14864CC5"/>
    <w:rsid w:val="14AE21B4"/>
    <w:rsid w:val="14C5696A"/>
    <w:rsid w:val="14D02744"/>
    <w:rsid w:val="14DF32D2"/>
    <w:rsid w:val="15800F93"/>
    <w:rsid w:val="1582078C"/>
    <w:rsid w:val="15A47B65"/>
    <w:rsid w:val="15D53472"/>
    <w:rsid w:val="16237F64"/>
    <w:rsid w:val="162A6BA9"/>
    <w:rsid w:val="162F733F"/>
    <w:rsid w:val="163C0CFC"/>
    <w:rsid w:val="168251B5"/>
    <w:rsid w:val="16A96C63"/>
    <w:rsid w:val="16B01574"/>
    <w:rsid w:val="17023473"/>
    <w:rsid w:val="177F60FD"/>
    <w:rsid w:val="17802487"/>
    <w:rsid w:val="17A4575F"/>
    <w:rsid w:val="17F130AF"/>
    <w:rsid w:val="180F147E"/>
    <w:rsid w:val="183C20E0"/>
    <w:rsid w:val="185D17D3"/>
    <w:rsid w:val="1878245A"/>
    <w:rsid w:val="18AF44F2"/>
    <w:rsid w:val="18F43A37"/>
    <w:rsid w:val="195C33E5"/>
    <w:rsid w:val="19951C4C"/>
    <w:rsid w:val="19C81013"/>
    <w:rsid w:val="1A7545FD"/>
    <w:rsid w:val="1AE96D07"/>
    <w:rsid w:val="1B1456E3"/>
    <w:rsid w:val="1B1768B1"/>
    <w:rsid w:val="1B20521D"/>
    <w:rsid w:val="1B770FD1"/>
    <w:rsid w:val="1B9C44CD"/>
    <w:rsid w:val="1BB16A3F"/>
    <w:rsid w:val="1BB41EC8"/>
    <w:rsid w:val="1BF77D89"/>
    <w:rsid w:val="1C07427C"/>
    <w:rsid w:val="1C173EB6"/>
    <w:rsid w:val="1CAC0BF0"/>
    <w:rsid w:val="1CD62110"/>
    <w:rsid w:val="1D03542A"/>
    <w:rsid w:val="1D2F42BD"/>
    <w:rsid w:val="1D312F14"/>
    <w:rsid w:val="1D3D635D"/>
    <w:rsid w:val="1D605C00"/>
    <w:rsid w:val="1D7423F8"/>
    <w:rsid w:val="1DBC4C09"/>
    <w:rsid w:val="1DD63DDE"/>
    <w:rsid w:val="1DE503D5"/>
    <w:rsid w:val="1DFD376F"/>
    <w:rsid w:val="1E021A88"/>
    <w:rsid w:val="1E03488B"/>
    <w:rsid w:val="1E4A27A2"/>
    <w:rsid w:val="1E61681F"/>
    <w:rsid w:val="1E6F28A6"/>
    <w:rsid w:val="1ED05A86"/>
    <w:rsid w:val="1EE2376B"/>
    <w:rsid w:val="1EF74923"/>
    <w:rsid w:val="1F1464F0"/>
    <w:rsid w:val="1F3F16D5"/>
    <w:rsid w:val="1F4F3DF3"/>
    <w:rsid w:val="1F7144C7"/>
    <w:rsid w:val="1F9411D5"/>
    <w:rsid w:val="1FCC0CA4"/>
    <w:rsid w:val="1FF51AEB"/>
    <w:rsid w:val="1FF81DA4"/>
    <w:rsid w:val="20027A05"/>
    <w:rsid w:val="20385E2F"/>
    <w:rsid w:val="208166D0"/>
    <w:rsid w:val="20C93BB1"/>
    <w:rsid w:val="20F21178"/>
    <w:rsid w:val="20F35153"/>
    <w:rsid w:val="20F3677E"/>
    <w:rsid w:val="20F55128"/>
    <w:rsid w:val="21157DB3"/>
    <w:rsid w:val="21C7132B"/>
    <w:rsid w:val="21E22482"/>
    <w:rsid w:val="220249E1"/>
    <w:rsid w:val="222D39EA"/>
    <w:rsid w:val="22D85419"/>
    <w:rsid w:val="23403A56"/>
    <w:rsid w:val="238E1CC4"/>
    <w:rsid w:val="23F56F94"/>
    <w:rsid w:val="245E1487"/>
    <w:rsid w:val="24C21586"/>
    <w:rsid w:val="24D00F5A"/>
    <w:rsid w:val="25060DB6"/>
    <w:rsid w:val="25356540"/>
    <w:rsid w:val="25360574"/>
    <w:rsid w:val="25757D6B"/>
    <w:rsid w:val="2580469D"/>
    <w:rsid w:val="25CB6B6E"/>
    <w:rsid w:val="25DC6B37"/>
    <w:rsid w:val="25EA4216"/>
    <w:rsid w:val="262D6648"/>
    <w:rsid w:val="26643293"/>
    <w:rsid w:val="266C73DF"/>
    <w:rsid w:val="26787D80"/>
    <w:rsid w:val="26EC4532"/>
    <w:rsid w:val="26F41DA0"/>
    <w:rsid w:val="273F0AE5"/>
    <w:rsid w:val="27637B1A"/>
    <w:rsid w:val="277D0E25"/>
    <w:rsid w:val="27CA4C58"/>
    <w:rsid w:val="27DA2AF4"/>
    <w:rsid w:val="27E4001A"/>
    <w:rsid w:val="27FB1CA4"/>
    <w:rsid w:val="28185713"/>
    <w:rsid w:val="283C00C6"/>
    <w:rsid w:val="2848545F"/>
    <w:rsid w:val="289A7116"/>
    <w:rsid w:val="28FA4EFC"/>
    <w:rsid w:val="28FC0253"/>
    <w:rsid w:val="2933545C"/>
    <w:rsid w:val="29445B21"/>
    <w:rsid w:val="29804974"/>
    <w:rsid w:val="29822C1C"/>
    <w:rsid w:val="29CF6864"/>
    <w:rsid w:val="29DA2016"/>
    <w:rsid w:val="2A061F81"/>
    <w:rsid w:val="2A802AD5"/>
    <w:rsid w:val="2ABD152C"/>
    <w:rsid w:val="2B41652E"/>
    <w:rsid w:val="2BE14634"/>
    <w:rsid w:val="2BF7307E"/>
    <w:rsid w:val="2BF86A60"/>
    <w:rsid w:val="2C1B6A57"/>
    <w:rsid w:val="2C834138"/>
    <w:rsid w:val="2C995EF7"/>
    <w:rsid w:val="2CCD4DFC"/>
    <w:rsid w:val="2CF32F8F"/>
    <w:rsid w:val="2D4B2E43"/>
    <w:rsid w:val="2D4C141E"/>
    <w:rsid w:val="2D777A60"/>
    <w:rsid w:val="2D942FA2"/>
    <w:rsid w:val="2DC20D5E"/>
    <w:rsid w:val="2DD10CFF"/>
    <w:rsid w:val="2E566266"/>
    <w:rsid w:val="2E7D49C7"/>
    <w:rsid w:val="2E9B3CAD"/>
    <w:rsid w:val="2EA74306"/>
    <w:rsid w:val="2EB1756C"/>
    <w:rsid w:val="2EB66900"/>
    <w:rsid w:val="2ED87E90"/>
    <w:rsid w:val="2EE3368C"/>
    <w:rsid w:val="2EEB5373"/>
    <w:rsid w:val="2F1F6D5F"/>
    <w:rsid w:val="2F75432A"/>
    <w:rsid w:val="2F7A707C"/>
    <w:rsid w:val="2F914720"/>
    <w:rsid w:val="2FAA2B2F"/>
    <w:rsid w:val="2FAB60B2"/>
    <w:rsid w:val="2FBF6308"/>
    <w:rsid w:val="2FD54B6F"/>
    <w:rsid w:val="2FD57804"/>
    <w:rsid w:val="2FF140FF"/>
    <w:rsid w:val="30007A06"/>
    <w:rsid w:val="30226A2F"/>
    <w:rsid w:val="305317AD"/>
    <w:rsid w:val="30535CE6"/>
    <w:rsid w:val="30681D75"/>
    <w:rsid w:val="306A2195"/>
    <w:rsid w:val="308431FC"/>
    <w:rsid w:val="30AF1B26"/>
    <w:rsid w:val="30CB23C2"/>
    <w:rsid w:val="30CD193E"/>
    <w:rsid w:val="311A490D"/>
    <w:rsid w:val="31372911"/>
    <w:rsid w:val="313818C8"/>
    <w:rsid w:val="314329A7"/>
    <w:rsid w:val="314B16CB"/>
    <w:rsid w:val="315278FB"/>
    <w:rsid w:val="316D36E3"/>
    <w:rsid w:val="31AC0433"/>
    <w:rsid w:val="31C31586"/>
    <w:rsid w:val="32160336"/>
    <w:rsid w:val="3232295E"/>
    <w:rsid w:val="326D0EC2"/>
    <w:rsid w:val="32A2743E"/>
    <w:rsid w:val="333C085D"/>
    <w:rsid w:val="33B370A2"/>
    <w:rsid w:val="33FE414B"/>
    <w:rsid w:val="341033CF"/>
    <w:rsid w:val="341D5FD5"/>
    <w:rsid w:val="34A80C5B"/>
    <w:rsid w:val="34BA7218"/>
    <w:rsid w:val="34D478DD"/>
    <w:rsid w:val="35051D1D"/>
    <w:rsid w:val="354A4B43"/>
    <w:rsid w:val="355F2F40"/>
    <w:rsid w:val="3595254D"/>
    <w:rsid w:val="359559E7"/>
    <w:rsid w:val="363C53B6"/>
    <w:rsid w:val="36C40B4A"/>
    <w:rsid w:val="36D615D4"/>
    <w:rsid w:val="371B448E"/>
    <w:rsid w:val="37360BF9"/>
    <w:rsid w:val="37510B22"/>
    <w:rsid w:val="37573E69"/>
    <w:rsid w:val="37790BB6"/>
    <w:rsid w:val="3788562E"/>
    <w:rsid w:val="37D03E9B"/>
    <w:rsid w:val="382A05C1"/>
    <w:rsid w:val="386133E3"/>
    <w:rsid w:val="38666F9B"/>
    <w:rsid w:val="390E412D"/>
    <w:rsid w:val="393C08B1"/>
    <w:rsid w:val="393D008E"/>
    <w:rsid w:val="394467DF"/>
    <w:rsid w:val="394E5A0B"/>
    <w:rsid w:val="3A053A04"/>
    <w:rsid w:val="3A5602C4"/>
    <w:rsid w:val="3A725A21"/>
    <w:rsid w:val="3A97229F"/>
    <w:rsid w:val="3B1126A4"/>
    <w:rsid w:val="3B1278A4"/>
    <w:rsid w:val="3B6D3DB2"/>
    <w:rsid w:val="3B7B6101"/>
    <w:rsid w:val="3B857AFC"/>
    <w:rsid w:val="3B9E5A9F"/>
    <w:rsid w:val="3BA00503"/>
    <w:rsid w:val="3BC637B5"/>
    <w:rsid w:val="3C002C0C"/>
    <w:rsid w:val="3C5B112A"/>
    <w:rsid w:val="3C5C79B4"/>
    <w:rsid w:val="3C7531D0"/>
    <w:rsid w:val="3C757EE6"/>
    <w:rsid w:val="3CB3374E"/>
    <w:rsid w:val="3CC25BC9"/>
    <w:rsid w:val="3CF26A9D"/>
    <w:rsid w:val="3D14004E"/>
    <w:rsid w:val="3D9603D2"/>
    <w:rsid w:val="3DC96502"/>
    <w:rsid w:val="3DE239E8"/>
    <w:rsid w:val="3E0F08DF"/>
    <w:rsid w:val="3E184AD2"/>
    <w:rsid w:val="3E2A538D"/>
    <w:rsid w:val="3E4E4D04"/>
    <w:rsid w:val="3E92040B"/>
    <w:rsid w:val="3EDE31C6"/>
    <w:rsid w:val="3F4A31BA"/>
    <w:rsid w:val="3F74794C"/>
    <w:rsid w:val="3FCA0737"/>
    <w:rsid w:val="401313CF"/>
    <w:rsid w:val="406877A1"/>
    <w:rsid w:val="407960A5"/>
    <w:rsid w:val="40966289"/>
    <w:rsid w:val="40C24D38"/>
    <w:rsid w:val="41204B44"/>
    <w:rsid w:val="41805053"/>
    <w:rsid w:val="41D46D0E"/>
    <w:rsid w:val="42287D51"/>
    <w:rsid w:val="42703EA1"/>
    <w:rsid w:val="42740307"/>
    <w:rsid w:val="428D6BDB"/>
    <w:rsid w:val="42C27701"/>
    <w:rsid w:val="42D24800"/>
    <w:rsid w:val="430B03ED"/>
    <w:rsid w:val="432E745D"/>
    <w:rsid w:val="4331063A"/>
    <w:rsid w:val="43611023"/>
    <w:rsid w:val="43CE0E9D"/>
    <w:rsid w:val="44087416"/>
    <w:rsid w:val="44117AFA"/>
    <w:rsid w:val="443C12B2"/>
    <w:rsid w:val="443E54F0"/>
    <w:rsid w:val="44BB3E51"/>
    <w:rsid w:val="45163B92"/>
    <w:rsid w:val="45246E4E"/>
    <w:rsid w:val="455D07C9"/>
    <w:rsid w:val="45A64ABF"/>
    <w:rsid w:val="45AA5ECB"/>
    <w:rsid w:val="45C11A5D"/>
    <w:rsid w:val="462677D5"/>
    <w:rsid w:val="46382298"/>
    <w:rsid w:val="465B12F9"/>
    <w:rsid w:val="46A25BDE"/>
    <w:rsid w:val="46D27DD1"/>
    <w:rsid w:val="477049E8"/>
    <w:rsid w:val="47CC010C"/>
    <w:rsid w:val="47DD37C1"/>
    <w:rsid w:val="484C0A3E"/>
    <w:rsid w:val="48507F83"/>
    <w:rsid w:val="48526497"/>
    <w:rsid w:val="4874791F"/>
    <w:rsid w:val="48B822B1"/>
    <w:rsid w:val="48C130A5"/>
    <w:rsid w:val="48ED159B"/>
    <w:rsid w:val="49092BE9"/>
    <w:rsid w:val="491D43ED"/>
    <w:rsid w:val="492309CF"/>
    <w:rsid w:val="49320BCF"/>
    <w:rsid w:val="49651C63"/>
    <w:rsid w:val="498C5C61"/>
    <w:rsid w:val="499F202A"/>
    <w:rsid w:val="49AD35DC"/>
    <w:rsid w:val="4A0C0250"/>
    <w:rsid w:val="4A1C511D"/>
    <w:rsid w:val="4A1D6E0A"/>
    <w:rsid w:val="4A482464"/>
    <w:rsid w:val="4A556804"/>
    <w:rsid w:val="4A724AC2"/>
    <w:rsid w:val="4A825E42"/>
    <w:rsid w:val="4AD059EE"/>
    <w:rsid w:val="4AF11218"/>
    <w:rsid w:val="4BF53A17"/>
    <w:rsid w:val="4C246F97"/>
    <w:rsid w:val="4C701DE0"/>
    <w:rsid w:val="4C7B2100"/>
    <w:rsid w:val="4C973CF4"/>
    <w:rsid w:val="4CEA4061"/>
    <w:rsid w:val="4D4112D4"/>
    <w:rsid w:val="4DA57CA1"/>
    <w:rsid w:val="4DEE579E"/>
    <w:rsid w:val="4DFC608E"/>
    <w:rsid w:val="4E212A03"/>
    <w:rsid w:val="4E265320"/>
    <w:rsid w:val="4EA514B9"/>
    <w:rsid w:val="4EB821BC"/>
    <w:rsid w:val="4EDD3DD9"/>
    <w:rsid w:val="4F1F61BB"/>
    <w:rsid w:val="4F263839"/>
    <w:rsid w:val="4F5537A7"/>
    <w:rsid w:val="500A4351"/>
    <w:rsid w:val="50554085"/>
    <w:rsid w:val="509E3D86"/>
    <w:rsid w:val="50A57D72"/>
    <w:rsid w:val="50BD5A86"/>
    <w:rsid w:val="50C3785D"/>
    <w:rsid w:val="50E2355C"/>
    <w:rsid w:val="50E379FB"/>
    <w:rsid w:val="50EF4852"/>
    <w:rsid w:val="51130970"/>
    <w:rsid w:val="5142728D"/>
    <w:rsid w:val="515B46B8"/>
    <w:rsid w:val="518D1197"/>
    <w:rsid w:val="51AF4074"/>
    <w:rsid w:val="520033E9"/>
    <w:rsid w:val="520F5D72"/>
    <w:rsid w:val="52241513"/>
    <w:rsid w:val="52532F67"/>
    <w:rsid w:val="52E75AA8"/>
    <w:rsid w:val="53187139"/>
    <w:rsid w:val="53267D7E"/>
    <w:rsid w:val="53564AE3"/>
    <w:rsid w:val="5388573A"/>
    <w:rsid w:val="53941FAA"/>
    <w:rsid w:val="53DE7BD1"/>
    <w:rsid w:val="541B528E"/>
    <w:rsid w:val="551B3F6E"/>
    <w:rsid w:val="55237B8C"/>
    <w:rsid w:val="55D02589"/>
    <w:rsid w:val="55F86ACC"/>
    <w:rsid w:val="55FB10F6"/>
    <w:rsid w:val="55FE4F4C"/>
    <w:rsid w:val="56A85BF7"/>
    <w:rsid w:val="56D8300C"/>
    <w:rsid w:val="57247EF8"/>
    <w:rsid w:val="574A501B"/>
    <w:rsid w:val="57B25554"/>
    <w:rsid w:val="57B61512"/>
    <w:rsid w:val="58053CB0"/>
    <w:rsid w:val="58257BBB"/>
    <w:rsid w:val="582E31E0"/>
    <w:rsid w:val="58E0792E"/>
    <w:rsid w:val="58E811F4"/>
    <w:rsid w:val="593E79C6"/>
    <w:rsid w:val="594723CC"/>
    <w:rsid w:val="59811F22"/>
    <w:rsid w:val="59A57B55"/>
    <w:rsid w:val="59FB0FF8"/>
    <w:rsid w:val="5A081C5B"/>
    <w:rsid w:val="5A2C2010"/>
    <w:rsid w:val="5A4008B2"/>
    <w:rsid w:val="5A4159DF"/>
    <w:rsid w:val="5A5440FA"/>
    <w:rsid w:val="5A597ABF"/>
    <w:rsid w:val="5ADB0BE6"/>
    <w:rsid w:val="5AFB6FEF"/>
    <w:rsid w:val="5B336D7A"/>
    <w:rsid w:val="5B396B8C"/>
    <w:rsid w:val="5B473F23"/>
    <w:rsid w:val="5B7E449F"/>
    <w:rsid w:val="5B9E2AF2"/>
    <w:rsid w:val="5C0057BF"/>
    <w:rsid w:val="5C17282A"/>
    <w:rsid w:val="5C4431DE"/>
    <w:rsid w:val="5C9A1121"/>
    <w:rsid w:val="5CCA4098"/>
    <w:rsid w:val="5CD33131"/>
    <w:rsid w:val="5CD877C2"/>
    <w:rsid w:val="5D1A4746"/>
    <w:rsid w:val="5D707C95"/>
    <w:rsid w:val="5DA55A8F"/>
    <w:rsid w:val="5DDD21C0"/>
    <w:rsid w:val="5DF95351"/>
    <w:rsid w:val="5E02738E"/>
    <w:rsid w:val="5E261A07"/>
    <w:rsid w:val="5E352EBB"/>
    <w:rsid w:val="5E41291D"/>
    <w:rsid w:val="5E5C4A6A"/>
    <w:rsid w:val="5E6F00B0"/>
    <w:rsid w:val="5E824E0E"/>
    <w:rsid w:val="5F6D6186"/>
    <w:rsid w:val="5FB147D9"/>
    <w:rsid w:val="5FB200E1"/>
    <w:rsid w:val="5FCC29FC"/>
    <w:rsid w:val="5FFF7126"/>
    <w:rsid w:val="60793E91"/>
    <w:rsid w:val="60E87C0A"/>
    <w:rsid w:val="610B2998"/>
    <w:rsid w:val="61646FEE"/>
    <w:rsid w:val="61BF5921"/>
    <w:rsid w:val="61E32512"/>
    <w:rsid w:val="620B420F"/>
    <w:rsid w:val="622179CD"/>
    <w:rsid w:val="623B52B8"/>
    <w:rsid w:val="6243407C"/>
    <w:rsid w:val="6254423D"/>
    <w:rsid w:val="627F1483"/>
    <w:rsid w:val="62CC653B"/>
    <w:rsid w:val="62F96C39"/>
    <w:rsid w:val="643B2FA2"/>
    <w:rsid w:val="64877710"/>
    <w:rsid w:val="64934160"/>
    <w:rsid w:val="64995328"/>
    <w:rsid w:val="6601798A"/>
    <w:rsid w:val="666D440D"/>
    <w:rsid w:val="66762F83"/>
    <w:rsid w:val="667D7136"/>
    <w:rsid w:val="6699136A"/>
    <w:rsid w:val="66E70BDA"/>
    <w:rsid w:val="671D109E"/>
    <w:rsid w:val="67635B7A"/>
    <w:rsid w:val="67746E65"/>
    <w:rsid w:val="67780418"/>
    <w:rsid w:val="678759C9"/>
    <w:rsid w:val="67935B54"/>
    <w:rsid w:val="67BE5253"/>
    <w:rsid w:val="67C0349A"/>
    <w:rsid w:val="682C0B5D"/>
    <w:rsid w:val="68852883"/>
    <w:rsid w:val="68D51791"/>
    <w:rsid w:val="6922780C"/>
    <w:rsid w:val="696A0A4E"/>
    <w:rsid w:val="6A676600"/>
    <w:rsid w:val="6AB27146"/>
    <w:rsid w:val="6AE11C6A"/>
    <w:rsid w:val="6B2908BC"/>
    <w:rsid w:val="6B2D6C34"/>
    <w:rsid w:val="6B494177"/>
    <w:rsid w:val="6B4B1913"/>
    <w:rsid w:val="6BD358CE"/>
    <w:rsid w:val="6BDC3318"/>
    <w:rsid w:val="6C6D2C57"/>
    <w:rsid w:val="6C7A302B"/>
    <w:rsid w:val="6CA1081C"/>
    <w:rsid w:val="6CB71A65"/>
    <w:rsid w:val="6D666CB1"/>
    <w:rsid w:val="6D6B0014"/>
    <w:rsid w:val="6DB556A3"/>
    <w:rsid w:val="6E11129E"/>
    <w:rsid w:val="6E17430E"/>
    <w:rsid w:val="6E1A5780"/>
    <w:rsid w:val="6E1B538F"/>
    <w:rsid w:val="6E99036D"/>
    <w:rsid w:val="6EBE5C85"/>
    <w:rsid w:val="6EF239DF"/>
    <w:rsid w:val="6F277489"/>
    <w:rsid w:val="6F3D42C8"/>
    <w:rsid w:val="6F6B616F"/>
    <w:rsid w:val="6F7C2A7D"/>
    <w:rsid w:val="6F990456"/>
    <w:rsid w:val="6FAF046F"/>
    <w:rsid w:val="6FE8272F"/>
    <w:rsid w:val="70241B6E"/>
    <w:rsid w:val="7031140A"/>
    <w:rsid w:val="70387401"/>
    <w:rsid w:val="70396C80"/>
    <w:rsid w:val="70824B2E"/>
    <w:rsid w:val="70C02A8D"/>
    <w:rsid w:val="70D21CEB"/>
    <w:rsid w:val="70DC57E4"/>
    <w:rsid w:val="70E52EE6"/>
    <w:rsid w:val="71054CD9"/>
    <w:rsid w:val="711D1057"/>
    <w:rsid w:val="714F1ABE"/>
    <w:rsid w:val="71624D09"/>
    <w:rsid w:val="716B6C99"/>
    <w:rsid w:val="71B16FB6"/>
    <w:rsid w:val="7207315D"/>
    <w:rsid w:val="723B1DD7"/>
    <w:rsid w:val="7267247F"/>
    <w:rsid w:val="72726277"/>
    <w:rsid w:val="72DF025A"/>
    <w:rsid w:val="72EC1FD6"/>
    <w:rsid w:val="72FB7FFC"/>
    <w:rsid w:val="734C09EE"/>
    <w:rsid w:val="73654D6E"/>
    <w:rsid w:val="740022B7"/>
    <w:rsid w:val="74276CE1"/>
    <w:rsid w:val="7431605D"/>
    <w:rsid w:val="74583FE6"/>
    <w:rsid w:val="74871E6C"/>
    <w:rsid w:val="74912423"/>
    <w:rsid w:val="74CA74F9"/>
    <w:rsid w:val="74D56F28"/>
    <w:rsid w:val="74E506A5"/>
    <w:rsid w:val="74ED2B0E"/>
    <w:rsid w:val="75424AE7"/>
    <w:rsid w:val="75516B6A"/>
    <w:rsid w:val="7583185F"/>
    <w:rsid w:val="75A1415E"/>
    <w:rsid w:val="75AC7126"/>
    <w:rsid w:val="75BC7D6B"/>
    <w:rsid w:val="75EE2CD8"/>
    <w:rsid w:val="761C5777"/>
    <w:rsid w:val="766E42B4"/>
    <w:rsid w:val="76876FA6"/>
    <w:rsid w:val="76A262C5"/>
    <w:rsid w:val="76DC4799"/>
    <w:rsid w:val="777568DC"/>
    <w:rsid w:val="77BC7346"/>
    <w:rsid w:val="77EF621B"/>
    <w:rsid w:val="783055A2"/>
    <w:rsid w:val="784726E1"/>
    <w:rsid w:val="78600689"/>
    <w:rsid w:val="788A00FE"/>
    <w:rsid w:val="791107E1"/>
    <w:rsid w:val="7955352D"/>
    <w:rsid w:val="79682033"/>
    <w:rsid w:val="7A660387"/>
    <w:rsid w:val="7A973B01"/>
    <w:rsid w:val="7AB7508D"/>
    <w:rsid w:val="7ABB5116"/>
    <w:rsid w:val="7AC43A51"/>
    <w:rsid w:val="7AED5160"/>
    <w:rsid w:val="7BB161B3"/>
    <w:rsid w:val="7BBB42CE"/>
    <w:rsid w:val="7CD161BD"/>
    <w:rsid w:val="7D0604E6"/>
    <w:rsid w:val="7D066043"/>
    <w:rsid w:val="7D4D1AA3"/>
    <w:rsid w:val="7D8F0498"/>
    <w:rsid w:val="7DD53301"/>
    <w:rsid w:val="7DE951D2"/>
    <w:rsid w:val="7DF66816"/>
    <w:rsid w:val="7E6466FD"/>
    <w:rsid w:val="7EA404D3"/>
    <w:rsid w:val="7F24704D"/>
    <w:rsid w:val="7F554E7C"/>
    <w:rsid w:val="7F571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2"/>
      <w:szCs w:val="22"/>
      <w:lang w:val="en-US" w:eastAsia="zh-CN" w:bidi="ar-SA"/>
    </w:rPr>
  </w:style>
  <w:style w:type="paragraph" w:styleId="2">
    <w:name w:val="heading 1"/>
    <w:basedOn w:val="1"/>
    <w:next w:val="1"/>
    <w:link w:val="23"/>
    <w:qFormat/>
    <w:uiPriority w:val="0"/>
    <w:pPr>
      <w:keepNext/>
      <w:keepLines/>
      <w:widowControl w:val="0"/>
      <w:numPr>
        <w:ilvl w:val="0"/>
        <w:numId w:val="1"/>
      </w:numPr>
      <w:snapToGrid w:val="0"/>
      <w:spacing w:before="312" w:beforeLines="100" w:line="360" w:lineRule="auto"/>
      <w:jc w:val="both"/>
      <w:outlineLvl w:val="0"/>
    </w:pPr>
    <w:rPr>
      <w:rFonts w:ascii="宋体"/>
      <w:b/>
      <w:bCs/>
      <w:kern w:val="44"/>
      <w:sz w:val="21"/>
      <w:szCs w:val="21"/>
    </w:rPr>
  </w:style>
  <w:style w:type="paragraph" w:styleId="3">
    <w:name w:val="heading 2"/>
    <w:basedOn w:val="1"/>
    <w:next w:val="1"/>
    <w:link w:val="24"/>
    <w:qFormat/>
    <w:uiPriority w:val="0"/>
    <w:pPr>
      <w:keepLines/>
      <w:widowControl w:val="0"/>
      <w:numPr>
        <w:ilvl w:val="1"/>
        <w:numId w:val="1"/>
      </w:numPr>
      <w:adjustRightInd w:val="0"/>
      <w:snapToGrid w:val="0"/>
      <w:spacing w:line="360" w:lineRule="auto"/>
      <w:jc w:val="both"/>
      <w:outlineLvl w:val="1"/>
    </w:pPr>
    <w:rPr>
      <w:rFonts w:ascii="宋体"/>
      <w:bCs/>
      <w:kern w:val="2"/>
      <w:sz w:val="21"/>
      <w:szCs w:val="21"/>
    </w:rPr>
  </w:style>
  <w:style w:type="paragraph" w:styleId="4">
    <w:name w:val="heading 3"/>
    <w:basedOn w:val="1"/>
    <w:next w:val="1"/>
    <w:link w:val="25"/>
    <w:qFormat/>
    <w:uiPriority w:val="0"/>
    <w:pPr>
      <w:widowControl w:val="0"/>
      <w:numPr>
        <w:ilvl w:val="2"/>
        <w:numId w:val="1"/>
      </w:numPr>
      <w:tabs>
        <w:tab w:val="left" w:pos="1560"/>
      </w:tabs>
      <w:snapToGrid w:val="0"/>
      <w:spacing w:line="360" w:lineRule="auto"/>
      <w:jc w:val="both"/>
      <w:outlineLvl w:val="2"/>
    </w:pPr>
    <w:rPr>
      <w:rFonts w:ascii="宋体"/>
      <w:bCs/>
      <w:kern w:val="2"/>
      <w:sz w:val="21"/>
      <w:szCs w:val="21"/>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6"/>
    <w:unhideWhenUsed/>
    <w:qFormat/>
    <w:uiPriority w:val="99"/>
    <w:rPr>
      <w:rFonts w:ascii="宋体"/>
      <w:sz w:val="18"/>
      <w:szCs w:val="18"/>
    </w:rPr>
  </w:style>
  <w:style w:type="paragraph" w:styleId="6">
    <w:name w:val="annotation text"/>
    <w:basedOn w:val="1"/>
    <w:link w:val="27"/>
    <w:unhideWhenUsed/>
    <w:qFormat/>
    <w:uiPriority w:val="99"/>
  </w:style>
  <w:style w:type="paragraph" w:styleId="7">
    <w:name w:val="Body Text"/>
    <w:basedOn w:val="8"/>
    <w:next w:val="8"/>
    <w:qFormat/>
    <w:uiPriority w:val="0"/>
    <w:rPr>
      <w:rFonts w:ascii="Times New Roman" w:hAnsi="Times New Roman"/>
      <w:sz w:val="44"/>
      <w:szCs w:val="24"/>
    </w:rPr>
  </w:style>
  <w:style w:type="paragraph" w:styleId="8">
    <w:name w:val="Title"/>
    <w:basedOn w:val="1"/>
    <w:next w:val="1"/>
    <w:qFormat/>
    <w:uiPriority w:val="0"/>
    <w:pPr>
      <w:spacing w:before="240" w:after="60"/>
      <w:jc w:val="center"/>
      <w:outlineLvl w:val="0"/>
    </w:pPr>
    <w:rPr>
      <w:rFonts w:ascii="Arial" w:hAnsi="Arial"/>
      <w:b/>
      <w:bCs/>
      <w:sz w:val="32"/>
      <w:szCs w:val="32"/>
    </w:rPr>
  </w:style>
  <w:style w:type="paragraph" w:styleId="9">
    <w:name w:val="Plain Text"/>
    <w:basedOn w:val="1"/>
    <w:link w:val="28"/>
    <w:qFormat/>
    <w:uiPriority w:val="0"/>
    <w:pPr>
      <w:widowControl w:val="0"/>
      <w:jc w:val="both"/>
    </w:pPr>
    <w:rPr>
      <w:rFonts w:ascii="宋体" w:hAnsi="Courier New"/>
      <w:sz w:val="20"/>
      <w:szCs w:val="24"/>
    </w:rPr>
  </w:style>
  <w:style w:type="paragraph" w:styleId="10">
    <w:name w:val="Date"/>
    <w:basedOn w:val="1"/>
    <w:next w:val="1"/>
    <w:link w:val="29"/>
    <w:unhideWhenUsed/>
    <w:qFormat/>
    <w:uiPriority w:val="99"/>
    <w:pPr>
      <w:ind w:left="100" w:leftChars="2500"/>
    </w:pPr>
  </w:style>
  <w:style w:type="paragraph" w:styleId="11">
    <w:name w:val="Balloon Text"/>
    <w:basedOn w:val="1"/>
    <w:link w:val="30"/>
    <w:unhideWhenUsed/>
    <w:qFormat/>
    <w:uiPriority w:val="99"/>
    <w:rPr>
      <w:sz w:val="18"/>
      <w:szCs w:val="18"/>
    </w:rPr>
  </w:style>
  <w:style w:type="paragraph" w:styleId="12">
    <w:name w:val="footer"/>
    <w:basedOn w:val="1"/>
    <w:link w:val="31"/>
    <w:unhideWhenUsed/>
    <w:qFormat/>
    <w:uiPriority w:val="99"/>
    <w:pPr>
      <w:tabs>
        <w:tab w:val="center" w:pos="4153"/>
        <w:tab w:val="right" w:pos="8306"/>
      </w:tabs>
      <w:snapToGrid w:val="0"/>
    </w:pPr>
    <w:rPr>
      <w:sz w:val="18"/>
      <w:szCs w:val="18"/>
    </w:rPr>
  </w:style>
  <w:style w:type="paragraph" w:styleId="13">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oc 2"/>
    <w:basedOn w:val="1"/>
    <w:next w:val="1"/>
    <w:qFormat/>
    <w:uiPriority w:val="39"/>
    <w:pPr>
      <w:ind w:left="420" w:leftChars="200"/>
    </w:pPr>
  </w:style>
  <w:style w:type="paragraph" w:styleId="16">
    <w:name w:val="annotation subject"/>
    <w:basedOn w:val="6"/>
    <w:next w:val="6"/>
    <w:link w:val="33"/>
    <w:unhideWhenUsed/>
    <w:qFormat/>
    <w:uiPriority w:val="99"/>
    <w:rPr>
      <w:b/>
      <w:bCs/>
    </w:r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unhideWhenUsed/>
    <w:qFormat/>
    <w:uiPriority w:val="99"/>
  </w:style>
  <w:style w:type="character" w:styleId="21">
    <w:name w:val="Hyperlink"/>
    <w:unhideWhenUsed/>
    <w:qFormat/>
    <w:uiPriority w:val="99"/>
    <w:rPr>
      <w:color w:val="0000FF"/>
      <w:u w:val="single"/>
    </w:rPr>
  </w:style>
  <w:style w:type="character" w:styleId="22">
    <w:name w:val="annotation reference"/>
    <w:unhideWhenUsed/>
    <w:qFormat/>
    <w:uiPriority w:val="99"/>
    <w:rPr>
      <w:sz w:val="21"/>
      <w:szCs w:val="21"/>
    </w:rPr>
  </w:style>
  <w:style w:type="character" w:customStyle="1" w:styleId="23">
    <w:name w:val="标题 1 字符"/>
    <w:link w:val="2"/>
    <w:qFormat/>
    <w:uiPriority w:val="0"/>
    <w:rPr>
      <w:rFonts w:ascii="宋体" w:hAnsi="Times New Roman"/>
      <w:b/>
      <w:bCs/>
      <w:kern w:val="44"/>
      <w:sz w:val="21"/>
      <w:szCs w:val="21"/>
    </w:rPr>
  </w:style>
  <w:style w:type="character" w:customStyle="1" w:styleId="24">
    <w:name w:val="标题 2 字符"/>
    <w:link w:val="3"/>
    <w:qFormat/>
    <w:uiPriority w:val="0"/>
    <w:rPr>
      <w:rFonts w:ascii="宋体" w:hAnsi="Times New Roman"/>
      <w:bCs/>
      <w:kern w:val="2"/>
      <w:sz w:val="21"/>
      <w:szCs w:val="21"/>
    </w:rPr>
  </w:style>
  <w:style w:type="character" w:customStyle="1" w:styleId="25">
    <w:name w:val="标题 3 字符"/>
    <w:link w:val="4"/>
    <w:qFormat/>
    <w:uiPriority w:val="0"/>
    <w:rPr>
      <w:rFonts w:ascii="宋体" w:hAnsi="Times New Roman"/>
      <w:bCs/>
      <w:kern w:val="2"/>
      <w:sz w:val="21"/>
      <w:szCs w:val="21"/>
    </w:rPr>
  </w:style>
  <w:style w:type="character" w:customStyle="1" w:styleId="26">
    <w:name w:val="文档结构图 字符"/>
    <w:link w:val="5"/>
    <w:semiHidden/>
    <w:qFormat/>
    <w:uiPriority w:val="99"/>
    <w:rPr>
      <w:rFonts w:ascii="宋体"/>
      <w:sz w:val="18"/>
      <w:szCs w:val="18"/>
    </w:rPr>
  </w:style>
  <w:style w:type="character" w:customStyle="1" w:styleId="27">
    <w:name w:val="批注文字 字符"/>
    <w:link w:val="6"/>
    <w:qFormat/>
    <w:uiPriority w:val="99"/>
    <w:rPr>
      <w:sz w:val="22"/>
      <w:szCs w:val="22"/>
    </w:rPr>
  </w:style>
  <w:style w:type="character" w:customStyle="1" w:styleId="28">
    <w:name w:val="纯文本 字符"/>
    <w:link w:val="9"/>
    <w:qFormat/>
    <w:uiPriority w:val="0"/>
    <w:rPr>
      <w:rFonts w:ascii="宋体" w:hAnsi="Courier New"/>
      <w:szCs w:val="24"/>
    </w:rPr>
  </w:style>
  <w:style w:type="character" w:customStyle="1" w:styleId="29">
    <w:name w:val="日期 字符"/>
    <w:link w:val="10"/>
    <w:semiHidden/>
    <w:qFormat/>
    <w:uiPriority w:val="99"/>
    <w:rPr>
      <w:sz w:val="22"/>
      <w:szCs w:val="22"/>
    </w:rPr>
  </w:style>
  <w:style w:type="character" w:customStyle="1" w:styleId="30">
    <w:name w:val="批注框文本 字符"/>
    <w:link w:val="11"/>
    <w:semiHidden/>
    <w:qFormat/>
    <w:uiPriority w:val="99"/>
    <w:rPr>
      <w:sz w:val="18"/>
      <w:szCs w:val="18"/>
    </w:rPr>
  </w:style>
  <w:style w:type="character" w:customStyle="1" w:styleId="31">
    <w:name w:val="页脚 字符"/>
    <w:link w:val="12"/>
    <w:qFormat/>
    <w:uiPriority w:val="99"/>
    <w:rPr>
      <w:sz w:val="18"/>
      <w:szCs w:val="18"/>
    </w:rPr>
  </w:style>
  <w:style w:type="character" w:customStyle="1" w:styleId="32">
    <w:name w:val="页眉 字符"/>
    <w:link w:val="13"/>
    <w:qFormat/>
    <w:uiPriority w:val="0"/>
    <w:rPr>
      <w:sz w:val="18"/>
      <w:szCs w:val="18"/>
    </w:rPr>
  </w:style>
  <w:style w:type="character" w:customStyle="1" w:styleId="33">
    <w:name w:val="批注主题 字符"/>
    <w:link w:val="16"/>
    <w:semiHidden/>
    <w:qFormat/>
    <w:uiPriority w:val="99"/>
    <w:rPr>
      <w:b/>
      <w:bCs/>
      <w:sz w:val="22"/>
      <w:szCs w:val="22"/>
    </w:rPr>
  </w:style>
  <w:style w:type="character" w:customStyle="1" w:styleId="34">
    <w:name w:val="首行缩进 Char"/>
    <w:link w:val="35"/>
    <w:qFormat/>
    <w:uiPriority w:val="0"/>
    <w:rPr>
      <w:rFonts w:eastAsia="方正书宋简体" w:cs="宋体"/>
    </w:rPr>
  </w:style>
  <w:style w:type="paragraph" w:customStyle="1" w:styleId="35">
    <w:name w:val="首行缩进"/>
    <w:basedOn w:val="1"/>
    <w:link w:val="34"/>
    <w:qFormat/>
    <w:uiPriority w:val="0"/>
    <w:pPr>
      <w:widowControl w:val="0"/>
      <w:spacing w:line="300" w:lineRule="auto"/>
      <w:ind w:firstLine="420" w:firstLineChars="200"/>
      <w:jc w:val="both"/>
    </w:pPr>
    <w:rPr>
      <w:rFonts w:eastAsia="方正书宋简体"/>
      <w:sz w:val="20"/>
      <w:szCs w:val="20"/>
    </w:rPr>
  </w:style>
  <w:style w:type="character" w:customStyle="1" w:styleId="36">
    <w:name w:val="纯文本 Char1"/>
    <w:semiHidden/>
    <w:qFormat/>
    <w:uiPriority w:val="99"/>
    <w:rPr>
      <w:rFonts w:ascii="宋体" w:hAnsi="Courier New" w:cs="Courier New"/>
      <w:sz w:val="21"/>
      <w:szCs w:val="21"/>
    </w:rPr>
  </w:style>
  <w:style w:type="paragraph" w:customStyle="1" w:styleId="37">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38">
    <w:name w:val="Body text|2"/>
    <w:basedOn w:val="1"/>
    <w:qFormat/>
    <w:uiPriority w:val="0"/>
    <w:pPr>
      <w:widowControl w:val="0"/>
      <w:spacing w:after="180"/>
      <w:ind w:left="4260"/>
    </w:pPr>
    <w:rPr>
      <w:b/>
      <w:bCs/>
      <w:sz w:val="18"/>
      <w:szCs w:val="18"/>
      <w:lang w:val="zh-TW" w:eastAsia="zh-TW" w:bidi="zh-TW"/>
    </w:rPr>
  </w:style>
  <w:style w:type="paragraph" w:customStyle="1" w:styleId="39">
    <w:name w:val="Table caption|1"/>
    <w:basedOn w:val="1"/>
    <w:qFormat/>
    <w:uiPriority w:val="0"/>
    <w:pPr>
      <w:widowControl w:val="0"/>
      <w:spacing w:after="70"/>
    </w:pPr>
    <w:rPr>
      <w:rFonts w:ascii="宋体" w:hAnsi="宋体" w:cs="宋体"/>
      <w:sz w:val="19"/>
      <w:szCs w:val="19"/>
      <w:lang w:val="zh-TW" w:eastAsia="zh-TW" w:bidi="zh-TW"/>
    </w:rPr>
  </w:style>
  <w:style w:type="paragraph" w:customStyle="1" w:styleId="40">
    <w:name w:val="标题 #1"/>
    <w:basedOn w:val="1"/>
    <w:qFormat/>
    <w:uiPriority w:val="0"/>
    <w:pPr>
      <w:widowControl w:val="0"/>
      <w:spacing w:after="340"/>
      <w:jc w:val="center"/>
      <w:outlineLvl w:val="0"/>
    </w:pPr>
    <w:rPr>
      <w:rFonts w:ascii="宋体" w:hAnsi="宋体" w:cs="宋体"/>
      <w:sz w:val="32"/>
      <w:szCs w:val="32"/>
    </w:rPr>
  </w:style>
  <w:style w:type="paragraph" w:customStyle="1" w:styleId="41">
    <w:name w:val="Other|1"/>
    <w:basedOn w:val="1"/>
    <w:qFormat/>
    <w:uiPriority w:val="0"/>
    <w:pPr>
      <w:widowControl w:val="0"/>
      <w:spacing w:line="408" w:lineRule="auto"/>
    </w:pPr>
    <w:rPr>
      <w:rFonts w:ascii="宋体" w:hAnsi="宋体" w:cs="宋体"/>
      <w:sz w:val="19"/>
      <w:szCs w:val="19"/>
      <w:lang w:val="zh-TW" w:eastAsia="zh-TW" w:bidi="zh-TW"/>
    </w:rPr>
  </w:style>
  <w:style w:type="paragraph" w:customStyle="1" w:styleId="4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4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44">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45">
    <w:name w:val="Header or footer|2"/>
    <w:basedOn w:val="1"/>
    <w:qFormat/>
    <w:uiPriority w:val="0"/>
    <w:pPr>
      <w:widowControl w:val="0"/>
    </w:pPr>
    <w:rPr>
      <w:sz w:val="20"/>
      <w:szCs w:val="20"/>
      <w:lang w:val="zh-TW" w:eastAsia="zh-TW" w:bidi="zh-TW"/>
    </w:rPr>
  </w:style>
  <w:style w:type="paragraph" w:customStyle="1" w:styleId="46">
    <w:name w:val="Body text|1"/>
    <w:basedOn w:val="1"/>
    <w:qFormat/>
    <w:uiPriority w:val="0"/>
    <w:pPr>
      <w:widowControl w:val="0"/>
      <w:spacing w:line="408" w:lineRule="auto"/>
    </w:pPr>
    <w:rPr>
      <w:rFonts w:ascii="宋体" w:hAnsi="宋体" w:cs="宋体"/>
      <w:sz w:val="19"/>
      <w:szCs w:val="19"/>
      <w:lang w:val="zh-TW" w:eastAsia="zh-TW" w:bidi="zh-TW"/>
    </w:rPr>
  </w:style>
  <w:style w:type="paragraph" w:customStyle="1" w:styleId="47">
    <w:name w:val="yq标题2"/>
    <w:basedOn w:val="3"/>
    <w:qFormat/>
    <w:uiPriority w:val="0"/>
    <w:pPr>
      <w:numPr>
        <w:numId w:val="2"/>
      </w:numPr>
      <w:ind w:left="0" w:hanging="270" w:hangingChars="270"/>
    </w:pPr>
  </w:style>
  <w:style w:type="paragraph" w:customStyle="1" w:styleId="48">
    <w:name w:val="yqbt4"/>
    <w:basedOn w:val="49"/>
    <w:qFormat/>
    <w:uiPriority w:val="0"/>
    <w:pPr>
      <w:numPr>
        <w:ilvl w:val="3"/>
      </w:numPr>
    </w:pPr>
  </w:style>
  <w:style w:type="paragraph" w:customStyle="1" w:styleId="49">
    <w:name w:val="yq标题3"/>
    <w:basedOn w:val="47"/>
    <w:qFormat/>
    <w:uiPriority w:val="0"/>
    <w:pPr>
      <w:numPr>
        <w:ilvl w:val="2"/>
      </w:numPr>
      <w:ind w:left="0"/>
      <w:outlineLvl w:val="2"/>
    </w:pPr>
  </w:style>
  <w:style w:type="paragraph" w:customStyle="1" w:styleId="50">
    <w:name w:val="Revision"/>
    <w:hidden/>
    <w:unhideWhenUsed/>
    <w:qFormat/>
    <w:uiPriority w:val="99"/>
    <w:rPr>
      <w:rFonts w:ascii="Times New Roman" w:hAnsi="Times New Roman" w:eastAsia="宋体" w:cs="Times New Roman"/>
      <w:sz w:val="22"/>
      <w:szCs w:val="22"/>
      <w:lang w:val="en-US" w:eastAsia="zh-CN" w:bidi="ar-SA"/>
    </w:rPr>
  </w:style>
  <w:style w:type="character" w:customStyle="1" w:styleId="51">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87"/>
    <customShpInfo spid="_x0000_s1088"/>
    <customShpInfo spid="_x0000_s206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Pages>
  <Words>3409</Words>
  <Characters>3823</Characters>
  <Lines>35</Lines>
  <Paragraphs>10</Paragraphs>
  <TotalTime>1</TotalTime>
  <ScaleCrop>false</ScaleCrop>
  <LinksUpToDate>false</LinksUpToDate>
  <CharactersWithSpaces>3943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2023-09-03T11:17:00Z</dcterms:created>
  <dc:creator>Windows User</dc:creator>
  <cp:lastModifiedBy>王立嘉</cp:lastModifiedBy>
  <dcterms:modified xsi:type="dcterms:W3CDTF">2025-08-22T09:15:55Z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F03E4EA60B8E41C08036F70CCBBBD4C0</vt:lpwstr>
  </property>
  <property fmtid="{D5CDD505-2E9C-101B-9397-08002B2CF9AE}" pid="4" name="KSOTemplateDocerSaveRecord">
    <vt:lpwstr>eyJoZGlkIjoiZmU1YmE3OWQ2ZDA1MjY5NjA2YzEwODMwNzY4MzZhYmMiLCJ1c2VySWQiOiI4NzA3MzY0NjQifQ==</vt:lpwstr>
  </property>
</Properties>
</file>