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84"/>
        <w:numPr>
          <w:ilvl w:val="1"/>
          <w:numId w:val="0"/>
        </w:numPr>
        <w:autoSpaceDE w:val="0"/>
        <w:autoSpaceDN w:val="0"/>
        <w:spacing w:line="360" w:lineRule="auto"/>
        <w:rPr>
          <w:rFonts w:hint="eastAsia" w:hAnsi="宋体" w:cs="宋体"/>
          <w:color w:val="auto"/>
          <w:szCs w:val="21"/>
          <w:highlight w:val="none"/>
        </w:rPr>
      </w:pPr>
      <w:bookmarkStart w:id="0" w:name="_Toc246216323"/>
      <w:r>
        <w:rPr>
          <w:b/>
          <w:color w:val="auto"/>
          <w:sz w:val="28"/>
          <w:szCs w:val="28"/>
          <w:highlight w:val="none"/>
        </w:rPr>
        <w:pict>
          <v:shape id="图片 2" o:spid="_x0000_s2052" o:spt="75" alt="会议封面-空白-A4" type="#_x0000_t75" style="position:absolute;left:0pt;margin-left:-110.65pt;margin-top:-73.05pt;height:886.35pt;width:621pt;z-index:-251657216;mso-width-relative:page;mso-height-relative:page;" filled="f" o:preferrelative="t" stroked="f" coordsize="21600,21600">
            <v:path/>
            <v:fill on="f" focussize="0,0"/>
            <v:stroke on="f"/>
            <v:imagedata r:id="rId12" o:title="会议封面-空白-A4"/>
            <o:lock v:ext="edit" aspectratio="t"/>
          </v:shape>
        </w:pict>
      </w:r>
    </w:p>
    <w:p>
      <w:pPr>
        <w:pStyle w:val="84"/>
        <w:numPr>
          <w:ilvl w:val="1"/>
          <w:numId w:val="0"/>
        </w:numPr>
        <w:autoSpaceDE w:val="0"/>
        <w:autoSpaceDN w:val="0"/>
        <w:spacing w:line="360" w:lineRule="auto"/>
        <w:rPr>
          <w:rFonts w:hint="eastAsia" w:hAnsi="宋体" w:cs="宋体"/>
          <w:color w:val="auto"/>
          <w:szCs w:val="21"/>
          <w:highlight w:val="none"/>
        </w:rPr>
      </w:pPr>
    </w:p>
    <w:p>
      <w:pPr>
        <w:pStyle w:val="84"/>
        <w:numPr>
          <w:ilvl w:val="1"/>
          <w:numId w:val="0"/>
        </w:numPr>
        <w:autoSpaceDE w:val="0"/>
        <w:autoSpaceDN w:val="0"/>
        <w:spacing w:line="360" w:lineRule="auto"/>
        <w:rPr>
          <w:rFonts w:hint="eastAsia" w:hAnsi="宋体" w:cs="宋体"/>
          <w:color w:val="auto"/>
          <w:szCs w:val="21"/>
          <w:highlight w:val="none"/>
        </w:rPr>
      </w:pPr>
    </w:p>
    <w:p>
      <w:pPr>
        <w:pStyle w:val="84"/>
        <w:numPr>
          <w:ilvl w:val="1"/>
          <w:numId w:val="0"/>
        </w:numPr>
        <w:autoSpaceDE w:val="0"/>
        <w:autoSpaceDN w:val="0"/>
        <w:spacing w:line="360" w:lineRule="auto"/>
        <w:rPr>
          <w:rFonts w:hint="eastAsia" w:hAnsi="宋体" w:cs="宋体"/>
          <w:color w:val="auto"/>
          <w:szCs w:val="21"/>
          <w:highlight w:val="none"/>
        </w:rPr>
      </w:pPr>
    </w:p>
    <w:p>
      <w:pPr>
        <w:pStyle w:val="84"/>
        <w:numPr>
          <w:ilvl w:val="1"/>
          <w:numId w:val="0"/>
        </w:numPr>
        <w:autoSpaceDE w:val="0"/>
        <w:autoSpaceDN w:val="0"/>
        <w:spacing w:line="360" w:lineRule="auto"/>
        <w:rPr>
          <w:rFonts w:hint="eastAsia" w:hAnsi="宋体" w:cs="宋体"/>
          <w:color w:val="auto"/>
          <w:szCs w:val="21"/>
          <w:highlight w:val="none"/>
        </w:rPr>
      </w:pPr>
    </w:p>
    <w:p>
      <w:pPr>
        <w:pStyle w:val="84"/>
        <w:numPr>
          <w:ilvl w:val="1"/>
          <w:numId w:val="0"/>
        </w:numPr>
        <w:autoSpaceDE w:val="0"/>
        <w:autoSpaceDN w:val="0"/>
        <w:spacing w:line="360" w:lineRule="auto"/>
        <w:rPr>
          <w:rFonts w:hint="eastAsia" w:hAnsi="宋体" w:cs="宋体"/>
          <w:color w:val="auto"/>
          <w:szCs w:val="21"/>
          <w:highlight w:val="none"/>
        </w:rPr>
      </w:pPr>
    </w:p>
    <w:p>
      <w:pPr>
        <w:pStyle w:val="84"/>
        <w:numPr>
          <w:ilvl w:val="1"/>
          <w:numId w:val="0"/>
        </w:numPr>
        <w:autoSpaceDE w:val="0"/>
        <w:autoSpaceDN w:val="0"/>
        <w:spacing w:line="360" w:lineRule="auto"/>
        <w:rPr>
          <w:rFonts w:hint="eastAsia" w:hAnsi="宋体" w:cs="宋体"/>
          <w:color w:val="auto"/>
          <w:szCs w:val="21"/>
          <w:highlight w:val="none"/>
        </w:rPr>
      </w:pPr>
    </w:p>
    <w:p>
      <w:pPr>
        <w:spacing w:before="240" w:beforeLines="100" w:after="600" w:afterLines="250"/>
        <w:jc w:val="center"/>
        <w:rPr>
          <w:rFonts w:ascii="宋体" w:hAnsi="宋体" w:cs="宋体"/>
          <w:b/>
          <w:color w:val="auto"/>
          <w:sz w:val="52"/>
          <w:highlight w:val="none"/>
        </w:rPr>
      </w:pPr>
    </w:p>
    <w:p>
      <w:pPr>
        <w:spacing w:before="240" w:beforeLines="100" w:after="600" w:afterLines="250"/>
        <w:jc w:val="center"/>
        <w:rPr>
          <w:rFonts w:hint="eastAsia" w:ascii="宋体" w:hAnsi="宋体" w:eastAsia="宋体" w:cs="宋体"/>
          <w:b/>
          <w:color w:val="auto"/>
          <w:sz w:val="52"/>
          <w:szCs w:val="52"/>
          <w:highlight w:val="none"/>
          <w:lang w:eastAsia="zh-CN"/>
        </w:rPr>
      </w:pPr>
      <w:r>
        <w:rPr>
          <w:rFonts w:hint="eastAsia" w:ascii="宋体" w:hAnsi="宋体" w:cs="宋体"/>
          <w:b/>
          <w:color w:val="auto"/>
          <w:sz w:val="52"/>
          <w:highlight w:val="none"/>
        </w:rPr>
        <w:t>物资名称：</w:t>
      </w:r>
      <w:r>
        <w:rPr>
          <w:rFonts w:hint="eastAsia" w:ascii="宋体" w:hAnsi="宋体" w:cs="宋体"/>
          <w:b/>
          <w:color w:val="auto"/>
          <w:sz w:val="52"/>
          <w:szCs w:val="52"/>
          <w:highlight w:val="none"/>
        </w:rPr>
        <w:t>绝缘操作</w:t>
      </w:r>
      <w:r>
        <w:rPr>
          <w:rFonts w:hint="eastAsia" w:ascii="宋体" w:hAnsi="宋体" w:cs="宋体"/>
          <w:b/>
          <w:color w:val="auto"/>
          <w:sz w:val="52"/>
          <w:szCs w:val="52"/>
          <w:highlight w:val="none"/>
          <w:lang w:val="en-US" w:eastAsia="zh-CN"/>
        </w:rPr>
        <w:t>杆</w:t>
      </w:r>
    </w:p>
    <w:p>
      <w:pPr>
        <w:spacing w:before="240" w:beforeLines="100" w:after="600" w:afterLines="250"/>
        <w:jc w:val="center"/>
        <w:rPr>
          <w:rFonts w:hint="eastAsia" w:ascii="宋体" w:hAnsi="宋体" w:cs="宋体"/>
          <w:b/>
          <w:color w:val="auto"/>
          <w:sz w:val="52"/>
          <w:highlight w:val="none"/>
        </w:rPr>
      </w:pPr>
      <w:r>
        <w:rPr>
          <w:rFonts w:hint="eastAsia" w:ascii="宋体" w:hAnsi="宋体" w:cs="宋体"/>
          <w:b/>
          <w:color w:val="auto"/>
          <w:sz w:val="52"/>
          <w:highlight w:val="none"/>
        </w:rPr>
        <w:t>技术条件书</w:t>
      </w:r>
    </w:p>
    <w:p>
      <w:pPr>
        <w:spacing w:before="480" w:beforeLines="200"/>
        <w:jc w:val="center"/>
        <w:rPr>
          <w:rFonts w:hint="eastAsia" w:ascii="宋体" w:hAnsi="宋体" w:cs="宋体"/>
          <w:b/>
          <w:color w:val="auto"/>
          <w:sz w:val="36"/>
          <w:highlight w:val="none"/>
        </w:rPr>
      </w:pPr>
    </w:p>
    <w:p>
      <w:pPr>
        <w:spacing w:before="480" w:beforeLines="200"/>
        <w:jc w:val="center"/>
        <w:rPr>
          <w:rFonts w:hint="eastAsia" w:ascii="宋体" w:hAnsi="宋体"/>
          <w:b/>
          <w:color w:val="auto"/>
          <w:sz w:val="36"/>
          <w:highlight w:val="none"/>
        </w:rPr>
      </w:pPr>
      <w:r>
        <w:rPr>
          <w:rFonts w:hint="eastAsia" w:ascii="宋体" w:hAnsi="宋体"/>
          <w:b/>
          <w:color w:val="auto"/>
          <w:sz w:val="36"/>
          <w:highlight w:val="none"/>
        </w:rPr>
        <w:t>编号：</w:t>
      </w:r>
    </w:p>
    <w:p>
      <w:pPr>
        <w:spacing w:before="480" w:beforeLines="200"/>
        <w:jc w:val="left"/>
        <w:rPr>
          <w:rFonts w:ascii="宋体" w:hAnsi="宋体"/>
          <w:b/>
          <w:color w:val="auto"/>
          <w:spacing w:val="20"/>
          <w:w w:val="135"/>
          <w:sz w:val="30"/>
          <w:highlight w:val="none"/>
        </w:rPr>
      </w:pPr>
    </w:p>
    <w:p>
      <w:pPr>
        <w:spacing w:before="480" w:beforeLines="200"/>
        <w:jc w:val="left"/>
        <w:rPr>
          <w:rFonts w:hint="eastAsia" w:ascii="宋体" w:hAnsi="宋体"/>
          <w:b/>
          <w:color w:val="auto"/>
          <w:spacing w:val="20"/>
          <w:w w:val="135"/>
          <w:sz w:val="30"/>
          <w:highlight w:val="none"/>
        </w:rPr>
      </w:pPr>
    </w:p>
    <w:p>
      <w:pPr>
        <w:jc w:val="center"/>
        <w:rPr>
          <w:rStyle w:val="184"/>
          <w:rFonts w:hint="eastAsia"/>
          <w:b/>
          <w:sz w:val="44"/>
          <w:szCs w:val="44"/>
        </w:rPr>
      </w:pPr>
    </w:p>
    <w:p>
      <w:pPr>
        <w:jc w:val="center"/>
        <w:rPr>
          <w:rStyle w:val="184"/>
          <w:rFonts w:hint="eastAsia"/>
          <w:b/>
          <w:sz w:val="44"/>
          <w:szCs w:val="44"/>
        </w:rPr>
      </w:pPr>
    </w:p>
    <w:p>
      <w:pPr>
        <w:jc w:val="both"/>
        <w:rPr>
          <w:rStyle w:val="184"/>
          <w:rFonts w:hint="eastAsia" w:eastAsia="宋体"/>
          <w:b/>
          <w:sz w:val="44"/>
          <w:szCs w:val="44"/>
          <w:lang w:eastAsia="zh-CN"/>
        </w:rPr>
      </w:pPr>
      <w:r>
        <w:rPr>
          <w:rStyle w:val="184"/>
          <w:rFonts w:hint="eastAsia"/>
          <w:b/>
          <w:sz w:val="44"/>
          <w:szCs w:val="44"/>
        </w:rPr>
        <w:t>海南电网有限责任</w:t>
      </w:r>
      <w:r>
        <w:rPr>
          <w:rStyle w:val="184"/>
          <w:rFonts w:hint="eastAsia"/>
          <w:b/>
          <w:sz w:val="44"/>
          <w:szCs w:val="44"/>
          <w:lang w:val="en-US" w:eastAsia="zh-CN"/>
        </w:rPr>
        <w:t>公司</w:t>
      </w:r>
      <w:bookmarkStart w:id="97" w:name="_GoBack"/>
      <w:bookmarkEnd w:id="97"/>
      <w:r>
        <w:rPr>
          <w:rStyle w:val="184"/>
          <w:rFonts w:hint="eastAsia"/>
          <w:b/>
          <w:sz w:val="44"/>
          <w:szCs w:val="44"/>
          <w:lang w:eastAsia="zh-CN"/>
        </w:rPr>
        <w:t>海口变电运检分公司</w:t>
      </w:r>
    </w:p>
    <w:p>
      <w:pPr>
        <w:spacing w:before="480" w:beforeLines="200"/>
        <w:ind w:firstLine="2637" w:firstLineChars="500"/>
        <w:jc w:val="both"/>
        <w:rPr>
          <w:rFonts w:hint="eastAsia" w:ascii="宋体" w:hAnsi="宋体"/>
          <w:b/>
          <w:sz w:val="36"/>
          <w:szCs w:val="36"/>
        </w:rPr>
      </w:pPr>
      <w:r>
        <w:rPr>
          <w:rFonts w:hint="eastAsia" w:ascii="宋体" w:hAnsi="宋体"/>
          <w:b/>
          <w:spacing w:val="20"/>
          <w:w w:val="135"/>
          <w:sz w:val="36"/>
          <w:szCs w:val="36"/>
          <w:lang w:val="en-US" w:eastAsia="zh-CN"/>
        </w:rPr>
        <w:t>2025</w:t>
      </w:r>
      <w:r>
        <w:rPr>
          <w:rFonts w:hint="eastAsia" w:ascii="宋体" w:hAnsi="宋体"/>
          <w:b/>
          <w:spacing w:val="20"/>
          <w:w w:val="135"/>
          <w:sz w:val="36"/>
          <w:szCs w:val="36"/>
        </w:rPr>
        <w:t>年</w:t>
      </w:r>
      <w:r>
        <w:rPr>
          <w:rFonts w:hint="eastAsia" w:ascii="宋体" w:hAnsi="宋体"/>
          <w:b/>
          <w:spacing w:val="20"/>
          <w:w w:val="135"/>
          <w:sz w:val="36"/>
          <w:szCs w:val="36"/>
          <w:lang w:val="en-US" w:eastAsia="zh-CN"/>
        </w:rPr>
        <w:t>8</w:t>
      </w:r>
      <w:r>
        <w:rPr>
          <w:rFonts w:hint="eastAsia" w:ascii="宋体" w:hAnsi="宋体"/>
          <w:b/>
          <w:spacing w:val="20"/>
          <w:w w:val="135"/>
          <w:sz w:val="36"/>
          <w:szCs w:val="36"/>
        </w:rPr>
        <w:t>月</w:t>
      </w:r>
    </w:p>
    <w:p>
      <w:pPr>
        <w:spacing w:before="480" w:beforeLines="200" w:line="240" w:lineRule="auto"/>
        <w:jc w:val="center"/>
        <w:rPr>
          <w:rFonts w:hint="eastAsia" w:ascii="宋体" w:hAnsi="宋体" w:eastAsia="宋体" w:cs="宋体"/>
          <w:highlight w:val="none"/>
        </w:rPr>
        <w:sectPr>
          <w:headerReference r:id="rId4" w:type="first"/>
          <w:headerReference r:id="rId3" w:type="default"/>
          <w:footerReference r:id="rId5" w:type="default"/>
          <w:footerReference r:id="rId6" w:type="even"/>
          <w:pgSz w:w="11907" w:h="16839"/>
          <w:pgMar w:top="1440" w:right="1701" w:bottom="1440" w:left="1701" w:header="964" w:footer="737" w:gutter="0"/>
          <w:pgBorders w:offsetFrom="page">
            <w:top w:val="none" w:sz="0" w:space="0"/>
            <w:left w:val="none" w:sz="0" w:space="0"/>
            <w:bottom w:val="none" w:sz="0" w:space="0"/>
            <w:right w:val="none" w:sz="0" w:space="0"/>
          </w:pgBorders>
          <w:pgNumType w:start="1"/>
          <w:cols w:space="720" w:num="1"/>
          <w:titlePg/>
          <w:docGrid w:linePitch="312" w:charSpace="0"/>
        </w:sectPr>
      </w:pPr>
    </w:p>
    <w:p>
      <w:pPr>
        <w:pStyle w:val="79"/>
        <w:adjustRightInd w:val="0"/>
        <w:snapToGrid w:val="0"/>
        <w:spacing w:line="360" w:lineRule="auto"/>
        <w:ind w:firstLine="0" w:firstLineChars="0"/>
        <w:jc w:val="center"/>
        <w:rPr>
          <w:rFonts w:hint="eastAsia" w:ascii="宋体" w:hAnsi="宋体" w:eastAsia="宋体"/>
          <w:b/>
          <w:color w:val="auto"/>
          <w:sz w:val="28"/>
          <w:szCs w:val="28"/>
          <w:highlight w:val="none"/>
        </w:rPr>
      </w:pPr>
    </w:p>
    <w:p>
      <w:pPr>
        <w:pStyle w:val="79"/>
        <w:adjustRightInd w:val="0"/>
        <w:snapToGrid w:val="0"/>
        <w:spacing w:line="360" w:lineRule="auto"/>
        <w:ind w:firstLine="0" w:firstLineChars="0"/>
        <w:jc w:val="center"/>
        <w:rPr>
          <w:rFonts w:hint="eastAsia" w:ascii="宋体" w:hAnsi="宋体" w:eastAsia="宋体"/>
          <w:b/>
          <w:color w:val="auto"/>
          <w:szCs w:val="21"/>
          <w:highlight w:val="none"/>
        </w:rPr>
      </w:pPr>
      <w:r>
        <w:rPr>
          <w:rFonts w:hint="eastAsia" w:ascii="宋体" w:hAnsi="宋体" w:eastAsia="宋体"/>
          <w:b/>
          <w:color w:val="auto"/>
          <w:sz w:val="28"/>
          <w:szCs w:val="28"/>
          <w:highlight w:val="none"/>
        </w:rPr>
        <w:t>目  录</w:t>
      </w:r>
    </w:p>
    <w:p>
      <w:pPr>
        <w:pStyle w:val="28"/>
        <w:tabs>
          <w:tab w:val="right" w:leader="dot" w:pos="8290"/>
        </w:tabs>
        <w:rPr>
          <w:rFonts w:ascii="等线" w:hAnsi="等线" w:eastAsia="等线"/>
          <w:b w:val="0"/>
          <w:bCs w:val="0"/>
          <w:caps w:val="0"/>
          <w:color w:val="auto"/>
          <w:sz w:val="21"/>
          <w:szCs w:val="22"/>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TOC \o "1-2" \h \z \u </w:instrText>
      </w:r>
      <w:r>
        <w:rPr>
          <w:rFonts w:hint="eastAsia" w:ascii="宋体" w:hAnsi="宋体" w:cs="宋体"/>
          <w:color w:val="auto"/>
          <w:highlight w:val="none"/>
        </w:rPr>
        <w:fldChar w:fldCharType="separate"/>
      </w:r>
      <w:r>
        <w:rPr>
          <w:color w:val="auto"/>
          <w:highlight w:val="none"/>
        </w:rPr>
        <w:fldChar w:fldCharType="begin"/>
      </w:r>
      <w:r>
        <w:rPr>
          <w:color w:val="auto"/>
          <w:highlight w:val="none"/>
        </w:rPr>
        <w:instrText xml:space="preserve"> HYPERLINK \l "_Toc142981739" </w:instrText>
      </w:r>
      <w:r>
        <w:rPr>
          <w:color w:val="auto"/>
          <w:highlight w:val="none"/>
        </w:rPr>
        <w:fldChar w:fldCharType="separate"/>
      </w:r>
      <w:r>
        <w:rPr>
          <w:rStyle w:val="48"/>
          <w:rFonts w:cs="宋体"/>
          <w:color w:val="auto"/>
          <w:highlight w:val="none"/>
        </w:rPr>
        <w:t>1</w:t>
      </w:r>
      <w:r>
        <w:rPr>
          <w:rStyle w:val="48"/>
          <w:rFonts w:hAnsi="宋体" w:cs="宋体"/>
          <w:color w:val="auto"/>
          <w:highlight w:val="none"/>
        </w:rPr>
        <w:t xml:space="preserve"> 总则</w:t>
      </w:r>
      <w:r>
        <w:rPr>
          <w:color w:val="auto"/>
          <w:highlight w:val="none"/>
        </w:rPr>
        <w:tab/>
      </w:r>
      <w:r>
        <w:rPr>
          <w:color w:val="auto"/>
          <w:highlight w:val="none"/>
        </w:rPr>
        <w:fldChar w:fldCharType="begin"/>
      </w:r>
      <w:r>
        <w:rPr>
          <w:color w:val="auto"/>
          <w:highlight w:val="none"/>
        </w:rPr>
        <w:instrText xml:space="preserve"> PAGEREF _Toc142981739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pPr>
        <w:pStyle w:val="28"/>
        <w:tabs>
          <w:tab w:val="right" w:leader="dot" w:pos="8290"/>
        </w:tabs>
        <w:rPr>
          <w:rFonts w:ascii="等线" w:hAnsi="等线" w:eastAsia="等线"/>
          <w:b w:val="0"/>
          <w:bCs w:val="0"/>
          <w:caps w:val="0"/>
          <w:color w:val="auto"/>
          <w:sz w:val="21"/>
          <w:szCs w:val="22"/>
          <w:highlight w:val="none"/>
        </w:rPr>
      </w:pPr>
      <w:r>
        <w:rPr>
          <w:color w:val="auto"/>
          <w:highlight w:val="none"/>
        </w:rPr>
        <w:fldChar w:fldCharType="begin"/>
      </w:r>
      <w:r>
        <w:rPr>
          <w:color w:val="auto"/>
          <w:highlight w:val="none"/>
        </w:rPr>
        <w:instrText xml:space="preserve"> HYPERLINK \l "_Toc142981740" </w:instrText>
      </w:r>
      <w:r>
        <w:rPr>
          <w:color w:val="auto"/>
          <w:highlight w:val="none"/>
        </w:rPr>
        <w:fldChar w:fldCharType="separate"/>
      </w:r>
      <w:r>
        <w:rPr>
          <w:rStyle w:val="48"/>
          <w:rFonts w:hAnsi="宋体" w:cs="宋体"/>
          <w:color w:val="auto"/>
          <w:highlight w:val="none"/>
        </w:rPr>
        <w:t>2工作范围</w:t>
      </w:r>
      <w:r>
        <w:rPr>
          <w:color w:val="auto"/>
          <w:highlight w:val="none"/>
        </w:rPr>
        <w:tab/>
      </w:r>
      <w:r>
        <w:rPr>
          <w:color w:val="auto"/>
          <w:highlight w:val="none"/>
        </w:rPr>
        <w:fldChar w:fldCharType="begin"/>
      </w:r>
      <w:r>
        <w:rPr>
          <w:color w:val="auto"/>
          <w:highlight w:val="none"/>
        </w:rPr>
        <w:instrText xml:space="preserve"> PAGEREF _Toc142981740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pPr>
        <w:pStyle w:val="28"/>
        <w:tabs>
          <w:tab w:val="right" w:leader="dot" w:pos="8290"/>
        </w:tabs>
        <w:rPr>
          <w:rFonts w:ascii="等线" w:hAnsi="等线" w:eastAsia="等线"/>
          <w:b w:val="0"/>
          <w:bCs w:val="0"/>
          <w:caps w:val="0"/>
          <w:color w:val="auto"/>
          <w:sz w:val="21"/>
          <w:szCs w:val="22"/>
          <w:highlight w:val="none"/>
        </w:rPr>
      </w:pPr>
      <w:r>
        <w:rPr>
          <w:color w:val="auto"/>
          <w:highlight w:val="none"/>
        </w:rPr>
        <w:fldChar w:fldCharType="begin"/>
      </w:r>
      <w:r>
        <w:rPr>
          <w:color w:val="auto"/>
          <w:highlight w:val="none"/>
        </w:rPr>
        <w:instrText xml:space="preserve"> HYPERLINK \l "_Toc142981741" </w:instrText>
      </w:r>
      <w:r>
        <w:rPr>
          <w:color w:val="auto"/>
          <w:highlight w:val="none"/>
        </w:rPr>
        <w:fldChar w:fldCharType="separate"/>
      </w:r>
      <w:r>
        <w:rPr>
          <w:rStyle w:val="48"/>
          <w:rFonts w:hAnsi="宋体" w:cs="宋体"/>
          <w:color w:val="auto"/>
          <w:highlight w:val="none"/>
        </w:rPr>
        <w:t>3 应遵循的主要标准</w:t>
      </w:r>
      <w:r>
        <w:rPr>
          <w:color w:val="auto"/>
          <w:highlight w:val="none"/>
        </w:rPr>
        <w:tab/>
      </w:r>
      <w:r>
        <w:rPr>
          <w:color w:val="auto"/>
          <w:highlight w:val="none"/>
        </w:rPr>
        <w:fldChar w:fldCharType="begin"/>
      </w:r>
      <w:r>
        <w:rPr>
          <w:color w:val="auto"/>
          <w:highlight w:val="none"/>
        </w:rPr>
        <w:instrText xml:space="preserve"> PAGEREF _Toc142981741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pPr>
        <w:pStyle w:val="28"/>
        <w:tabs>
          <w:tab w:val="right" w:leader="dot" w:pos="8290"/>
        </w:tabs>
        <w:rPr>
          <w:rFonts w:ascii="等线" w:hAnsi="等线" w:eastAsia="等线"/>
          <w:b w:val="0"/>
          <w:bCs w:val="0"/>
          <w:caps w:val="0"/>
          <w:color w:val="auto"/>
          <w:sz w:val="21"/>
          <w:szCs w:val="22"/>
          <w:highlight w:val="none"/>
        </w:rPr>
      </w:pPr>
      <w:r>
        <w:rPr>
          <w:color w:val="auto"/>
          <w:highlight w:val="none"/>
        </w:rPr>
        <w:fldChar w:fldCharType="begin"/>
      </w:r>
      <w:r>
        <w:rPr>
          <w:color w:val="auto"/>
          <w:highlight w:val="none"/>
        </w:rPr>
        <w:instrText xml:space="preserve"> HYPERLINK \l "_Toc142981742" </w:instrText>
      </w:r>
      <w:r>
        <w:rPr>
          <w:color w:val="auto"/>
          <w:highlight w:val="none"/>
        </w:rPr>
        <w:fldChar w:fldCharType="separate"/>
      </w:r>
      <w:r>
        <w:rPr>
          <w:rStyle w:val="48"/>
          <w:rFonts w:hAnsi="宋体" w:cs="宋体"/>
          <w:color w:val="auto"/>
          <w:highlight w:val="none"/>
        </w:rPr>
        <w:t>4 技术要求</w:t>
      </w:r>
      <w:r>
        <w:rPr>
          <w:color w:val="auto"/>
          <w:highlight w:val="none"/>
        </w:rPr>
        <w:tab/>
      </w:r>
      <w:r>
        <w:rPr>
          <w:color w:val="auto"/>
          <w:highlight w:val="none"/>
        </w:rPr>
        <w:fldChar w:fldCharType="begin"/>
      </w:r>
      <w:r>
        <w:rPr>
          <w:color w:val="auto"/>
          <w:highlight w:val="none"/>
        </w:rPr>
        <w:instrText xml:space="preserve"> PAGEREF _Toc142981742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pPr>
        <w:pStyle w:val="28"/>
        <w:tabs>
          <w:tab w:val="right" w:leader="dot" w:pos="8290"/>
        </w:tabs>
        <w:rPr>
          <w:rFonts w:ascii="等线" w:hAnsi="等线" w:eastAsia="等线"/>
          <w:b w:val="0"/>
          <w:bCs w:val="0"/>
          <w:caps w:val="0"/>
          <w:color w:val="auto"/>
          <w:sz w:val="21"/>
          <w:szCs w:val="22"/>
          <w:highlight w:val="none"/>
        </w:rPr>
      </w:pPr>
      <w:r>
        <w:rPr>
          <w:color w:val="auto"/>
          <w:highlight w:val="none"/>
        </w:rPr>
        <w:fldChar w:fldCharType="begin"/>
      </w:r>
      <w:r>
        <w:rPr>
          <w:color w:val="auto"/>
          <w:highlight w:val="none"/>
        </w:rPr>
        <w:instrText xml:space="preserve"> HYPERLINK \l "_Toc142981743" </w:instrText>
      </w:r>
      <w:r>
        <w:rPr>
          <w:color w:val="auto"/>
          <w:highlight w:val="none"/>
        </w:rPr>
        <w:fldChar w:fldCharType="separate"/>
      </w:r>
      <w:r>
        <w:rPr>
          <w:rStyle w:val="48"/>
          <w:color w:val="auto"/>
          <w:highlight w:val="none"/>
        </w:rPr>
        <w:t>5</w:t>
      </w:r>
      <w:r>
        <w:rPr>
          <w:rStyle w:val="48"/>
          <w:rFonts w:hAnsi="宋体"/>
          <w:color w:val="auto"/>
          <w:highlight w:val="none"/>
        </w:rPr>
        <w:t xml:space="preserve"> 检查试验</w:t>
      </w:r>
      <w:r>
        <w:rPr>
          <w:color w:val="auto"/>
          <w:highlight w:val="none"/>
        </w:rPr>
        <w:tab/>
      </w:r>
      <w:r>
        <w:rPr>
          <w:color w:val="auto"/>
          <w:highlight w:val="none"/>
        </w:rPr>
        <w:fldChar w:fldCharType="begin"/>
      </w:r>
      <w:r>
        <w:rPr>
          <w:color w:val="auto"/>
          <w:highlight w:val="none"/>
        </w:rPr>
        <w:instrText xml:space="preserve"> PAGEREF _Toc142981743 \h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pPr>
        <w:pStyle w:val="28"/>
        <w:tabs>
          <w:tab w:val="right" w:leader="dot" w:pos="8290"/>
        </w:tabs>
        <w:rPr>
          <w:rFonts w:ascii="等线" w:hAnsi="等线" w:eastAsia="等线"/>
          <w:b w:val="0"/>
          <w:bCs w:val="0"/>
          <w:caps w:val="0"/>
          <w:color w:val="auto"/>
          <w:sz w:val="21"/>
          <w:szCs w:val="22"/>
          <w:highlight w:val="none"/>
        </w:rPr>
      </w:pPr>
      <w:r>
        <w:rPr>
          <w:color w:val="auto"/>
          <w:highlight w:val="none"/>
        </w:rPr>
        <w:fldChar w:fldCharType="begin"/>
      </w:r>
      <w:r>
        <w:rPr>
          <w:color w:val="auto"/>
          <w:highlight w:val="none"/>
        </w:rPr>
        <w:instrText xml:space="preserve"> HYPERLINK \l "_Toc142981744" </w:instrText>
      </w:r>
      <w:r>
        <w:rPr>
          <w:color w:val="auto"/>
          <w:highlight w:val="none"/>
        </w:rPr>
        <w:fldChar w:fldCharType="separate"/>
      </w:r>
      <w:r>
        <w:rPr>
          <w:rStyle w:val="48"/>
          <w:color w:val="auto"/>
          <w:highlight w:val="none"/>
        </w:rPr>
        <w:t>6</w:t>
      </w:r>
      <w:r>
        <w:rPr>
          <w:rStyle w:val="48"/>
          <w:rFonts w:hAnsi="宋体"/>
          <w:color w:val="auto"/>
          <w:highlight w:val="none"/>
        </w:rPr>
        <w:t xml:space="preserve"> 包装和运输</w:t>
      </w:r>
      <w:r>
        <w:rPr>
          <w:color w:val="auto"/>
          <w:highlight w:val="none"/>
        </w:rPr>
        <w:tab/>
      </w:r>
      <w:r>
        <w:rPr>
          <w:color w:val="auto"/>
          <w:highlight w:val="none"/>
        </w:rPr>
        <w:fldChar w:fldCharType="begin"/>
      </w:r>
      <w:r>
        <w:rPr>
          <w:color w:val="auto"/>
          <w:highlight w:val="none"/>
        </w:rPr>
        <w:instrText xml:space="preserve"> PAGEREF _Toc142981744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pPr>
        <w:pStyle w:val="28"/>
        <w:tabs>
          <w:tab w:val="right" w:leader="dot" w:pos="8290"/>
        </w:tabs>
        <w:rPr>
          <w:rFonts w:ascii="等线" w:hAnsi="等线" w:eastAsia="等线"/>
          <w:b w:val="0"/>
          <w:bCs w:val="0"/>
          <w:caps w:val="0"/>
          <w:color w:val="auto"/>
          <w:sz w:val="21"/>
          <w:szCs w:val="22"/>
          <w:highlight w:val="none"/>
        </w:rPr>
      </w:pPr>
      <w:r>
        <w:rPr>
          <w:color w:val="auto"/>
          <w:highlight w:val="none"/>
        </w:rPr>
        <w:fldChar w:fldCharType="begin"/>
      </w:r>
      <w:r>
        <w:rPr>
          <w:color w:val="auto"/>
          <w:highlight w:val="none"/>
        </w:rPr>
        <w:instrText xml:space="preserve"> HYPERLINK \l "_Toc142981745" </w:instrText>
      </w:r>
      <w:r>
        <w:rPr>
          <w:color w:val="auto"/>
          <w:highlight w:val="none"/>
        </w:rPr>
        <w:fldChar w:fldCharType="separate"/>
      </w:r>
      <w:r>
        <w:rPr>
          <w:rStyle w:val="48"/>
          <w:color w:val="auto"/>
          <w:highlight w:val="none"/>
        </w:rPr>
        <w:t>7</w:t>
      </w:r>
      <w:r>
        <w:rPr>
          <w:rStyle w:val="48"/>
          <w:rFonts w:hAnsi="宋体"/>
          <w:color w:val="auto"/>
          <w:highlight w:val="none"/>
        </w:rPr>
        <w:t xml:space="preserve"> 售后服务</w:t>
      </w:r>
      <w:r>
        <w:rPr>
          <w:color w:val="auto"/>
          <w:highlight w:val="none"/>
        </w:rPr>
        <w:tab/>
      </w:r>
      <w:r>
        <w:rPr>
          <w:color w:val="auto"/>
          <w:highlight w:val="none"/>
        </w:rPr>
        <w:fldChar w:fldCharType="begin"/>
      </w:r>
      <w:r>
        <w:rPr>
          <w:color w:val="auto"/>
          <w:highlight w:val="none"/>
        </w:rPr>
        <w:instrText xml:space="preserve"> PAGEREF _Toc142981745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pPr>
        <w:pStyle w:val="28"/>
        <w:tabs>
          <w:tab w:val="right" w:leader="dot" w:pos="8290"/>
        </w:tabs>
        <w:rPr>
          <w:rFonts w:ascii="等线" w:hAnsi="等线" w:eastAsia="等线"/>
          <w:b w:val="0"/>
          <w:bCs w:val="0"/>
          <w:caps w:val="0"/>
          <w:color w:val="auto"/>
          <w:sz w:val="21"/>
          <w:szCs w:val="22"/>
          <w:highlight w:val="none"/>
        </w:rPr>
      </w:pPr>
      <w:r>
        <w:rPr>
          <w:color w:val="auto"/>
          <w:highlight w:val="none"/>
        </w:rPr>
        <w:fldChar w:fldCharType="begin"/>
      </w:r>
      <w:r>
        <w:rPr>
          <w:color w:val="auto"/>
          <w:highlight w:val="none"/>
        </w:rPr>
        <w:instrText xml:space="preserve"> HYPERLINK \l "_Toc142981746" </w:instrText>
      </w:r>
      <w:r>
        <w:rPr>
          <w:color w:val="auto"/>
          <w:highlight w:val="none"/>
        </w:rPr>
        <w:fldChar w:fldCharType="separate"/>
      </w:r>
      <w:r>
        <w:rPr>
          <w:rStyle w:val="48"/>
          <w:color w:val="auto"/>
          <w:highlight w:val="none"/>
        </w:rPr>
        <w:t>8</w:t>
      </w:r>
      <w:r>
        <w:rPr>
          <w:rStyle w:val="48"/>
          <w:rFonts w:hAnsi="宋体"/>
          <w:color w:val="auto"/>
          <w:highlight w:val="none"/>
        </w:rPr>
        <w:t xml:space="preserve"> 技术差异表</w:t>
      </w:r>
      <w:r>
        <w:rPr>
          <w:color w:val="auto"/>
          <w:highlight w:val="none"/>
        </w:rPr>
        <w:tab/>
      </w:r>
      <w:r>
        <w:rPr>
          <w:color w:val="auto"/>
          <w:highlight w:val="none"/>
        </w:rPr>
        <w:fldChar w:fldCharType="begin"/>
      </w:r>
      <w:r>
        <w:rPr>
          <w:color w:val="auto"/>
          <w:highlight w:val="none"/>
        </w:rPr>
        <w:instrText xml:space="preserve"> PAGEREF _Toc142981746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pPr>
        <w:pStyle w:val="28"/>
        <w:tabs>
          <w:tab w:val="right" w:leader="dot" w:pos="8296"/>
        </w:tabs>
        <w:rPr>
          <w:rFonts w:hint="eastAsia" w:ascii="宋体" w:hAnsi="宋体" w:cs="宋体"/>
          <w:b w:val="0"/>
          <w:bCs w:val="0"/>
          <w:caps w:val="0"/>
          <w:color w:val="auto"/>
          <w:sz w:val="21"/>
          <w:szCs w:val="21"/>
          <w:highlight w:val="none"/>
          <w:lang w:val="en-US" w:eastAsia="zh-CN"/>
        </w:rPr>
      </w:pPr>
      <w:r>
        <w:rPr>
          <w:rFonts w:hint="eastAsia" w:ascii="宋体" w:hAnsi="宋体" w:cs="宋体"/>
          <w:color w:val="auto"/>
          <w:highlight w:val="none"/>
        </w:rPr>
        <w:fldChar w:fldCharType="end"/>
      </w:r>
    </w:p>
    <w:p>
      <w:pPr>
        <w:adjustRightInd w:val="0"/>
        <w:snapToGrid w:val="0"/>
        <w:spacing w:line="360" w:lineRule="auto"/>
        <w:rPr>
          <w:rFonts w:hint="eastAsia" w:ascii="宋体" w:hAnsi="宋体" w:cs="宋体"/>
          <w:color w:val="auto"/>
          <w:szCs w:val="21"/>
          <w:highlight w:val="none"/>
        </w:rPr>
      </w:pPr>
    </w:p>
    <w:p>
      <w:pPr>
        <w:adjustRightInd w:val="0"/>
        <w:snapToGrid w:val="0"/>
        <w:spacing w:line="360" w:lineRule="auto"/>
        <w:rPr>
          <w:rFonts w:hint="eastAsia" w:ascii="宋体" w:hAnsi="宋体" w:cs="宋体"/>
          <w:color w:val="auto"/>
          <w:szCs w:val="21"/>
          <w:highlight w:val="none"/>
        </w:rPr>
      </w:pPr>
    </w:p>
    <w:p>
      <w:pPr>
        <w:adjustRightInd w:val="0"/>
        <w:snapToGrid w:val="0"/>
        <w:spacing w:line="360" w:lineRule="auto"/>
        <w:rPr>
          <w:rFonts w:hint="eastAsia" w:ascii="宋体" w:hAnsi="宋体" w:cs="宋体"/>
          <w:color w:val="auto"/>
          <w:szCs w:val="21"/>
          <w:highlight w:val="none"/>
        </w:rPr>
        <w:sectPr>
          <w:headerReference r:id="rId7" w:type="default"/>
          <w:footerReference r:id="rId8" w:type="default"/>
          <w:pgSz w:w="11906" w:h="16838"/>
          <w:pgMar w:top="1440" w:right="1803" w:bottom="1440" w:left="1803" w:header="851" w:footer="992" w:gutter="0"/>
          <w:pgNumType w:fmt="upperRoman" w:start="1"/>
          <w:cols w:space="720" w:num="1"/>
          <w:docGrid w:type="lines" w:linePitch="312" w:charSpace="0"/>
        </w:sectPr>
      </w:pPr>
    </w:p>
    <w:p>
      <w:pPr>
        <w:pStyle w:val="2"/>
        <w:adjustRightInd w:val="0"/>
        <w:spacing w:before="0" w:beforeLines="0"/>
        <w:rPr>
          <w:rFonts w:hint="eastAsia" w:hAnsi="宋体"/>
          <w:b/>
          <w:color w:val="auto"/>
          <w:highlight w:val="none"/>
        </w:rPr>
      </w:pPr>
      <w:bookmarkStart w:id="1" w:name="_Toc229476507"/>
      <w:bookmarkEnd w:id="1"/>
      <w:bookmarkStart w:id="2" w:name="_Toc229476473"/>
      <w:bookmarkEnd w:id="2"/>
      <w:bookmarkStart w:id="3" w:name="_Toc229476378"/>
      <w:bookmarkEnd w:id="3"/>
      <w:bookmarkStart w:id="4" w:name="_Toc229476588"/>
      <w:bookmarkEnd w:id="4"/>
      <w:bookmarkStart w:id="5" w:name="_Toc112756677"/>
      <w:r>
        <w:rPr>
          <w:rFonts w:hint="eastAsia" w:hAnsi="宋体"/>
          <w:b/>
          <w:color w:val="auto"/>
          <w:highlight w:val="none"/>
        </w:rPr>
        <w:t xml:space="preserve"> </w:t>
      </w:r>
      <w:bookmarkEnd w:id="5"/>
      <w:bookmarkStart w:id="6" w:name="_Toc142981739"/>
      <w:bookmarkStart w:id="7" w:name="_Toc305941223"/>
      <w:bookmarkStart w:id="8" w:name="_Toc305941518"/>
      <w:r>
        <w:rPr>
          <w:rFonts w:hint="eastAsia" w:hAnsi="宋体"/>
          <w:b/>
          <w:color w:val="auto"/>
          <w:highlight w:val="none"/>
        </w:rPr>
        <w:t>总则</w:t>
      </w:r>
      <w:bookmarkEnd w:id="6"/>
      <w:bookmarkEnd w:id="7"/>
      <w:bookmarkEnd w:id="8"/>
    </w:p>
    <w:p>
      <w:pPr>
        <w:pStyle w:val="79"/>
        <w:adjustRightInd w:val="0"/>
        <w:snapToGrid w:val="0"/>
        <w:spacing w:line="360" w:lineRule="auto"/>
        <w:ind w:firstLine="0" w:firstLineChars="0"/>
        <w:rPr>
          <w:rFonts w:hint="eastAsia" w:ascii="宋体" w:hAnsi="宋体" w:eastAsia="宋体" w:cs="宋体"/>
          <w:color w:val="auto"/>
          <w:szCs w:val="21"/>
          <w:highlight w:val="none"/>
        </w:rPr>
      </w:pPr>
      <w:bookmarkStart w:id="9" w:name="_Toc305941224"/>
      <w:bookmarkStart w:id="10" w:name="_Toc142981740"/>
      <w:bookmarkStart w:id="11" w:name="_Toc305941519"/>
      <w:bookmarkStart w:id="12" w:name="_Toc112756678"/>
      <w:r>
        <w:rPr>
          <w:rFonts w:hint="eastAsia" w:ascii="宋体" w:hAnsi="宋体" w:eastAsia="宋体" w:cs="宋体"/>
          <w:color w:val="auto"/>
          <w:szCs w:val="21"/>
          <w:highlight w:val="none"/>
        </w:rPr>
        <w:t>1.1 本招标技术文件适用于</w:t>
      </w:r>
      <w:r>
        <w:rPr>
          <w:rFonts w:hint="eastAsia" w:ascii="宋体" w:hAnsi="宋体" w:eastAsia="宋体" w:cs="宋体"/>
          <w:color w:val="auto"/>
          <w:szCs w:val="21"/>
          <w:highlight w:val="none"/>
          <w:lang w:eastAsia="zh-CN"/>
        </w:rPr>
        <w:t>海南电网有限责任公司</w:t>
      </w:r>
      <w:r>
        <w:rPr>
          <w:rFonts w:hint="eastAsia" w:ascii="宋体" w:hAnsi="宋体" w:eastAsia="宋体" w:cs="宋体"/>
          <w:color w:val="auto"/>
          <w:szCs w:val="21"/>
          <w:highlight w:val="none"/>
        </w:rPr>
        <w:t>的</w:t>
      </w:r>
      <w:r>
        <w:rPr>
          <w:rFonts w:hint="eastAsia" w:ascii="宋体" w:hAnsi="宋体" w:eastAsia="宋体" w:cs="宋体"/>
          <w:color w:val="auto"/>
          <w:szCs w:val="21"/>
          <w:highlight w:val="none"/>
          <w:u w:val="single"/>
        </w:rPr>
        <w:t>绝缘</w:t>
      </w:r>
      <w:r>
        <w:rPr>
          <w:rFonts w:hint="eastAsia" w:ascii="宋体" w:hAnsi="宋体" w:eastAsia="宋体" w:cs="宋体"/>
          <w:color w:val="auto"/>
          <w:szCs w:val="21"/>
          <w:highlight w:val="none"/>
          <w:u w:val="single"/>
          <w:lang w:eastAsia="zh-CN"/>
        </w:rPr>
        <w:t>操作棒（绝缘操作杆）</w:t>
      </w:r>
      <w:r>
        <w:rPr>
          <w:rFonts w:hint="eastAsia" w:ascii="宋体" w:hAnsi="宋体" w:eastAsia="宋体" w:cs="宋体"/>
          <w:color w:val="auto"/>
          <w:szCs w:val="21"/>
          <w:highlight w:val="none"/>
        </w:rPr>
        <w:t>， 它提出了该物资参数、售后服务、验收和试验、包装、运输和保存等方面的技术要求。</w:t>
      </w:r>
    </w:p>
    <w:p>
      <w:pPr>
        <w:pStyle w:val="79"/>
        <w:adjustRightInd w:val="0"/>
        <w:snapToGrid w:val="0"/>
        <w:spacing w:line="360" w:lineRule="auto"/>
        <w:ind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 本技术条件书提出的是最低限度的技术要求。凡本技术条件书中未规定，但在相关物资的行业标准、国家标准或IEC标准中有规定的规范条文，投标方应按相应标准的条文进行物资销售、设计、制造、试验和安装。对国家有关安全、环保等强制性标准，必须满足其要求。</w:t>
      </w:r>
    </w:p>
    <w:p>
      <w:pPr>
        <w:pStyle w:val="79"/>
        <w:adjustRightInd w:val="0"/>
        <w:snapToGrid w:val="0"/>
        <w:spacing w:line="360" w:lineRule="auto"/>
        <w:ind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 如果投标方没有以书面形式对本技术条件书的条文提出异议，则意味着投标方提供的物资完全符合本技术条件书的要求。</w:t>
      </w:r>
      <w:r>
        <w:rPr>
          <w:rFonts w:hint="eastAsia" w:ascii="宋体" w:hAnsi="宋体" w:eastAsia="宋体" w:cs="宋体"/>
          <w:color w:val="auto"/>
          <w:szCs w:val="21"/>
          <w:highlight w:val="none"/>
          <w:u w:val="single"/>
        </w:rPr>
        <w:t>如有任何异议，都应在技术投标文件中以“投标偏差表（技术部分）”为标题</w:t>
      </w:r>
      <w:r>
        <w:rPr>
          <w:rFonts w:hint="eastAsia" w:ascii="宋体" w:hAnsi="宋体" w:eastAsia="宋体" w:cs="宋体"/>
          <w:color w:val="auto"/>
          <w:szCs w:val="21"/>
          <w:highlight w:val="none"/>
        </w:rPr>
        <w:t>的专门章节中加以详细描述。</w:t>
      </w:r>
    </w:p>
    <w:p>
      <w:pPr>
        <w:pStyle w:val="79"/>
        <w:adjustRightInd w:val="0"/>
        <w:snapToGrid w:val="0"/>
        <w:spacing w:line="360" w:lineRule="auto"/>
        <w:ind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 本技术条件书所使用的标准如遇与投标方所执行的标准不一致时，按较高标准执行。</w:t>
      </w:r>
    </w:p>
    <w:p>
      <w:pPr>
        <w:pStyle w:val="79"/>
        <w:adjustRightInd w:val="0"/>
        <w:snapToGrid w:val="0"/>
        <w:spacing w:line="360" w:lineRule="auto"/>
        <w:ind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 本技术条件书经招标方、中标方双方确认后作为订货合同的技术附件，与合同正文具有同等的法律效力。</w:t>
      </w:r>
    </w:p>
    <w:p>
      <w:pPr>
        <w:pStyle w:val="79"/>
        <w:adjustRightInd w:val="0"/>
        <w:snapToGrid w:val="0"/>
        <w:spacing w:line="360" w:lineRule="auto"/>
        <w:ind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 本技术条件书未尽事宜，由招标方、中标方双方协商确定。</w:t>
      </w:r>
    </w:p>
    <w:p>
      <w:pPr>
        <w:pStyle w:val="79"/>
        <w:adjustRightInd w:val="0"/>
        <w:snapToGrid w:val="0"/>
        <w:spacing w:line="360" w:lineRule="auto"/>
        <w:ind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1.7 投标方在应标技术文件中应如实反映应标产品与本技术条件书的技术差异。</w:t>
      </w:r>
      <w:r>
        <w:rPr>
          <w:rFonts w:hint="eastAsia" w:ascii="宋体" w:hAnsi="宋体" w:eastAsia="宋体" w:cs="宋体"/>
          <w:b/>
          <w:bCs/>
          <w:color w:val="auto"/>
          <w:szCs w:val="21"/>
          <w:highlight w:val="none"/>
        </w:rPr>
        <w:t>如果投标方没有提出技术差异，而在执行合同的过程中，招标方发现投标方提供的产品与其应标的技术条件书的条文存在差异，招标方有权利要求退货。</w:t>
      </w:r>
    </w:p>
    <w:p>
      <w:pPr>
        <w:adjustRightInd w:val="0"/>
        <w:snapToGrid w:val="0"/>
        <w:spacing w:line="360" w:lineRule="auto"/>
        <w:rPr>
          <w:rFonts w:hint="eastAsia" w:ascii="宋体" w:hAnsi="宋体" w:eastAsia="宋体" w:cs="宋体"/>
          <w:b w:val="0"/>
          <w:bCs w:val="0"/>
          <w:color w:val="auto"/>
          <w:kern w:val="0"/>
          <w:szCs w:val="21"/>
          <w:highlight w:val="none"/>
        </w:rPr>
      </w:pPr>
      <w:bookmarkStart w:id="13" w:name="_Hlk147862507"/>
      <w:r>
        <w:rPr>
          <w:rFonts w:hint="eastAsia" w:ascii="宋体" w:hAnsi="宋体" w:eastAsia="宋体" w:cs="宋体"/>
          <w:b w:val="0"/>
          <w:bCs w:val="0"/>
          <w:color w:val="auto"/>
          <w:kern w:val="0"/>
          <w:szCs w:val="21"/>
          <w:highlight w:val="none"/>
        </w:rPr>
        <w:t>1.8投标方应在供货时向买方提供经国家相关检验机构鉴定的合格证书和符合国家、行业标准的产品证明资料，产品预防性试验报告、出厂试验报告、安装使用、测试、运行、维护说明资料等</w:t>
      </w:r>
      <w:r>
        <w:rPr>
          <w:rFonts w:hint="eastAsia" w:ascii="宋体" w:hAnsi="宋体" w:eastAsia="宋体" w:cs="宋体"/>
          <w:b w:val="0"/>
          <w:bCs w:val="0"/>
          <w:color w:val="auto"/>
          <w:kern w:val="0"/>
          <w:szCs w:val="21"/>
          <w:highlight w:val="none"/>
          <w:lang w:eastAsia="zh-CN"/>
        </w:rPr>
        <w:t>（</w:t>
      </w:r>
      <w:r>
        <w:rPr>
          <w:rFonts w:hint="eastAsia" w:ascii="宋体" w:hAnsi="宋体" w:eastAsia="宋体" w:cs="宋体"/>
          <w:b w:val="0"/>
          <w:bCs w:val="0"/>
          <w:color w:val="auto"/>
          <w:kern w:val="0"/>
          <w:szCs w:val="21"/>
          <w:highlight w:val="none"/>
        </w:rPr>
        <w:t>随产品打包提供</w:t>
      </w:r>
      <w:r>
        <w:rPr>
          <w:rFonts w:hint="eastAsia" w:ascii="宋体" w:hAnsi="宋体" w:eastAsia="宋体" w:cs="宋体"/>
          <w:b w:val="0"/>
          <w:bCs w:val="0"/>
          <w:color w:val="auto"/>
          <w:kern w:val="0"/>
          <w:szCs w:val="21"/>
          <w:highlight w:val="none"/>
          <w:lang w:eastAsia="zh-CN"/>
        </w:rPr>
        <w:t>）</w:t>
      </w:r>
      <w:r>
        <w:rPr>
          <w:rFonts w:hint="eastAsia" w:ascii="宋体" w:hAnsi="宋体" w:eastAsia="宋体" w:cs="宋体"/>
          <w:b w:val="0"/>
          <w:bCs w:val="0"/>
          <w:color w:val="auto"/>
          <w:kern w:val="0"/>
          <w:szCs w:val="21"/>
          <w:highlight w:val="none"/>
        </w:rPr>
        <w:t>。</w:t>
      </w:r>
    </w:p>
    <w:p>
      <w:pPr>
        <w:adjustRightInd w:val="0"/>
        <w:snapToGrid w:val="0"/>
        <w:spacing w:line="360" w:lineRule="auto"/>
        <w:rPr>
          <w:rFonts w:hint="eastAsia" w:ascii="宋体" w:hAnsi="宋体" w:eastAsia="宋体" w:cs="宋体"/>
          <w:b w:val="0"/>
          <w:bCs w:val="0"/>
          <w:color w:val="auto"/>
          <w:kern w:val="0"/>
          <w:szCs w:val="21"/>
          <w:highlight w:val="none"/>
        </w:rPr>
      </w:pPr>
      <w:r>
        <w:rPr>
          <w:rFonts w:hint="eastAsia" w:ascii="宋体" w:hAnsi="宋体" w:eastAsia="宋体" w:cs="宋体"/>
          <w:b w:val="0"/>
          <w:bCs w:val="0"/>
          <w:color w:val="auto"/>
          <w:kern w:val="0"/>
          <w:szCs w:val="21"/>
          <w:highlight w:val="none"/>
        </w:rPr>
        <w:t>1.9本规范书未尽事宜，均须遵守最新的国家标准</w:t>
      </w:r>
      <w:r>
        <w:rPr>
          <w:rFonts w:hint="eastAsia" w:ascii="宋体" w:hAnsi="宋体" w:eastAsia="宋体" w:cs="宋体"/>
          <w:b w:val="0"/>
          <w:bCs w:val="0"/>
          <w:color w:val="auto"/>
          <w:kern w:val="0"/>
          <w:szCs w:val="21"/>
          <w:highlight w:val="none"/>
          <w:lang w:eastAsia="zh-CN"/>
        </w:rPr>
        <w:t>（</w:t>
      </w:r>
      <w:r>
        <w:rPr>
          <w:rFonts w:hint="eastAsia" w:ascii="宋体" w:hAnsi="宋体" w:eastAsia="宋体" w:cs="宋体"/>
          <w:b w:val="0"/>
          <w:bCs w:val="0"/>
          <w:color w:val="auto"/>
          <w:kern w:val="0"/>
          <w:szCs w:val="21"/>
          <w:highlight w:val="none"/>
        </w:rPr>
        <w:t>GB</w:t>
      </w:r>
      <w:r>
        <w:rPr>
          <w:rFonts w:hint="eastAsia" w:ascii="宋体" w:hAnsi="宋体" w:eastAsia="宋体" w:cs="宋体"/>
          <w:b w:val="0"/>
          <w:bCs w:val="0"/>
          <w:color w:val="auto"/>
          <w:kern w:val="0"/>
          <w:szCs w:val="21"/>
          <w:highlight w:val="none"/>
          <w:lang w:eastAsia="zh-CN"/>
        </w:rPr>
        <w:t>）</w:t>
      </w:r>
      <w:r>
        <w:rPr>
          <w:rFonts w:hint="eastAsia" w:ascii="宋体" w:hAnsi="宋体" w:eastAsia="宋体" w:cs="宋体"/>
          <w:b w:val="0"/>
          <w:bCs w:val="0"/>
          <w:color w:val="auto"/>
          <w:kern w:val="0"/>
          <w:szCs w:val="21"/>
          <w:highlight w:val="none"/>
        </w:rPr>
        <w:t>、国际电工委员会</w:t>
      </w:r>
      <w:r>
        <w:rPr>
          <w:rFonts w:hint="eastAsia" w:ascii="宋体" w:hAnsi="宋体" w:eastAsia="宋体" w:cs="宋体"/>
          <w:b w:val="0"/>
          <w:bCs w:val="0"/>
          <w:color w:val="auto"/>
          <w:kern w:val="0"/>
          <w:szCs w:val="21"/>
          <w:highlight w:val="none"/>
          <w:lang w:eastAsia="zh-CN"/>
        </w:rPr>
        <w:t>（</w:t>
      </w:r>
      <w:r>
        <w:rPr>
          <w:rFonts w:hint="eastAsia" w:ascii="宋体" w:hAnsi="宋体" w:eastAsia="宋体" w:cs="宋体"/>
          <w:b w:val="0"/>
          <w:bCs w:val="0"/>
          <w:color w:val="auto"/>
          <w:kern w:val="0"/>
          <w:szCs w:val="21"/>
          <w:highlight w:val="none"/>
        </w:rPr>
        <w:t>IEC</w:t>
      </w:r>
      <w:r>
        <w:rPr>
          <w:rFonts w:hint="eastAsia" w:ascii="宋体" w:hAnsi="宋体" w:eastAsia="宋体" w:cs="宋体"/>
          <w:b w:val="0"/>
          <w:bCs w:val="0"/>
          <w:color w:val="auto"/>
          <w:kern w:val="0"/>
          <w:szCs w:val="21"/>
          <w:highlight w:val="none"/>
          <w:lang w:eastAsia="zh-CN"/>
        </w:rPr>
        <w:t>）</w:t>
      </w:r>
      <w:r>
        <w:rPr>
          <w:rFonts w:hint="eastAsia" w:ascii="宋体" w:hAnsi="宋体" w:eastAsia="宋体" w:cs="宋体"/>
          <w:b w:val="0"/>
          <w:bCs w:val="0"/>
          <w:color w:val="auto"/>
          <w:kern w:val="0"/>
          <w:szCs w:val="21"/>
          <w:highlight w:val="none"/>
        </w:rPr>
        <w:t>标准、国际单位制</w:t>
      </w:r>
      <w:r>
        <w:rPr>
          <w:rFonts w:hint="eastAsia" w:ascii="宋体" w:hAnsi="宋体" w:eastAsia="宋体" w:cs="宋体"/>
          <w:b w:val="0"/>
          <w:bCs w:val="0"/>
          <w:color w:val="auto"/>
          <w:kern w:val="0"/>
          <w:szCs w:val="21"/>
          <w:highlight w:val="none"/>
          <w:lang w:eastAsia="zh-CN"/>
        </w:rPr>
        <w:t>（</w:t>
      </w:r>
      <w:r>
        <w:rPr>
          <w:rFonts w:hint="eastAsia" w:ascii="宋体" w:hAnsi="宋体" w:eastAsia="宋体" w:cs="宋体"/>
          <w:b w:val="0"/>
          <w:bCs w:val="0"/>
          <w:color w:val="auto"/>
          <w:kern w:val="0"/>
          <w:szCs w:val="21"/>
          <w:highlight w:val="none"/>
        </w:rPr>
        <w:t>SI</w:t>
      </w:r>
      <w:r>
        <w:rPr>
          <w:rFonts w:hint="eastAsia" w:ascii="宋体" w:hAnsi="宋体" w:eastAsia="宋体" w:cs="宋体"/>
          <w:b w:val="0"/>
          <w:bCs w:val="0"/>
          <w:color w:val="auto"/>
          <w:kern w:val="0"/>
          <w:szCs w:val="21"/>
          <w:highlight w:val="none"/>
          <w:lang w:eastAsia="zh-CN"/>
        </w:rPr>
        <w:t>）</w:t>
      </w:r>
      <w:r>
        <w:rPr>
          <w:rFonts w:hint="eastAsia" w:ascii="宋体" w:hAnsi="宋体" w:eastAsia="宋体" w:cs="宋体"/>
          <w:b w:val="0"/>
          <w:bCs w:val="0"/>
          <w:color w:val="auto"/>
          <w:kern w:val="0"/>
          <w:szCs w:val="21"/>
          <w:highlight w:val="none"/>
        </w:rPr>
        <w:t>标准、电力行业标准（DL/T）、南方电网公司相关标准等，以上标准未规定事宜由招标人和投标人在合同技术谈判时双方协商确定。</w:t>
      </w:r>
    </w:p>
    <w:bookmarkEnd w:id="13"/>
    <w:p>
      <w:pPr>
        <w:pStyle w:val="79"/>
        <w:adjustRightInd w:val="0"/>
        <w:snapToGrid w:val="0"/>
        <w:spacing w:line="360" w:lineRule="auto"/>
        <w:ind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1.10 标注“★”的条款为关键条款，作为评标时打分的重点参考。</w:t>
      </w:r>
    </w:p>
    <w:p>
      <w:pPr>
        <w:pStyle w:val="2"/>
        <w:adjustRightInd w:val="0"/>
        <w:spacing w:before="0" w:beforeLines="0"/>
        <w:rPr>
          <w:rFonts w:hint="eastAsia" w:hAnsi="宋体"/>
          <w:b/>
          <w:color w:val="auto"/>
          <w:highlight w:val="none"/>
        </w:rPr>
      </w:pPr>
      <w:r>
        <w:rPr>
          <w:rFonts w:hint="eastAsia" w:hAnsi="宋体"/>
          <w:b/>
          <w:color w:val="auto"/>
          <w:highlight w:val="none"/>
        </w:rPr>
        <w:t>工作范围</w:t>
      </w:r>
      <w:bookmarkEnd w:id="9"/>
      <w:bookmarkEnd w:id="10"/>
      <w:bookmarkEnd w:id="11"/>
    </w:p>
    <w:p>
      <w:pPr>
        <w:spacing w:line="360" w:lineRule="auto"/>
        <w:rPr>
          <w:rFonts w:ascii="宋体" w:hAnsi="宋体"/>
          <w:color w:val="auto"/>
          <w:kern w:val="0"/>
          <w:szCs w:val="21"/>
          <w:highlight w:val="none"/>
        </w:rPr>
      </w:pPr>
      <w:bookmarkStart w:id="14" w:name="_Toc290652071"/>
      <w:bookmarkStart w:id="15" w:name="_Toc291768528"/>
      <w:bookmarkStart w:id="16" w:name="_Toc305941225"/>
      <w:r>
        <w:rPr>
          <w:rFonts w:hint="eastAsia" w:ascii="宋体" w:hAnsi="宋体"/>
          <w:color w:val="auto"/>
          <w:kern w:val="0"/>
          <w:szCs w:val="21"/>
          <w:highlight w:val="none"/>
          <w:lang w:val="en-US" w:eastAsia="zh-CN"/>
        </w:rPr>
        <w:t>2.1</w:t>
      </w:r>
      <w:r>
        <w:rPr>
          <w:rFonts w:hint="eastAsia" w:ascii="宋体" w:hAnsi="宋体"/>
          <w:color w:val="auto"/>
          <w:kern w:val="0"/>
          <w:szCs w:val="21"/>
          <w:highlight w:val="none"/>
        </w:rPr>
        <w:t>中</w:t>
      </w:r>
      <w:r>
        <w:rPr>
          <w:rFonts w:ascii="宋体" w:hAnsi="宋体"/>
          <w:color w:val="auto"/>
          <w:kern w:val="0"/>
          <w:szCs w:val="21"/>
          <w:highlight w:val="none"/>
        </w:rPr>
        <w:t>标方应按本标书的要求提供全新的、合格的</w:t>
      </w:r>
      <w:r>
        <w:rPr>
          <w:rFonts w:hint="eastAsia" w:ascii="宋体" w:hAnsi="宋体"/>
          <w:color w:val="auto"/>
          <w:kern w:val="0"/>
          <w:szCs w:val="21"/>
          <w:highlight w:val="none"/>
          <w:u w:val="single"/>
        </w:rPr>
        <w:t>绝缘操作棒</w:t>
      </w:r>
      <w:r>
        <w:rPr>
          <w:rFonts w:hint="eastAsia" w:ascii="宋体" w:hAnsi="宋体"/>
          <w:color w:val="auto"/>
          <w:kern w:val="0"/>
          <w:szCs w:val="21"/>
          <w:highlight w:val="none"/>
        </w:rPr>
        <w:t>以及必要</w:t>
      </w:r>
      <w:r>
        <w:rPr>
          <w:rFonts w:ascii="宋体" w:hAnsi="宋体"/>
          <w:color w:val="auto"/>
          <w:kern w:val="0"/>
          <w:szCs w:val="21"/>
          <w:highlight w:val="none"/>
        </w:rPr>
        <w:t>的备品备件</w:t>
      </w:r>
      <w:r>
        <w:rPr>
          <w:rFonts w:hint="eastAsia" w:ascii="宋体" w:hAnsi="宋体"/>
          <w:color w:val="auto"/>
          <w:kern w:val="0"/>
          <w:szCs w:val="21"/>
          <w:highlight w:val="none"/>
        </w:rPr>
        <w:t>（</w:t>
      </w:r>
      <w:r>
        <w:rPr>
          <w:rFonts w:ascii="宋体" w:hAnsi="宋体"/>
          <w:color w:val="auto"/>
          <w:kern w:val="0"/>
          <w:szCs w:val="21"/>
          <w:highlight w:val="none"/>
        </w:rPr>
        <w:t>如有）、专用工具</w:t>
      </w:r>
      <w:r>
        <w:rPr>
          <w:rFonts w:hint="eastAsia" w:ascii="宋体" w:hAnsi="宋体"/>
          <w:color w:val="auto"/>
          <w:kern w:val="0"/>
          <w:szCs w:val="21"/>
          <w:highlight w:val="none"/>
        </w:rPr>
        <w:t>（</w:t>
      </w:r>
      <w:r>
        <w:rPr>
          <w:rFonts w:ascii="宋体" w:hAnsi="宋体"/>
          <w:color w:val="auto"/>
          <w:kern w:val="0"/>
          <w:szCs w:val="21"/>
          <w:highlight w:val="none"/>
        </w:rPr>
        <w:t>如有）和仪器</w:t>
      </w:r>
      <w:r>
        <w:rPr>
          <w:rFonts w:hint="eastAsia" w:ascii="宋体" w:hAnsi="宋体"/>
          <w:color w:val="auto"/>
          <w:kern w:val="0"/>
          <w:szCs w:val="21"/>
          <w:highlight w:val="none"/>
        </w:rPr>
        <w:t>（</w:t>
      </w:r>
      <w:r>
        <w:rPr>
          <w:rFonts w:ascii="宋体" w:hAnsi="宋体"/>
          <w:color w:val="auto"/>
          <w:kern w:val="0"/>
          <w:szCs w:val="21"/>
          <w:highlight w:val="none"/>
        </w:rPr>
        <w:t>如有）。</w:t>
      </w:r>
    </w:p>
    <w:p>
      <w:pPr>
        <w:spacing w:line="360" w:lineRule="auto"/>
        <w:rPr>
          <w:rFonts w:hint="eastAsia" w:ascii="宋体" w:hAnsi="宋体"/>
          <w:color w:val="auto"/>
          <w:kern w:val="0"/>
          <w:szCs w:val="21"/>
          <w:highlight w:val="none"/>
        </w:rPr>
      </w:pPr>
      <w:r>
        <w:rPr>
          <w:rFonts w:hint="eastAsia" w:ascii="宋体" w:hAnsi="宋体"/>
          <w:color w:val="auto"/>
          <w:kern w:val="0"/>
          <w:szCs w:val="21"/>
          <w:highlight w:val="none"/>
          <w:lang w:val="en-US" w:eastAsia="zh-CN"/>
        </w:rPr>
        <w:t>2.2</w:t>
      </w:r>
      <w:r>
        <w:rPr>
          <w:rFonts w:hint="eastAsia" w:ascii="宋体" w:hAnsi="宋体"/>
          <w:color w:val="auto"/>
          <w:kern w:val="0"/>
          <w:szCs w:val="21"/>
          <w:highlight w:val="none"/>
        </w:rPr>
        <w:t>中</w:t>
      </w:r>
      <w:r>
        <w:rPr>
          <w:rFonts w:ascii="宋体" w:hAnsi="宋体"/>
          <w:color w:val="auto"/>
          <w:kern w:val="0"/>
          <w:szCs w:val="21"/>
          <w:highlight w:val="none"/>
        </w:rPr>
        <w:t>标方所提供的组件或附件如需向第三方外购时</w:t>
      </w:r>
      <w:r>
        <w:rPr>
          <w:rFonts w:hint="eastAsia" w:ascii="宋体" w:hAnsi="宋体"/>
          <w:color w:val="auto"/>
          <w:kern w:val="0"/>
          <w:szCs w:val="21"/>
          <w:highlight w:val="none"/>
        </w:rPr>
        <w:t>，中标方</w:t>
      </w:r>
      <w:r>
        <w:rPr>
          <w:rFonts w:ascii="宋体" w:hAnsi="宋体"/>
          <w:color w:val="auto"/>
          <w:kern w:val="0"/>
          <w:szCs w:val="21"/>
          <w:highlight w:val="none"/>
        </w:rPr>
        <w:t>应对质量向招标方负责</w:t>
      </w:r>
      <w:r>
        <w:rPr>
          <w:rFonts w:hint="eastAsia" w:ascii="宋体" w:hAnsi="宋体"/>
          <w:color w:val="auto"/>
          <w:kern w:val="0"/>
          <w:szCs w:val="21"/>
          <w:highlight w:val="none"/>
        </w:rPr>
        <w:t>，</w:t>
      </w:r>
      <w:r>
        <w:rPr>
          <w:rFonts w:ascii="宋体" w:hAnsi="宋体"/>
          <w:color w:val="auto"/>
          <w:kern w:val="0"/>
          <w:szCs w:val="21"/>
          <w:highlight w:val="none"/>
        </w:rPr>
        <w:t>并提供相应出厂和验收证明。</w:t>
      </w:r>
    </w:p>
    <w:p>
      <w:pPr>
        <w:spacing w:line="360" w:lineRule="auto"/>
        <w:rPr>
          <w:rFonts w:hint="eastAsia" w:ascii="宋体" w:hAnsi="宋体"/>
          <w:color w:val="auto"/>
          <w:kern w:val="0"/>
          <w:szCs w:val="21"/>
          <w:highlight w:val="none"/>
        </w:rPr>
      </w:pPr>
      <w:r>
        <w:rPr>
          <w:rFonts w:hint="eastAsia" w:ascii="宋体" w:hAnsi="宋体"/>
          <w:color w:val="auto"/>
          <w:kern w:val="0"/>
          <w:szCs w:val="21"/>
          <w:highlight w:val="none"/>
          <w:lang w:val="en-US" w:eastAsia="zh-CN"/>
        </w:rPr>
        <w:t>2.3</w:t>
      </w:r>
      <w:r>
        <w:rPr>
          <w:rFonts w:hint="eastAsia" w:ascii="宋体" w:hAnsi="宋体"/>
          <w:color w:val="auto"/>
          <w:kern w:val="0"/>
          <w:szCs w:val="21"/>
          <w:highlight w:val="none"/>
        </w:rPr>
        <w:t>供货范围一览表</w:t>
      </w:r>
    </w:p>
    <w:p>
      <w:pPr>
        <w:spacing w:line="360" w:lineRule="auto"/>
        <w:ind w:firstLine="420" w:firstLineChars="200"/>
        <w:rPr>
          <w:rFonts w:hint="eastAsia" w:ascii="宋体" w:hAnsi="宋体"/>
          <w:color w:val="auto"/>
          <w:kern w:val="0"/>
          <w:szCs w:val="21"/>
          <w:highlight w:val="none"/>
        </w:rPr>
      </w:pPr>
      <w:r>
        <w:rPr>
          <w:rFonts w:hint="eastAsia" w:ascii="宋体" w:hAnsi="宋体"/>
          <w:color w:val="auto"/>
          <w:kern w:val="0"/>
          <w:szCs w:val="21"/>
          <w:highlight w:val="none"/>
        </w:rPr>
        <w:t>中</w:t>
      </w:r>
      <w:r>
        <w:rPr>
          <w:rFonts w:ascii="宋体" w:hAnsi="宋体"/>
          <w:color w:val="auto"/>
          <w:kern w:val="0"/>
          <w:szCs w:val="21"/>
          <w:highlight w:val="none"/>
        </w:rPr>
        <w:t>标方</w:t>
      </w:r>
      <w:r>
        <w:rPr>
          <w:rFonts w:hint="eastAsia" w:ascii="宋体" w:hAnsi="宋体"/>
          <w:color w:val="auto"/>
          <w:kern w:val="0"/>
          <w:szCs w:val="21"/>
          <w:highlight w:val="none"/>
        </w:rPr>
        <w:t>提供的</w:t>
      </w:r>
      <w:r>
        <w:rPr>
          <w:rFonts w:hint="eastAsia" w:ascii="宋体" w:hAnsi="宋体"/>
          <w:color w:val="auto"/>
          <w:kern w:val="0"/>
          <w:szCs w:val="21"/>
          <w:highlight w:val="none"/>
          <w:u w:val="single"/>
        </w:rPr>
        <w:t>绝缘操作棒</w:t>
      </w:r>
      <w:r>
        <w:rPr>
          <w:rFonts w:hint="eastAsia" w:ascii="宋体" w:hAnsi="宋体"/>
          <w:color w:val="auto"/>
          <w:kern w:val="0"/>
          <w:szCs w:val="21"/>
          <w:highlight w:val="none"/>
        </w:rPr>
        <w:t>的具体规格见表2.1。</w:t>
      </w:r>
    </w:p>
    <w:p>
      <w:pPr>
        <w:spacing w:line="360" w:lineRule="auto"/>
        <w:jc w:val="center"/>
        <w:rPr>
          <w:rFonts w:ascii="宋体" w:hAnsi="宋体"/>
          <w:color w:val="auto"/>
          <w:szCs w:val="21"/>
          <w:highlight w:val="none"/>
        </w:rPr>
      </w:pPr>
      <w:r>
        <w:rPr>
          <w:rFonts w:hint="eastAsia" w:ascii="宋体" w:hAnsi="宋体"/>
          <w:color w:val="auto"/>
          <w:szCs w:val="21"/>
          <w:highlight w:val="none"/>
        </w:rPr>
        <w:t>表2.1供货范围及物资需求一览表★</w:t>
      </w:r>
    </w:p>
    <w:tbl>
      <w:tblPr>
        <w:tblStyle w:val="39"/>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Layout w:type="fixed"/>
        <w:tblCellMar>
          <w:top w:w="0" w:type="dxa"/>
          <w:left w:w="108" w:type="dxa"/>
          <w:bottom w:w="0" w:type="dxa"/>
          <w:right w:w="108" w:type="dxa"/>
        </w:tblCellMar>
      </w:tblPr>
      <w:tblGrid>
        <w:gridCol w:w="528"/>
        <w:gridCol w:w="1436"/>
        <w:gridCol w:w="1323"/>
        <w:gridCol w:w="2078"/>
        <w:gridCol w:w="719"/>
        <w:gridCol w:w="443"/>
        <w:gridCol w:w="870"/>
        <w:gridCol w:w="1119"/>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897" w:hRule="atLeast"/>
          <w:tblHeader/>
        </w:trPr>
        <w:tc>
          <w:tcPr>
            <w:tcW w:w="528" w:type="dxa"/>
            <w:shd w:val="clear" w:color="auto" w:fill="FFFFFF"/>
            <w:vAlign w:val="center"/>
          </w:tcPr>
          <w:p>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序号</w:t>
            </w:r>
          </w:p>
        </w:tc>
        <w:tc>
          <w:tcPr>
            <w:tcW w:w="1436" w:type="dxa"/>
            <w:shd w:val="clear" w:color="auto" w:fill="FFFFFF"/>
            <w:vAlign w:val="center"/>
          </w:tcPr>
          <w:p>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物资编码</w:t>
            </w:r>
          </w:p>
        </w:tc>
        <w:tc>
          <w:tcPr>
            <w:tcW w:w="1323" w:type="dxa"/>
            <w:shd w:val="clear" w:color="auto" w:fill="FFFFFF"/>
            <w:vAlign w:val="center"/>
          </w:tcPr>
          <w:p>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物资名称</w:t>
            </w:r>
          </w:p>
        </w:tc>
        <w:tc>
          <w:tcPr>
            <w:tcW w:w="2078" w:type="dxa"/>
            <w:shd w:val="clear" w:color="auto" w:fill="FFFFFF"/>
            <w:vAlign w:val="center"/>
          </w:tcPr>
          <w:p>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规格型号</w:t>
            </w:r>
          </w:p>
        </w:tc>
        <w:tc>
          <w:tcPr>
            <w:tcW w:w="719" w:type="dxa"/>
            <w:shd w:val="clear" w:color="auto" w:fill="FFFFFF"/>
            <w:vAlign w:val="center"/>
          </w:tcPr>
          <w:p>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单位</w:t>
            </w:r>
          </w:p>
        </w:tc>
        <w:tc>
          <w:tcPr>
            <w:tcW w:w="443" w:type="dxa"/>
            <w:shd w:val="clear" w:color="auto" w:fill="FFFFFF"/>
            <w:vAlign w:val="center"/>
          </w:tcPr>
          <w:p>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数量</w:t>
            </w:r>
          </w:p>
        </w:tc>
        <w:tc>
          <w:tcPr>
            <w:tcW w:w="870" w:type="dxa"/>
            <w:shd w:val="clear" w:color="auto" w:fill="FFFFFF"/>
            <w:vAlign w:val="center"/>
          </w:tcPr>
          <w:p>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样品要求</w:t>
            </w:r>
          </w:p>
        </w:tc>
        <w:tc>
          <w:tcPr>
            <w:tcW w:w="1119" w:type="dxa"/>
            <w:shd w:val="clear" w:color="auto" w:fill="FFFFFF"/>
            <w:vAlign w:val="center"/>
          </w:tcPr>
          <w:p>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承诺供货周期（自然日）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685" w:hRule="atLeast"/>
          <w:tblHeader/>
        </w:trPr>
        <w:tc>
          <w:tcPr>
            <w:tcW w:w="528" w:type="dxa"/>
            <w:shd w:val="clear" w:color="auto" w:fill="FFFFFF"/>
            <w:vAlign w:val="center"/>
          </w:tcPr>
          <w:p>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1436" w:type="dxa"/>
            <w:shd w:val="clear" w:color="auto" w:fill="FFFFFF"/>
            <w:vAlign w:val="center"/>
          </w:tcPr>
          <w:p>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lang w:bidi="ar"/>
              </w:rPr>
              <w:t>060001100789</w:t>
            </w:r>
          </w:p>
        </w:tc>
        <w:tc>
          <w:tcPr>
            <w:tcW w:w="1323" w:type="dxa"/>
            <w:shd w:val="clear" w:color="auto" w:fill="FFFFFF"/>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绝缘操作杆400V</w:t>
            </w:r>
          </w:p>
        </w:tc>
        <w:tc>
          <w:tcPr>
            <w:tcW w:w="2078" w:type="dxa"/>
            <w:shd w:val="clear" w:color="auto" w:fill="FFFFFF"/>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400V，棒长1.5m×4 节，直径 32mm，杆头可根据T 型、H 型等不同用途搭配（合同内明确）</w:t>
            </w:r>
          </w:p>
        </w:tc>
        <w:tc>
          <w:tcPr>
            <w:tcW w:w="719" w:type="dxa"/>
            <w:shd w:val="clear" w:color="auto" w:fill="FFFFFF"/>
            <w:vAlign w:val="center"/>
          </w:tcPr>
          <w:p>
            <w:pPr>
              <w:jc w:val="center"/>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套</w:t>
            </w:r>
          </w:p>
        </w:tc>
        <w:tc>
          <w:tcPr>
            <w:tcW w:w="443" w:type="dxa"/>
            <w:shd w:val="clear" w:color="auto" w:fill="FFFFFF"/>
            <w:vAlign w:val="center"/>
          </w:tcPr>
          <w:p>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870" w:type="dxa"/>
            <w:shd w:val="clear" w:color="auto" w:fill="FFFFFF"/>
            <w:vAlign w:val="center"/>
          </w:tcPr>
          <w:p>
            <w:pPr>
              <w:widowControl/>
              <w:jc w:val="center"/>
              <w:rPr>
                <w:rFonts w:hint="eastAsia"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无</w:t>
            </w:r>
          </w:p>
        </w:tc>
        <w:tc>
          <w:tcPr>
            <w:tcW w:w="1119" w:type="dxa"/>
            <w:shd w:val="clear" w:color="auto" w:fill="FFFFFF"/>
            <w:vAlign w:val="center"/>
          </w:tcPr>
          <w:p>
            <w:pPr>
              <w:widowControl/>
              <w:jc w:val="center"/>
              <w:rPr>
                <w:rFonts w:hint="eastAsia" w:ascii="宋体" w:hAnsi="宋体" w:eastAsia="宋体" w:cs="宋体"/>
                <w:color w:val="auto"/>
                <w:kern w:val="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2097" w:hRule="atLeast"/>
          <w:tblHeader/>
        </w:trPr>
        <w:tc>
          <w:tcPr>
            <w:tcW w:w="528" w:type="dxa"/>
            <w:shd w:val="clear" w:color="auto" w:fill="FFFFFF"/>
            <w:vAlign w:val="center"/>
          </w:tcPr>
          <w:p>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1436" w:type="dxa"/>
            <w:shd w:val="clear" w:color="auto" w:fill="FFFFFF"/>
            <w:vAlign w:val="center"/>
          </w:tcPr>
          <w:p>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lang w:bidi="ar"/>
              </w:rPr>
              <w:t>060001100790</w:t>
            </w:r>
          </w:p>
        </w:tc>
        <w:tc>
          <w:tcPr>
            <w:tcW w:w="1323" w:type="dxa"/>
            <w:shd w:val="clear" w:color="auto" w:fill="FFFFFF"/>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绝缘操作杆10kV</w:t>
            </w:r>
          </w:p>
        </w:tc>
        <w:tc>
          <w:tcPr>
            <w:tcW w:w="2078" w:type="dxa"/>
            <w:shd w:val="clear" w:color="auto" w:fill="FFFFFF"/>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10kV，棒长1.5m×4 节，直径 32mm，杆头可根据T 型、H 型等不同用途搭配（合同内明确）</w:t>
            </w:r>
          </w:p>
        </w:tc>
        <w:tc>
          <w:tcPr>
            <w:tcW w:w="719" w:type="dxa"/>
            <w:shd w:val="clear" w:color="auto" w:fill="FFFFFF"/>
            <w:vAlign w:val="center"/>
          </w:tcPr>
          <w:p>
            <w:pPr>
              <w:jc w:val="center"/>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套</w:t>
            </w:r>
          </w:p>
        </w:tc>
        <w:tc>
          <w:tcPr>
            <w:tcW w:w="443" w:type="dxa"/>
            <w:shd w:val="clear" w:color="auto" w:fill="FFFFFF"/>
            <w:vAlign w:val="center"/>
          </w:tcPr>
          <w:p>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870" w:type="dxa"/>
            <w:shd w:val="clear" w:color="auto" w:fill="FFFFFF"/>
            <w:vAlign w:val="center"/>
          </w:tcPr>
          <w:p>
            <w:pPr>
              <w:widowControl/>
              <w:jc w:val="center"/>
              <w:rPr>
                <w:rFonts w:hint="eastAsia"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无</w:t>
            </w:r>
          </w:p>
        </w:tc>
        <w:tc>
          <w:tcPr>
            <w:tcW w:w="1119" w:type="dxa"/>
            <w:shd w:val="clear" w:color="auto" w:fill="FFFFFF"/>
            <w:vAlign w:val="center"/>
          </w:tcPr>
          <w:p>
            <w:pPr>
              <w:widowControl/>
              <w:jc w:val="center"/>
              <w:rPr>
                <w:rFonts w:hint="eastAsia" w:ascii="宋体" w:hAnsi="宋体" w:eastAsia="宋体" w:cs="宋体"/>
                <w:color w:val="auto"/>
                <w:kern w:val="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2181" w:hRule="atLeast"/>
          <w:tblHeader/>
        </w:trPr>
        <w:tc>
          <w:tcPr>
            <w:tcW w:w="528" w:type="dxa"/>
            <w:shd w:val="clear" w:color="auto" w:fill="FFFFFF"/>
            <w:vAlign w:val="center"/>
          </w:tcPr>
          <w:p>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c>
          <w:tcPr>
            <w:tcW w:w="1436" w:type="dxa"/>
            <w:shd w:val="clear" w:color="auto" w:fill="FFFFFF"/>
            <w:vAlign w:val="center"/>
          </w:tcPr>
          <w:p>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lang w:bidi="ar"/>
              </w:rPr>
              <w:t>060001100791</w:t>
            </w:r>
          </w:p>
        </w:tc>
        <w:tc>
          <w:tcPr>
            <w:tcW w:w="1323" w:type="dxa"/>
            <w:shd w:val="clear" w:color="auto" w:fill="FFFFFF"/>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绝缘操作杆35kV</w:t>
            </w:r>
          </w:p>
        </w:tc>
        <w:tc>
          <w:tcPr>
            <w:tcW w:w="2078" w:type="dxa"/>
            <w:shd w:val="clear" w:color="auto" w:fill="FFFFFF"/>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35kV，棒长1.5m×4 节，直径 32mm，杆头可根据T 型、H 型等不同用途搭配（合同内明确）</w:t>
            </w:r>
          </w:p>
        </w:tc>
        <w:tc>
          <w:tcPr>
            <w:tcW w:w="719" w:type="dxa"/>
            <w:shd w:val="clear" w:color="auto" w:fill="FFFFFF"/>
            <w:vAlign w:val="center"/>
          </w:tcPr>
          <w:p>
            <w:pPr>
              <w:jc w:val="center"/>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套</w:t>
            </w:r>
          </w:p>
        </w:tc>
        <w:tc>
          <w:tcPr>
            <w:tcW w:w="443" w:type="dxa"/>
            <w:shd w:val="clear" w:color="auto" w:fill="FFFFFF"/>
            <w:vAlign w:val="center"/>
          </w:tcPr>
          <w:p>
            <w:pPr>
              <w:widowControl/>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val="en-US" w:eastAsia="zh-CN"/>
              </w:rPr>
              <w:t>2</w:t>
            </w:r>
          </w:p>
        </w:tc>
        <w:tc>
          <w:tcPr>
            <w:tcW w:w="870" w:type="dxa"/>
            <w:shd w:val="clear" w:color="auto" w:fill="FFFFFF"/>
            <w:vAlign w:val="center"/>
          </w:tcPr>
          <w:p>
            <w:pPr>
              <w:widowControl/>
              <w:jc w:val="center"/>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无</w:t>
            </w:r>
          </w:p>
        </w:tc>
        <w:tc>
          <w:tcPr>
            <w:tcW w:w="1119" w:type="dxa"/>
            <w:shd w:val="clear" w:color="auto" w:fill="FFFFFF"/>
            <w:vAlign w:val="center"/>
          </w:tcPr>
          <w:p>
            <w:pPr>
              <w:widowControl/>
              <w:jc w:val="center"/>
              <w:rPr>
                <w:rFonts w:hint="eastAsia" w:ascii="宋体" w:hAnsi="宋体" w:eastAsia="宋体" w:cs="宋体"/>
                <w:color w:val="auto"/>
                <w:kern w:val="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2201" w:hRule="atLeast"/>
          <w:tblHeader/>
        </w:trPr>
        <w:tc>
          <w:tcPr>
            <w:tcW w:w="528" w:type="dxa"/>
            <w:shd w:val="clear" w:color="auto" w:fill="FFFFFF"/>
            <w:vAlign w:val="center"/>
          </w:tcPr>
          <w:p>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p>
        </w:tc>
        <w:tc>
          <w:tcPr>
            <w:tcW w:w="1436" w:type="dxa"/>
            <w:shd w:val="clear" w:color="auto" w:fill="FFFFFF"/>
            <w:vAlign w:val="center"/>
          </w:tcPr>
          <w:p>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lang w:bidi="ar"/>
              </w:rPr>
              <w:t>060001100792</w:t>
            </w:r>
          </w:p>
        </w:tc>
        <w:tc>
          <w:tcPr>
            <w:tcW w:w="1323" w:type="dxa"/>
            <w:shd w:val="clear" w:color="auto" w:fill="FFFFFF"/>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绝缘操作杆220kV</w:t>
            </w:r>
          </w:p>
        </w:tc>
        <w:tc>
          <w:tcPr>
            <w:tcW w:w="2078" w:type="dxa"/>
            <w:shd w:val="clear" w:color="auto" w:fill="FFFFFF"/>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220kV，棒长1.5m×4 节，直径 32mm，杆头可根据T 型、H 型等不同用途搭配（合同内明确）</w:t>
            </w:r>
          </w:p>
        </w:tc>
        <w:tc>
          <w:tcPr>
            <w:tcW w:w="719" w:type="dxa"/>
            <w:shd w:val="clear" w:color="auto" w:fill="FFFFFF"/>
            <w:vAlign w:val="center"/>
          </w:tcPr>
          <w:p>
            <w:pPr>
              <w:jc w:val="center"/>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套</w:t>
            </w:r>
          </w:p>
        </w:tc>
        <w:tc>
          <w:tcPr>
            <w:tcW w:w="443" w:type="dxa"/>
            <w:shd w:val="clear" w:color="auto" w:fill="FFFFFF"/>
            <w:vAlign w:val="center"/>
          </w:tcPr>
          <w:p>
            <w:pPr>
              <w:widowControl/>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val="en-US" w:eastAsia="zh-CN"/>
              </w:rPr>
              <w:t>2</w:t>
            </w:r>
          </w:p>
        </w:tc>
        <w:tc>
          <w:tcPr>
            <w:tcW w:w="870" w:type="dxa"/>
            <w:shd w:val="clear" w:color="auto" w:fill="FFFFFF"/>
            <w:vAlign w:val="center"/>
          </w:tcPr>
          <w:p>
            <w:pPr>
              <w:widowControl/>
              <w:jc w:val="center"/>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无</w:t>
            </w:r>
          </w:p>
        </w:tc>
        <w:tc>
          <w:tcPr>
            <w:tcW w:w="1119" w:type="dxa"/>
            <w:shd w:val="clear" w:color="auto" w:fill="FFFFFF"/>
            <w:vAlign w:val="center"/>
          </w:tcPr>
          <w:p>
            <w:pPr>
              <w:widowControl/>
              <w:jc w:val="center"/>
              <w:rPr>
                <w:rFonts w:hint="eastAsia" w:ascii="宋体" w:hAnsi="宋体" w:eastAsia="宋体" w:cs="宋体"/>
                <w:color w:val="auto"/>
                <w:kern w:val="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3185" w:hRule="atLeast"/>
          <w:tblHeader/>
        </w:trPr>
        <w:tc>
          <w:tcPr>
            <w:tcW w:w="528" w:type="dxa"/>
            <w:shd w:val="clear" w:color="auto" w:fill="FFFFFF"/>
            <w:vAlign w:val="center"/>
          </w:tcPr>
          <w:p>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1436" w:type="dxa"/>
            <w:shd w:val="clear" w:color="auto" w:fill="FFFFFF"/>
            <w:vAlign w:val="center"/>
          </w:tcPr>
          <w:p>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 w:val="20"/>
                <w:szCs w:val="20"/>
                <w:highlight w:val="none"/>
                <w:lang w:bidi="ar"/>
              </w:rPr>
              <w:t>060001100793</w:t>
            </w:r>
          </w:p>
        </w:tc>
        <w:tc>
          <w:tcPr>
            <w:tcW w:w="1323" w:type="dxa"/>
            <w:shd w:val="clear" w:color="auto" w:fill="FFFFFF"/>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绝缘操作杆500kV</w:t>
            </w:r>
          </w:p>
        </w:tc>
        <w:tc>
          <w:tcPr>
            <w:tcW w:w="2078" w:type="dxa"/>
            <w:shd w:val="clear" w:color="auto" w:fill="FFFFFF"/>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500kV，棒长2m×4 节，直径 32mm，杆头可根据T 型、H 型等不同用途搭配（合同内明确）</w:t>
            </w:r>
          </w:p>
        </w:tc>
        <w:tc>
          <w:tcPr>
            <w:tcW w:w="719" w:type="dxa"/>
            <w:shd w:val="clear" w:color="auto" w:fill="FFFFFF"/>
            <w:vAlign w:val="center"/>
          </w:tcPr>
          <w:p>
            <w:pPr>
              <w:jc w:val="center"/>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套</w:t>
            </w:r>
          </w:p>
        </w:tc>
        <w:tc>
          <w:tcPr>
            <w:tcW w:w="443" w:type="dxa"/>
            <w:shd w:val="clear" w:color="auto" w:fill="FFFFFF"/>
            <w:vAlign w:val="center"/>
          </w:tcPr>
          <w:p>
            <w:pPr>
              <w:widowControl/>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val="en-US" w:eastAsia="zh-CN"/>
              </w:rPr>
              <w:t>2</w:t>
            </w:r>
          </w:p>
        </w:tc>
        <w:tc>
          <w:tcPr>
            <w:tcW w:w="870" w:type="dxa"/>
            <w:shd w:val="clear" w:color="auto" w:fill="FFFFFF"/>
            <w:vAlign w:val="center"/>
          </w:tcPr>
          <w:p>
            <w:pPr>
              <w:widowControl/>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val="en-US" w:eastAsia="zh-CN"/>
              </w:rPr>
              <w:t>无</w:t>
            </w:r>
          </w:p>
        </w:tc>
        <w:tc>
          <w:tcPr>
            <w:tcW w:w="1119" w:type="dxa"/>
            <w:shd w:val="clear" w:color="auto" w:fill="FFFFFF"/>
            <w:vAlign w:val="center"/>
          </w:tcPr>
          <w:p>
            <w:pPr>
              <w:widowControl/>
              <w:jc w:val="center"/>
              <w:rPr>
                <w:rFonts w:hint="eastAsia" w:ascii="宋体" w:hAnsi="宋体" w:eastAsia="宋体" w:cs="宋体"/>
                <w:color w:val="auto"/>
                <w:kern w:val="0"/>
                <w:szCs w:val="21"/>
                <w:highlight w:val="none"/>
              </w:rPr>
            </w:pPr>
          </w:p>
        </w:tc>
      </w:tr>
    </w:tbl>
    <w:p>
      <w:pPr>
        <w:pStyle w:val="79"/>
        <w:adjustRightInd w:val="0"/>
        <w:snapToGrid w:val="0"/>
        <w:spacing w:line="360" w:lineRule="auto"/>
        <w:ind w:firstLine="0" w:firstLineChars="0"/>
        <w:rPr>
          <w:rFonts w:hint="eastAsia" w:ascii="宋体" w:hAnsi="宋体" w:eastAsia="宋体"/>
          <w:color w:val="auto"/>
          <w:kern w:val="0"/>
          <w:szCs w:val="21"/>
          <w:highlight w:val="none"/>
        </w:rPr>
      </w:pPr>
      <w:r>
        <w:rPr>
          <w:rFonts w:hint="eastAsia" w:ascii="宋体" w:hAnsi="宋体" w:eastAsia="宋体"/>
          <w:color w:val="auto"/>
          <w:kern w:val="0"/>
          <w:szCs w:val="21"/>
          <w:highlight w:val="none"/>
        </w:rPr>
        <w:t>表格备注：承诺供货周期：自接到供货通知开始至物资送达指定地点的时间。</w:t>
      </w:r>
    </w:p>
    <w:p>
      <w:pPr>
        <w:pStyle w:val="79"/>
        <w:adjustRightInd w:val="0"/>
        <w:snapToGrid w:val="0"/>
        <w:spacing w:line="360" w:lineRule="auto"/>
        <w:ind w:firstLine="0" w:firstLineChars="0"/>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2.4</w:t>
      </w:r>
      <w:r>
        <w:rPr>
          <w:rFonts w:hint="eastAsia" w:ascii="宋体" w:hAnsi="宋体" w:eastAsia="宋体"/>
          <w:color w:val="auto"/>
          <w:szCs w:val="21"/>
          <w:highlight w:val="none"/>
        </w:rPr>
        <w:t>配置表</w:t>
      </w:r>
    </w:p>
    <w:p>
      <w:pPr>
        <w:spacing w:line="360" w:lineRule="auto"/>
        <w:ind w:firstLine="2835" w:firstLineChars="1350"/>
        <w:rPr>
          <w:rFonts w:ascii="宋体" w:hAnsi="宋体" w:cs="宋体"/>
          <w:bCs/>
          <w:color w:val="auto"/>
          <w:szCs w:val="21"/>
          <w:highlight w:val="none"/>
        </w:rPr>
      </w:pPr>
      <w:r>
        <w:rPr>
          <w:rFonts w:hint="eastAsia" w:ascii="宋体" w:hAnsi="宋体" w:cs="宋体"/>
          <w:bCs/>
          <w:color w:val="auto"/>
          <w:szCs w:val="21"/>
          <w:highlight w:val="none"/>
        </w:rPr>
        <w:t>表2.2物资配置一览表</w:t>
      </w:r>
    </w:p>
    <w:p>
      <w:pPr>
        <w:spacing w:line="360" w:lineRule="auto"/>
        <w:ind w:firstLine="2835" w:firstLineChars="1350"/>
        <w:rPr>
          <w:rFonts w:hint="eastAsia" w:ascii="宋体" w:hAnsi="宋体" w:cs="宋体"/>
          <w:color w:val="auto"/>
          <w:szCs w:val="21"/>
          <w:highlight w:val="none"/>
        </w:rPr>
      </w:pPr>
      <w:r>
        <w:rPr>
          <w:rFonts w:ascii="宋体" w:hAnsi="宋体" w:cs="宋体"/>
          <w:bCs/>
          <w:color w:val="auto"/>
          <w:szCs w:val="21"/>
          <w:highlight w:val="none"/>
        </w:rPr>
        <w:br w:type="page"/>
      </w:r>
    </w:p>
    <w:tbl>
      <w:tblPr>
        <w:tblStyle w:val="39"/>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Layout w:type="fixed"/>
        <w:tblCellMar>
          <w:top w:w="0" w:type="dxa"/>
          <w:left w:w="108" w:type="dxa"/>
          <w:bottom w:w="0" w:type="dxa"/>
          <w:right w:w="108" w:type="dxa"/>
        </w:tblCellMar>
      </w:tblPr>
      <w:tblGrid>
        <w:gridCol w:w="546"/>
        <w:gridCol w:w="913"/>
        <w:gridCol w:w="907"/>
        <w:gridCol w:w="910"/>
        <w:gridCol w:w="571"/>
        <w:gridCol w:w="885"/>
        <w:gridCol w:w="1033"/>
        <w:gridCol w:w="507"/>
        <w:gridCol w:w="508"/>
        <w:gridCol w:w="508"/>
        <w:gridCol w:w="610"/>
        <w:gridCol w:w="61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405" w:hRule="atLeast"/>
          <w:tblHeader/>
        </w:trPr>
        <w:tc>
          <w:tcPr>
            <w:tcW w:w="546" w:type="dxa"/>
            <w:vMerge w:val="restart"/>
            <w:shd w:val="clear" w:color="auto" w:fill="FFFFFF"/>
            <w:vAlign w:val="center"/>
          </w:tcPr>
          <w:p>
            <w:pPr>
              <w:widowControl/>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序号</w:t>
            </w:r>
          </w:p>
        </w:tc>
        <w:tc>
          <w:tcPr>
            <w:tcW w:w="913" w:type="dxa"/>
            <w:vMerge w:val="restart"/>
            <w:shd w:val="clear" w:color="auto" w:fill="FFFFFF"/>
            <w:vAlign w:val="center"/>
          </w:tcPr>
          <w:p>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物资</w:t>
            </w:r>
          </w:p>
          <w:p>
            <w:pPr>
              <w:widowControl/>
              <w:jc w:val="center"/>
              <w:rPr>
                <w:rFonts w:hint="eastAsia" w:ascii="宋体" w:hAnsi="宋体" w:cs="宋体"/>
                <w:color w:val="auto"/>
                <w:kern w:val="0"/>
                <w:szCs w:val="21"/>
                <w:highlight w:val="none"/>
              </w:rPr>
            </w:pPr>
            <w:r>
              <w:rPr>
                <w:rFonts w:ascii="宋体" w:hAnsi="宋体" w:cs="宋体"/>
                <w:color w:val="auto"/>
                <w:kern w:val="0"/>
                <w:szCs w:val="21"/>
                <w:highlight w:val="none"/>
              </w:rPr>
              <w:t>编码</w:t>
            </w:r>
          </w:p>
        </w:tc>
        <w:tc>
          <w:tcPr>
            <w:tcW w:w="907" w:type="dxa"/>
            <w:vMerge w:val="restart"/>
            <w:shd w:val="clear" w:color="auto" w:fill="FFFFFF"/>
            <w:vAlign w:val="center"/>
          </w:tcPr>
          <w:p>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物资</w:t>
            </w:r>
          </w:p>
          <w:p>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名称</w:t>
            </w:r>
          </w:p>
        </w:tc>
        <w:tc>
          <w:tcPr>
            <w:tcW w:w="910" w:type="dxa"/>
            <w:vMerge w:val="restart"/>
            <w:shd w:val="clear" w:color="auto" w:fill="FFFFFF"/>
            <w:vAlign w:val="center"/>
          </w:tcPr>
          <w:p>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规格</w:t>
            </w:r>
          </w:p>
          <w:p>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型号</w:t>
            </w:r>
          </w:p>
        </w:tc>
        <w:tc>
          <w:tcPr>
            <w:tcW w:w="5240" w:type="dxa"/>
            <w:gridSpan w:val="8"/>
            <w:shd w:val="clear" w:color="auto" w:fill="FFFFFF"/>
          </w:tcPr>
          <w:p>
            <w:pPr>
              <w:widowControl/>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配置</w:t>
            </w:r>
            <w:r>
              <w:rPr>
                <w:rFonts w:ascii="宋体" w:hAnsi="宋体" w:cs="宋体"/>
                <w:color w:val="auto"/>
                <w:kern w:val="0"/>
                <w:szCs w:val="21"/>
                <w:highlight w:val="none"/>
              </w:rPr>
              <w:t>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5" w:hRule="atLeast"/>
          <w:tblHeader/>
        </w:trPr>
        <w:tc>
          <w:tcPr>
            <w:tcW w:w="546" w:type="dxa"/>
            <w:vMerge w:val="continue"/>
            <w:shd w:val="clear" w:color="auto" w:fill="FFFFFF"/>
            <w:vAlign w:val="center"/>
          </w:tcPr>
          <w:p>
            <w:pPr>
              <w:widowControl/>
              <w:jc w:val="center"/>
              <w:rPr>
                <w:rFonts w:hint="eastAsia" w:ascii="宋体" w:hAnsi="宋体" w:cs="宋体"/>
                <w:color w:val="auto"/>
                <w:kern w:val="0"/>
                <w:szCs w:val="21"/>
                <w:highlight w:val="none"/>
              </w:rPr>
            </w:pPr>
          </w:p>
        </w:tc>
        <w:tc>
          <w:tcPr>
            <w:tcW w:w="913" w:type="dxa"/>
            <w:vMerge w:val="continue"/>
            <w:shd w:val="clear" w:color="auto" w:fill="FFFFFF"/>
            <w:vAlign w:val="center"/>
          </w:tcPr>
          <w:p>
            <w:pPr>
              <w:widowControl/>
              <w:jc w:val="center"/>
              <w:rPr>
                <w:rFonts w:hint="eastAsia" w:ascii="宋体" w:hAnsi="宋体" w:cs="宋体"/>
                <w:color w:val="auto"/>
                <w:kern w:val="0"/>
                <w:szCs w:val="21"/>
                <w:highlight w:val="none"/>
              </w:rPr>
            </w:pPr>
          </w:p>
        </w:tc>
        <w:tc>
          <w:tcPr>
            <w:tcW w:w="907" w:type="dxa"/>
            <w:vMerge w:val="continue"/>
            <w:shd w:val="clear" w:color="auto" w:fill="FFFFFF"/>
            <w:vAlign w:val="center"/>
          </w:tcPr>
          <w:p>
            <w:pPr>
              <w:widowControl/>
              <w:jc w:val="center"/>
              <w:rPr>
                <w:rFonts w:hint="eastAsia" w:ascii="宋体" w:hAnsi="宋体" w:cs="宋体"/>
                <w:color w:val="auto"/>
                <w:kern w:val="0"/>
                <w:szCs w:val="21"/>
                <w:highlight w:val="none"/>
              </w:rPr>
            </w:pPr>
          </w:p>
        </w:tc>
        <w:tc>
          <w:tcPr>
            <w:tcW w:w="910" w:type="dxa"/>
            <w:vMerge w:val="continue"/>
            <w:shd w:val="clear" w:color="auto" w:fill="FFFFFF"/>
            <w:vAlign w:val="center"/>
          </w:tcPr>
          <w:p>
            <w:pPr>
              <w:widowControl/>
              <w:jc w:val="center"/>
              <w:rPr>
                <w:rFonts w:hint="eastAsia" w:ascii="宋体" w:hAnsi="宋体" w:cs="宋体"/>
                <w:color w:val="auto"/>
                <w:kern w:val="0"/>
                <w:szCs w:val="21"/>
                <w:highlight w:val="none"/>
              </w:rPr>
            </w:pPr>
          </w:p>
        </w:tc>
        <w:tc>
          <w:tcPr>
            <w:tcW w:w="571" w:type="dxa"/>
            <w:shd w:val="clear" w:color="auto" w:fill="FFFFFF"/>
            <w:vAlign w:val="center"/>
          </w:tcPr>
          <w:p>
            <w:pPr>
              <w:widowControl/>
              <w:jc w:val="center"/>
              <w:rPr>
                <w:rFonts w:ascii="宋体" w:hAnsi="宋体"/>
                <w:color w:val="auto"/>
                <w:kern w:val="0"/>
                <w:szCs w:val="21"/>
                <w:highlight w:val="none"/>
              </w:rPr>
            </w:pPr>
            <w:r>
              <w:rPr>
                <w:rFonts w:hint="eastAsia" w:ascii="宋体" w:hAnsi="宋体"/>
                <w:color w:val="auto"/>
                <w:szCs w:val="21"/>
                <w:highlight w:val="none"/>
              </w:rPr>
              <w:t>序号</w:t>
            </w:r>
          </w:p>
        </w:tc>
        <w:tc>
          <w:tcPr>
            <w:tcW w:w="885" w:type="dxa"/>
            <w:shd w:val="clear" w:color="auto" w:fill="FFFFFF"/>
            <w:vAlign w:val="center"/>
          </w:tcPr>
          <w:p>
            <w:pPr>
              <w:jc w:val="center"/>
              <w:rPr>
                <w:rFonts w:hint="eastAsia" w:ascii="宋体" w:hAnsi="宋体"/>
                <w:color w:val="auto"/>
                <w:szCs w:val="21"/>
                <w:highlight w:val="none"/>
              </w:rPr>
            </w:pPr>
            <w:r>
              <w:rPr>
                <w:rFonts w:hint="eastAsia" w:ascii="宋体" w:hAnsi="宋体"/>
                <w:color w:val="auto"/>
                <w:szCs w:val="21"/>
                <w:highlight w:val="none"/>
              </w:rPr>
              <w:t>配件编码</w:t>
            </w:r>
          </w:p>
        </w:tc>
        <w:tc>
          <w:tcPr>
            <w:tcW w:w="1033" w:type="dxa"/>
            <w:shd w:val="clear" w:color="auto" w:fill="FFFFFF"/>
            <w:vAlign w:val="center"/>
          </w:tcPr>
          <w:p>
            <w:pPr>
              <w:jc w:val="center"/>
              <w:rPr>
                <w:rFonts w:hint="eastAsia" w:ascii="宋体" w:hAnsi="宋体"/>
                <w:color w:val="auto"/>
                <w:szCs w:val="21"/>
                <w:highlight w:val="none"/>
              </w:rPr>
            </w:pPr>
            <w:r>
              <w:rPr>
                <w:rFonts w:hint="eastAsia" w:ascii="宋体" w:hAnsi="宋体"/>
                <w:color w:val="auto"/>
                <w:szCs w:val="21"/>
                <w:highlight w:val="none"/>
              </w:rPr>
              <w:t>配件名称</w:t>
            </w:r>
          </w:p>
        </w:tc>
        <w:tc>
          <w:tcPr>
            <w:tcW w:w="507" w:type="dxa"/>
            <w:shd w:val="clear" w:color="auto" w:fill="FFFFFF"/>
            <w:vAlign w:val="center"/>
          </w:tcPr>
          <w:p>
            <w:pPr>
              <w:jc w:val="center"/>
              <w:rPr>
                <w:rFonts w:hint="eastAsia" w:ascii="宋体" w:hAnsi="宋体"/>
                <w:color w:val="auto"/>
                <w:szCs w:val="21"/>
                <w:highlight w:val="none"/>
              </w:rPr>
            </w:pPr>
            <w:r>
              <w:rPr>
                <w:rFonts w:hint="eastAsia" w:ascii="宋体" w:hAnsi="宋体"/>
                <w:color w:val="auto"/>
                <w:szCs w:val="21"/>
                <w:highlight w:val="none"/>
              </w:rPr>
              <w:t>默认项</w:t>
            </w:r>
          </w:p>
        </w:tc>
        <w:tc>
          <w:tcPr>
            <w:tcW w:w="508" w:type="dxa"/>
            <w:shd w:val="clear" w:color="auto" w:fill="FFFFFF"/>
            <w:vAlign w:val="center"/>
          </w:tcPr>
          <w:p>
            <w:pPr>
              <w:jc w:val="center"/>
              <w:rPr>
                <w:rFonts w:hint="eastAsia" w:ascii="宋体" w:hAnsi="宋体"/>
                <w:color w:val="auto"/>
                <w:szCs w:val="21"/>
                <w:highlight w:val="none"/>
              </w:rPr>
            </w:pPr>
            <w:r>
              <w:rPr>
                <w:rFonts w:hint="eastAsia" w:ascii="宋体" w:hAnsi="宋体"/>
                <w:color w:val="auto"/>
                <w:szCs w:val="21"/>
                <w:highlight w:val="none"/>
              </w:rPr>
              <w:t>规格型号</w:t>
            </w:r>
          </w:p>
        </w:tc>
        <w:tc>
          <w:tcPr>
            <w:tcW w:w="508" w:type="dxa"/>
            <w:shd w:val="clear" w:color="auto" w:fill="FFFFFF"/>
            <w:vAlign w:val="center"/>
          </w:tcPr>
          <w:p>
            <w:pPr>
              <w:jc w:val="center"/>
              <w:rPr>
                <w:rFonts w:hint="eastAsia" w:ascii="宋体" w:hAnsi="宋体"/>
                <w:color w:val="auto"/>
                <w:szCs w:val="21"/>
                <w:highlight w:val="none"/>
              </w:rPr>
            </w:pPr>
            <w:r>
              <w:rPr>
                <w:rFonts w:hint="eastAsia" w:ascii="宋体" w:hAnsi="宋体"/>
                <w:color w:val="auto"/>
                <w:szCs w:val="21"/>
                <w:highlight w:val="none"/>
              </w:rPr>
              <w:t>单位</w:t>
            </w:r>
          </w:p>
        </w:tc>
        <w:tc>
          <w:tcPr>
            <w:tcW w:w="610" w:type="dxa"/>
            <w:shd w:val="clear" w:color="auto" w:fill="FFFFFF"/>
            <w:vAlign w:val="center"/>
          </w:tcPr>
          <w:p>
            <w:pPr>
              <w:jc w:val="center"/>
              <w:rPr>
                <w:rFonts w:hint="eastAsia" w:ascii="宋体" w:hAnsi="宋体"/>
                <w:color w:val="auto"/>
                <w:szCs w:val="21"/>
                <w:highlight w:val="none"/>
              </w:rPr>
            </w:pPr>
            <w:r>
              <w:rPr>
                <w:rFonts w:hint="eastAsia" w:ascii="宋体" w:hAnsi="宋体"/>
                <w:color w:val="auto"/>
                <w:szCs w:val="21"/>
                <w:highlight w:val="none"/>
              </w:rPr>
              <w:t>数量</w:t>
            </w:r>
          </w:p>
        </w:tc>
        <w:tc>
          <w:tcPr>
            <w:tcW w:w="618" w:type="dxa"/>
            <w:shd w:val="clear" w:color="auto" w:fill="FFFFFF"/>
            <w:vAlign w:val="center"/>
          </w:tcPr>
          <w:p>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5" w:hRule="atLeast"/>
          <w:tblHeader/>
        </w:trPr>
        <w:tc>
          <w:tcPr>
            <w:tcW w:w="546" w:type="dxa"/>
            <w:shd w:val="clear" w:color="auto" w:fill="FFFFFF"/>
            <w:vAlign w:val="center"/>
          </w:tcPr>
          <w:p>
            <w:pPr>
              <w:widowControl/>
              <w:jc w:val="center"/>
              <w:rPr>
                <w:rFonts w:hint="eastAsia"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1</w:t>
            </w:r>
          </w:p>
        </w:tc>
        <w:tc>
          <w:tcPr>
            <w:tcW w:w="913" w:type="dxa"/>
            <w:shd w:val="clear" w:color="auto" w:fill="FFFFFF"/>
            <w:vAlign w:val="center"/>
          </w:tcPr>
          <w:p>
            <w:pPr>
              <w:widowControl/>
              <w:jc w:val="center"/>
              <w:textAlignment w:val="center"/>
              <w:rPr>
                <w:rFonts w:hint="eastAsia" w:ascii="宋体" w:hAnsi="宋体"/>
                <w:color w:val="auto"/>
                <w:szCs w:val="21"/>
                <w:highlight w:val="none"/>
              </w:rPr>
            </w:pPr>
          </w:p>
        </w:tc>
        <w:tc>
          <w:tcPr>
            <w:tcW w:w="907" w:type="dxa"/>
            <w:shd w:val="clear" w:color="auto" w:fill="FFFFFF"/>
            <w:vAlign w:val="center"/>
          </w:tcPr>
          <w:p>
            <w:pPr>
              <w:jc w:val="center"/>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eastAsia="zh-CN"/>
              </w:rPr>
              <w:t>全部</w:t>
            </w:r>
          </w:p>
        </w:tc>
        <w:tc>
          <w:tcPr>
            <w:tcW w:w="910" w:type="dxa"/>
            <w:shd w:val="clear" w:color="auto" w:fill="FFFFFF"/>
            <w:vAlign w:val="center"/>
          </w:tcPr>
          <w:p>
            <w:pPr>
              <w:jc w:val="center"/>
              <w:rPr>
                <w:rFonts w:hint="eastAsia" w:ascii="宋体" w:hAnsi="宋体" w:cs="宋体"/>
                <w:color w:val="auto"/>
                <w:sz w:val="20"/>
                <w:szCs w:val="20"/>
                <w:highlight w:val="none"/>
              </w:rPr>
            </w:pPr>
          </w:p>
        </w:tc>
        <w:tc>
          <w:tcPr>
            <w:tcW w:w="571" w:type="dxa"/>
            <w:shd w:val="clear" w:color="auto" w:fill="FFFFFF"/>
            <w:vAlign w:val="center"/>
          </w:tcPr>
          <w:p>
            <w:pPr>
              <w:widowControl/>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1</w:t>
            </w:r>
          </w:p>
        </w:tc>
        <w:tc>
          <w:tcPr>
            <w:tcW w:w="885" w:type="dxa"/>
            <w:shd w:val="clear" w:color="auto" w:fill="FFFFFF"/>
            <w:vAlign w:val="center"/>
          </w:tcPr>
          <w:p>
            <w:pPr>
              <w:jc w:val="center"/>
              <w:rPr>
                <w:rFonts w:hint="eastAsia" w:ascii="宋体" w:hAnsi="宋体"/>
                <w:color w:val="auto"/>
                <w:szCs w:val="21"/>
                <w:highlight w:val="none"/>
              </w:rPr>
            </w:pPr>
          </w:p>
        </w:tc>
        <w:tc>
          <w:tcPr>
            <w:tcW w:w="1033" w:type="dxa"/>
            <w:shd w:val="clear" w:color="auto" w:fill="FFFFFF"/>
            <w:vAlign w:val="center"/>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防潮帆布</w:t>
            </w:r>
            <w:r>
              <w:rPr>
                <w:rFonts w:hint="eastAsia" w:ascii="宋体" w:hAnsi="宋体"/>
                <w:color w:val="auto"/>
                <w:szCs w:val="21"/>
                <w:highlight w:val="none"/>
              </w:rPr>
              <w:t>背包</w:t>
            </w:r>
            <w:r>
              <w:rPr>
                <w:rFonts w:hint="eastAsia" w:ascii="宋体" w:hAnsi="宋体"/>
                <w:color w:val="auto"/>
                <w:szCs w:val="21"/>
                <w:highlight w:val="none"/>
                <w:lang w:eastAsia="zh-CN"/>
              </w:rPr>
              <w:t>，带肩带</w:t>
            </w:r>
          </w:p>
        </w:tc>
        <w:tc>
          <w:tcPr>
            <w:tcW w:w="507" w:type="dxa"/>
            <w:shd w:val="clear" w:color="auto" w:fill="FFFFFF"/>
            <w:vAlign w:val="center"/>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否</w:t>
            </w:r>
          </w:p>
        </w:tc>
        <w:tc>
          <w:tcPr>
            <w:tcW w:w="508" w:type="dxa"/>
            <w:shd w:val="clear" w:color="auto" w:fill="FFFFFF"/>
            <w:vAlign w:val="center"/>
          </w:tcPr>
          <w:p>
            <w:pPr>
              <w:jc w:val="center"/>
              <w:rPr>
                <w:rFonts w:hint="eastAsia" w:ascii="宋体" w:hAnsi="宋体"/>
                <w:color w:val="auto"/>
                <w:szCs w:val="21"/>
                <w:highlight w:val="none"/>
              </w:rPr>
            </w:pPr>
          </w:p>
        </w:tc>
        <w:tc>
          <w:tcPr>
            <w:tcW w:w="508" w:type="dxa"/>
            <w:shd w:val="clear" w:color="auto" w:fill="FFFFFF"/>
            <w:vAlign w:val="center"/>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个</w:t>
            </w:r>
          </w:p>
        </w:tc>
        <w:tc>
          <w:tcPr>
            <w:tcW w:w="610" w:type="dxa"/>
            <w:shd w:val="clear" w:color="auto" w:fill="FFFFFF"/>
            <w:vAlign w:val="center"/>
          </w:tcPr>
          <w:p>
            <w:pPr>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1</w:t>
            </w:r>
          </w:p>
        </w:tc>
        <w:tc>
          <w:tcPr>
            <w:tcW w:w="618" w:type="dxa"/>
            <w:shd w:val="clear" w:color="auto" w:fill="FFFFFF"/>
            <w:vAlign w:val="center"/>
          </w:tcPr>
          <w:p>
            <w:pPr>
              <w:widowControl/>
              <w:jc w:val="center"/>
              <w:rPr>
                <w:rFonts w:hint="eastAsia" w:ascii="宋体" w:hAnsi="宋体" w:cs="宋体"/>
                <w:color w:val="auto"/>
                <w:kern w:val="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5" w:hRule="atLeast"/>
          <w:tblHeader/>
        </w:trPr>
        <w:tc>
          <w:tcPr>
            <w:tcW w:w="546" w:type="dxa"/>
            <w:shd w:val="clear" w:color="auto" w:fill="FFFFFF"/>
            <w:vAlign w:val="center"/>
          </w:tcPr>
          <w:p>
            <w:pPr>
              <w:widowControl/>
              <w:jc w:val="center"/>
              <w:rPr>
                <w:rFonts w:hint="eastAsia" w:ascii="宋体" w:hAnsi="宋体" w:cs="宋体"/>
                <w:color w:val="auto"/>
                <w:kern w:val="0"/>
                <w:szCs w:val="21"/>
                <w:highlight w:val="none"/>
              </w:rPr>
            </w:pPr>
          </w:p>
        </w:tc>
        <w:tc>
          <w:tcPr>
            <w:tcW w:w="913" w:type="dxa"/>
            <w:shd w:val="clear" w:color="auto" w:fill="FFFFFF"/>
            <w:vAlign w:val="center"/>
          </w:tcPr>
          <w:p>
            <w:pPr>
              <w:widowControl/>
              <w:jc w:val="center"/>
              <w:textAlignment w:val="center"/>
              <w:rPr>
                <w:rFonts w:hint="eastAsia" w:ascii="宋体" w:hAnsi="宋体"/>
                <w:color w:val="auto"/>
                <w:szCs w:val="21"/>
                <w:highlight w:val="none"/>
              </w:rPr>
            </w:pPr>
          </w:p>
        </w:tc>
        <w:tc>
          <w:tcPr>
            <w:tcW w:w="907" w:type="dxa"/>
            <w:shd w:val="clear" w:color="auto" w:fill="FFFFFF"/>
            <w:vAlign w:val="center"/>
          </w:tcPr>
          <w:p>
            <w:pPr>
              <w:jc w:val="center"/>
              <w:rPr>
                <w:rFonts w:hint="eastAsia" w:ascii="宋体" w:hAnsi="宋体" w:cs="宋体"/>
                <w:color w:val="auto"/>
                <w:sz w:val="20"/>
                <w:szCs w:val="20"/>
                <w:highlight w:val="none"/>
              </w:rPr>
            </w:pPr>
          </w:p>
        </w:tc>
        <w:tc>
          <w:tcPr>
            <w:tcW w:w="910" w:type="dxa"/>
            <w:shd w:val="clear" w:color="auto" w:fill="FFFFFF"/>
            <w:vAlign w:val="center"/>
          </w:tcPr>
          <w:p>
            <w:pPr>
              <w:jc w:val="center"/>
              <w:rPr>
                <w:rFonts w:hint="eastAsia" w:ascii="宋体" w:hAnsi="宋体" w:cs="宋体"/>
                <w:color w:val="auto"/>
                <w:sz w:val="20"/>
                <w:szCs w:val="20"/>
                <w:highlight w:val="none"/>
              </w:rPr>
            </w:pPr>
          </w:p>
        </w:tc>
        <w:tc>
          <w:tcPr>
            <w:tcW w:w="571" w:type="dxa"/>
            <w:shd w:val="clear" w:color="auto" w:fill="FFFFFF"/>
            <w:vAlign w:val="center"/>
          </w:tcPr>
          <w:p>
            <w:pPr>
              <w:widowControl/>
              <w:jc w:val="center"/>
              <w:rPr>
                <w:rFonts w:hint="eastAsia" w:ascii="宋体" w:hAnsi="宋体"/>
                <w:color w:val="auto"/>
                <w:szCs w:val="21"/>
                <w:highlight w:val="none"/>
              </w:rPr>
            </w:pPr>
          </w:p>
        </w:tc>
        <w:tc>
          <w:tcPr>
            <w:tcW w:w="885" w:type="dxa"/>
            <w:shd w:val="clear" w:color="auto" w:fill="FFFFFF"/>
            <w:vAlign w:val="center"/>
          </w:tcPr>
          <w:p>
            <w:pPr>
              <w:jc w:val="center"/>
              <w:rPr>
                <w:rFonts w:hint="eastAsia" w:ascii="宋体" w:hAnsi="宋体"/>
                <w:color w:val="auto"/>
                <w:szCs w:val="21"/>
                <w:highlight w:val="none"/>
              </w:rPr>
            </w:pPr>
          </w:p>
        </w:tc>
        <w:tc>
          <w:tcPr>
            <w:tcW w:w="1033" w:type="dxa"/>
            <w:shd w:val="clear" w:color="auto" w:fill="FFFFFF"/>
            <w:vAlign w:val="center"/>
          </w:tcPr>
          <w:p>
            <w:pPr>
              <w:jc w:val="center"/>
              <w:rPr>
                <w:rFonts w:hint="eastAsia" w:ascii="宋体" w:hAnsi="宋体"/>
                <w:color w:val="auto"/>
                <w:szCs w:val="21"/>
                <w:highlight w:val="none"/>
              </w:rPr>
            </w:pPr>
          </w:p>
        </w:tc>
        <w:tc>
          <w:tcPr>
            <w:tcW w:w="507" w:type="dxa"/>
            <w:shd w:val="clear" w:color="auto" w:fill="FFFFFF"/>
            <w:vAlign w:val="center"/>
          </w:tcPr>
          <w:p>
            <w:pPr>
              <w:jc w:val="center"/>
              <w:rPr>
                <w:rFonts w:hint="eastAsia" w:ascii="宋体" w:hAnsi="宋体"/>
                <w:color w:val="auto"/>
                <w:szCs w:val="21"/>
                <w:highlight w:val="none"/>
              </w:rPr>
            </w:pPr>
          </w:p>
        </w:tc>
        <w:tc>
          <w:tcPr>
            <w:tcW w:w="508" w:type="dxa"/>
            <w:shd w:val="clear" w:color="auto" w:fill="FFFFFF"/>
            <w:vAlign w:val="center"/>
          </w:tcPr>
          <w:p>
            <w:pPr>
              <w:jc w:val="center"/>
              <w:rPr>
                <w:rFonts w:hint="eastAsia" w:ascii="宋体" w:hAnsi="宋体"/>
                <w:color w:val="auto"/>
                <w:szCs w:val="21"/>
                <w:highlight w:val="none"/>
              </w:rPr>
            </w:pPr>
          </w:p>
        </w:tc>
        <w:tc>
          <w:tcPr>
            <w:tcW w:w="508" w:type="dxa"/>
            <w:shd w:val="clear" w:color="auto" w:fill="FFFFFF"/>
            <w:vAlign w:val="center"/>
          </w:tcPr>
          <w:p>
            <w:pPr>
              <w:jc w:val="center"/>
              <w:rPr>
                <w:rFonts w:hint="eastAsia" w:ascii="宋体" w:hAnsi="宋体"/>
                <w:color w:val="auto"/>
                <w:szCs w:val="21"/>
                <w:highlight w:val="none"/>
              </w:rPr>
            </w:pPr>
          </w:p>
        </w:tc>
        <w:tc>
          <w:tcPr>
            <w:tcW w:w="610" w:type="dxa"/>
            <w:shd w:val="clear" w:color="auto" w:fill="FFFFFF"/>
            <w:vAlign w:val="center"/>
          </w:tcPr>
          <w:p>
            <w:pPr>
              <w:jc w:val="center"/>
              <w:rPr>
                <w:rFonts w:hint="eastAsia" w:ascii="宋体" w:hAnsi="宋体"/>
                <w:color w:val="auto"/>
                <w:szCs w:val="21"/>
                <w:highlight w:val="none"/>
              </w:rPr>
            </w:pPr>
          </w:p>
        </w:tc>
        <w:tc>
          <w:tcPr>
            <w:tcW w:w="618" w:type="dxa"/>
            <w:shd w:val="clear" w:color="auto" w:fill="FFFFFF"/>
            <w:vAlign w:val="center"/>
          </w:tcPr>
          <w:p>
            <w:pPr>
              <w:widowControl/>
              <w:jc w:val="center"/>
              <w:rPr>
                <w:rFonts w:hint="eastAsia" w:ascii="宋体" w:hAnsi="宋体" w:cs="宋体"/>
                <w:color w:val="auto"/>
                <w:kern w:val="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5" w:hRule="atLeast"/>
          <w:tblHeader/>
        </w:trPr>
        <w:tc>
          <w:tcPr>
            <w:tcW w:w="546" w:type="dxa"/>
            <w:shd w:val="clear" w:color="auto" w:fill="FFFFFF"/>
            <w:vAlign w:val="center"/>
          </w:tcPr>
          <w:p>
            <w:pPr>
              <w:widowControl/>
              <w:jc w:val="center"/>
              <w:rPr>
                <w:rFonts w:hint="eastAsia" w:ascii="宋体" w:hAnsi="宋体" w:cs="宋体"/>
                <w:color w:val="auto"/>
                <w:kern w:val="0"/>
                <w:szCs w:val="21"/>
                <w:highlight w:val="none"/>
              </w:rPr>
            </w:pPr>
          </w:p>
        </w:tc>
        <w:tc>
          <w:tcPr>
            <w:tcW w:w="913" w:type="dxa"/>
            <w:shd w:val="clear" w:color="auto" w:fill="FFFFFF"/>
            <w:vAlign w:val="center"/>
          </w:tcPr>
          <w:p>
            <w:pPr>
              <w:widowControl/>
              <w:jc w:val="center"/>
              <w:textAlignment w:val="center"/>
              <w:rPr>
                <w:rFonts w:hint="eastAsia" w:ascii="宋体" w:hAnsi="宋体"/>
                <w:color w:val="auto"/>
                <w:szCs w:val="21"/>
                <w:highlight w:val="none"/>
              </w:rPr>
            </w:pPr>
          </w:p>
        </w:tc>
        <w:tc>
          <w:tcPr>
            <w:tcW w:w="907" w:type="dxa"/>
            <w:shd w:val="clear" w:color="auto" w:fill="FFFFFF"/>
            <w:vAlign w:val="center"/>
          </w:tcPr>
          <w:p>
            <w:pPr>
              <w:jc w:val="center"/>
              <w:rPr>
                <w:rFonts w:hint="eastAsia" w:ascii="宋体" w:hAnsi="宋体" w:cs="宋体"/>
                <w:color w:val="auto"/>
                <w:sz w:val="20"/>
                <w:szCs w:val="20"/>
                <w:highlight w:val="none"/>
              </w:rPr>
            </w:pPr>
          </w:p>
        </w:tc>
        <w:tc>
          <w:tcPr>
            <w:tcW w:w="910" w:type="dxa"/>
            <w:shd w:val="clear" w:color="auto" w:fill="FFFFFF"/>
            <w:vAlign w:val="center"/>
          </w:tcPr>
          <w:p>
            <w:pPr>
              <w:jc w:val="center"/>
              <w:rPr>
                <w:rFonts w:hint="eastAsia" w:ascii="宋体" w:hAnsi="宋体" w:cs="宋体"/>
                <w:color w:val="auto"/>
                <w:sz w:val="20"/>
                <w:szCs w:val="20"/>
                <w:highlight w:val="none"/>
              </w:rPr>
            </w:pPr>
          </w:p>
        </w:tc>
        <w:tc>
          <w:tcPr>
            <w:tcW w:w="571" w:type="dxa"/>
            <w:shd w:val="clear" w:color="auto" w:fill="FFFFFF"/>
            <w:vAlign w:val="center"/>
          </w:tcPr>
          <w:p>
            <w:pPr>
              <w:widowControl/>
              <w:jc w:val="center"/>
              <w:rPr>
                <w:rFonts w:hint="eastAsia" w:ascii="宋体" w:hAnsi="宋体"/>
                <w:color w:val="auto"/>
                <w:szCs w:val="21"/>
                <w:highlight w:val="none"/>
              </w:rPr>
            </w:pPr>
          </w:p>
        </w:tc>
        <w:tc>
          <w:tcPr>
            <w:tcW w:w="885" w:type="dxa"/>
            <w:shd w:val="clear" w:color="auto" w:fill="FFFFFF"/>
            <w:vAlign w:val="center"/>
          </w:tcPr>
          <w:p>
            <w:pPr>
              <w:jc w:val="center"/>
              <w:rPr>
                <w:rFonts w:hint="eastAsia" w:ascii="宋体" w:hAnsi="宋体"/>
                <w:color w:val="auto"/>
                <w:szCs w:val="21"/>
                <w:highlight w:val="none"/>
              </w:rPr>
            </w:pPr>
          </w:p>
        </w:tc>
        <w:tc>
          <w:tcPr>
            <w:tcW w:w="1033" w:type="dxa"/>
            <w:shd w:val="clear" w:color="auto" w:fill="FFFFFF"/>
            <w:vAlign w:val="center"/>
          </w:tcPr>
          <w:p>
            <w:pPr>
              <w:jc w:val="center"/>
              <w:rPr>
                <w:rFonts w:hint="eastAsia" w:ascii="宋体" w:hAnsi="宋体"/>
                <w:color w:val="auto"/>
                <w:szCs w:val="21"/>
                <w:highlight w:val="none"/>
              </w:rPr>
            </w:pPr>
          </w:p>
        </w:tc>
        <w:tc>
          <w:tcPr>
            <w:tcW w:w="507" w:type="dxa"/>
            <w:shd w:val="clear" w:color="auto" w:fill="FFFFFF"/>
            <w:vAlign w:val="center"/>
          </w:tcPr>
          <w:p>
            <w:pPr>
              <w:jc w:val="center"/>
              <w:rPr>
                <w:rFonts w:hint="eastAsia" w:ascii="宋体" w:hAnsi="宋体"/>
                <w:color w:val="auto"/>
                <w:szCs w:val="21"/>
                <w:highlight w:val="none"/>
              </w:rPr>
            </w:pPr>
          </w:p>
        </w:tc>
        <w:tc>
          <w:tcPr>
            <w:tcW w:w="508" w:type="dxa"/>
            <w:shd w:val="clear" w:color="auto" w:fill="FFFFFF"/>
            <w:vAlign w:val="center"/>
          </w:tcPr>
          <w:p>
            <w:pPr>
              <w:jc w:val="center"/>
              <w:rPr>
                <w:rFonts w:hint="eastAsia" w:ascii="宋体" w:hAnsi="宋体"/>
                <w:color w:val="auto"/>
                <w:szCs w:val="21"/>
                <w:highlight w:val="none"/>
              </w:rPr>
            </w:pPr>
          </w:p>
        </w:tc>
        <w:tc>
          <w:tcPr>
            <w:tcW w:w="508" w:type="dxa"/>
            <w:shd w:val="clear" w:color="auto" w:fill="FFFFFF"/>
            <w:vAlign w:val="center"/>
          </w:tcPr>
          <w:p>
            <w:pPr>
              <w:jc w:val="center"/>
              <w:rPr>
                <w:rFonts w:hint="eastAsia" w:ascii="宋体" w:hAnsi="宋体"/>
                <w:color w:val="auto"/>
                <w:szCs w:val="21"/>
                <w:highlight w:val="none"/>
              </w:rPr>
            </w:pPr>
          </w:p>
        </w:tc>
        <w:tc>
          <w:tcPr>
            <w:tcW w:w="610" w:type="dxa"/>
            <w:shd w:val="clear" w:color="auto" w:fill="FFFFFF"/>
            <w:vAlign w:val="center"/>
          </w:tcPr>
          <w:p>
            <w:pPr>
              <w:jc w:val="center"/>
              <w:rPr>
                <w:rFonts w:hint="eastAsia" w:ascii="宋体" w:hAnsi="宋体"/>
                <w:color w:val="auto"/>
                <w:szCs w:val="21"/>
                <w:highlight w:val="none"/>
              </w:rPr>
            </w:pPr>
          </w:p>
        </w:tc>
        <w:tc>
          <w:tcPr>
            <w:tcW w:w="618" w:type="dxa"/>
            <w:shd w:val="clear" w:color="auto" w:fill="FFFFFF"/>
            <w:vAlign w:val="center"/>
          </w:tcPr>
          <w:p>
            <w:pPr>
              <w:widowControl/>
              <w:jc w:val="center"/>
              <w:rPr>
                <w:rFonts w:hint="eastAsia" w:ascii="宋体" w:hAnsi="宋体" w:cs="宋体"/>
                <w:color w:val="auto"/>
                <w:kern w:val="0"/>
                <w:szCs w:val="21"/>
                <w:highlight w:val="none"/>
              </w:rPr>
            </w:pPr>
          </w:p>
        </w:tc>
      </w:tr>
    </w:tbl>
    <w:p>
      <w:pPr>
        <w:spacing w:line="360" w:lineRule="auto"/>
        <w:rPr>
          <w:rFonts w:hint="eastAsia" w:ascii="宋体" w:hAnsi="宋体"/>
          <w:color w:val="auto"/>
          <w:kern w:val="0"/>
          <w:szCs w:val="21"/>
          <w:highlight w:val="none"/>
        </w:rPr>
      </w:pPr>
      <w:r>
        <w:rPr>
          <w:rFonts w:hint="eastAsia" w:ascii="宋体" w:hAnsi="宋体"/>
          <w:color w:val="auto"/>
          <w:szCs w:val="21"/>
          <w:highlight w:val="none"/>
        </w:rPr>
        <w:t>表格</w:t>
      </w:r>
      <w:r>
        <w:rPr>
          <w:rFonts w:ascii="宋体" w:hAnsi="宋体"/>
          <w:color w:val="auto"/>
          <w:szCs w:val="21"/>
          <w:highlight w:val="none"/>
        </w:rPr>
        <w:t>备注：</w:t>
      </w:r>
      <w:r>
        <w:rPr>
          <w:rFonts w:hint="eastAsia" w:ascii="宋体" w:hAnsi="宋体"/>
          <w:color w:val="auto"/>
          <w:szCs w:val="21"/>
          <w:highlight w:val="none"/>
        </w:rPr>
        <w:t>默认项：填写“是”</w:t>
      </w:r>
      <w:r>
        <w:rPr>
          <w:rFonts w:ascii="宋体" w:hAnsi="宋体"/>
          <w:color w:val="auto"/>
          <w:szCs w:val="21"/>
          <w:highlight w:val="none"/>
        </w:rPr>
        <w:t>或者</w:t>
      </w:r>
      <w:r>
        <w:rPr>
          <w:rFonts w:hint="eastAsia" w:ascii="宋体" w:hAnsi="宋体"/>
          <w:color w:val="auto"/>
          <w:szCs w:val="21"/>
          <w:highlight w:val="none"/>
        </w:rPr>
        <w:t>“</w:t>
      </w:r>
      <w:r>
        <w:rPr>
          <w:rFonts w:ascii="宋体" w:hAnsi="宋体"/>
          <w:color w:val="auto"/>
          <w:szCs w:val="21"/>
          <w:highlight w:val="none"/>
        </w:rPr>
        <w:t>否</w:t>
      </w:r>
      <w:r>
        <w:rPr>
          <w:rFonts w:hint="eastAsia" w:ascii="宋体" w:hAnsi="宋体"/>
          <w:color w:val="auto"/>
          <w:szCs w:val="21"/>
          <w:highlight w:val="none"/>
        </w:rPr>
        <w:t>”</w:t>
      </w:r>
      <w:r>
        <w:rPr>
          <w:rFonts w:ascii="宋体" w:hAnsi="宋体"/>
          <w:color w:val="auto"/>
          <w:szCs w:val="21"/>
          <w:highlight w:val="none"/>
        </w:rPr>
        <w:t>，填</w:t>
      </w:r>
      <w:r>
        <w:rPr>
          <w:rFonts w:hint="eastAsia" w:ascii="宋体" w:hAnsi="宋体"/>
          <w:color w:val="auto"/>
          <w:szCs w:val="21"/>
          <w:highlight w:val="none"/>
        </w:rPr>
        <w:t>“</w:t>
      </w:r>
      <w:r>
        <w:rPr>
          <w:rFonts w:ascii="宋体" w:hAnsi="宋体"/>
          <w:color w:val="auto"/>
          <w:szCs w:val="21"/>
          <w:highlight w:val="none"/>
        </w:rPr>
        <w:t>是</w:t>
      </w:r>
      <w:r>
        <w:rPr>
          <w:rFonts w:hint="eastAsia" w:ascii="宋体" w:hAnsi="宋体"/>
          <w:color w:val="auto"/>
          <w:szCs w:val="21"/>
          <w:highlight w:val="none"/>
        </w:rPr>
        <w:t>”</w:t>
      </w:r>
      <w:r>
        <w:rPr>
          <w:rFonts w:ascii="宋体" w:hAnsi="宋体"/>
          <w:color w:val="auto"/>
          <w:szCs w:val="21"/>
          <w:highlight w:val="none"/>
        </w:rPr>
        <w:t>则价格纳入价格</w:t>
      </w:r>
      <w:r>
        <w:rPr>
          <w:rFonts w:hint="eastAsia" w:ascii="宋体" w:hAnsi="宋体"/>
          <w:color w:val="auto"/>
          <w:szCs w:val="21"/>
          <w:highlight w:val="none"/>
        </w:rPr>
        <w:t>统计</w:t>
      </w:r>
      <w:r>
        <w:rPr>
          <w:rFonts w:ascii="宋体" w:hAnsi="宋体"/>
          <w:color w:val="auto"/>
          <w:szCs w:val="21"/>
          <w:highlight w:val="none"/>
        </w:rPr>
        <w:t>计算价格分</w:t>
      </w:r>
      <w:r>
        <w:rPr>
          <w:rFonts w:hint="eastAsia" w:ascii="宋体" w:hAnsi="宋体"/>
          <w:color w:val="auto"/>
          <w:szCs w:val="21"/>
          <w:highlight w:val="none"/>
        </w:rPr>
        <w:t>，</w:t>
      </w:r>
      <w:r>
        <w:rPr>
          <w:rFonts w:ascii="宋体" w:hAnsi="宋体"/>
          <w:color w:val="auto"/>
          <w:szCs w:val="21"/>
          <w:highlight w:val="none"/>
        </w:rPr>
        <w:t>填</w:t>
      </w:r>
      <w:r>
        <w:rPr>
          <w:rFonts w:hint="eastAsia" w:ascii="宋体" w:hAnsi="宋体"/>
          <w:color w:val="auto"/>
          <w:szCs w:val="21"/>
          <w:highlight w:val="none"/>
        </w:rPr>
        <w:t>“</w:t>
      </w:r>
      <w:r>
        <w:rPr>
          <w:rFonts w:ascii="宋体" w:hAnsi="宋体"/>
          <w:color w:val="auto"/>
          <w:szCs w:val="21"/>
          <w:highlight w:val="none"/>
        </w:rPr>
        <w:t>否</w:t>
      </w:r>
      <w:r>
        <w:rPr>
          <w:rFonts w:hint="eastAsia" w:ascii="宋体" w:hAnsi="宋体"/>
          <w:color w:val="auto"/>
          <w:szCs w:val="21"/>
          <w:highlight w:val="none"/>
        </w:rPr>
        <w:t>”</w:t>
      </w:r>
      <w:r>
        <w:rPr>
          <w:rFonts w:ascii="宋体" w:hAnsi="宋体"/>
          <w:color w:val="auto"/>
          <w:szCs w:val="21"/>
          <w:highlight w:val="none"/>
        </w:rPr>
        <w:t>则价格</w:t>
      </w:r>
      <w:r>
        <w:rPr>
          <w:rFonts w:hint="eastAsia" w:ascii="宋体" w:hAnsi="宋体"/>
          <w:color w:val="auto"/>
          <w:szCs w:val="21"/>
          <w:highlight w:val="none"/>
        </w:rPr>
        <w:t>不</w:t>
      </w:r>
      <w:r>
        <w:rPr>
          <w:rFonts w:ascii="宋体" w:hAnsi="宋体"/>
          <w:color w:val="auto"/>
          <w:szCs w:val="21"/>
          <w:highlight w:val="none"/>
        </w:rPr>
        <w:t>纳入价格</w:t>
      </w:r>
      <w:r>
        <w:rPr>
          <w:rFonts w:hint="eastAsia" w:ascii="宋体" w:hAnsi="宋体"/>
          <w:color w:val="auto"/>
          <w:szCs w:val="21"/>
          <w:highlight w:val="none"/>
        </w:rPr>
        <w:t>统计</w:t>
      </w:r>
      <w:r>
        <w:rPr>
          <w:rFonts w:ascii="宋体" w:hAnsi="宋体"/>
          <w:color w:val="auto"/>
          <w:szCs w:val="21"/>
          <w:highlight w:val="none"/>
        </w:rPr>
        <w:t>计算价格分。</w:t>
      </w:r>
    </w:p>
    <w:bookmarkEnd w:id="12"/>
    <w:bookmarkEnd w:id="14"/>
    <w:bookmarkEnd w:id="15"/>
    <w:bookmarkEnd w:id="16"/>
    <w:p>
      <w:pPr>
        <w:pStyle w:val="2"/>
        <w:adjustRightInd w:val="0"/>
        <w:spacing w:before="0" w:beforeLines="0"/>
        <w:rPr>
          <w:rFonts w:hint="eastAsia" w:hAnsi="宋体"/>
          <w:b/>
          <w:color w:val="auto"/>
          <w:highlight w:val="none"/>
        </w:rPr>
      </w:pPr>
      <w:bookmarkStart w:id="17" w:name="_Toc305941520"/>
      <w:bookmarkStart w:id="18" w:name="_Toc305941228"/>
      <w:bookmarkStart w:id="19" w:name="_Toc142981741"/>
      <w:r>
        <w:rPr>
          <w:rFonts w:hint="eastAsia" w:hAnsi="宋体"/>
          <w:b/>
          <w:color w:val="auto"/>
          <w:highlight w:val="none"/>
        </w:rPr>
        <w:t>应遵循的主要标准</w:t>
      </w:r>
      <w:bookmarkEnd w:id="17"/>
      <w:bookmarkEnd w:id="18"/>
      <w:bookmarkEnd w:id="19"/>
    </w:p>
    <w:p>
      <w:pPr>
        <w:spacing w:line="360" w:lineRule="auto"/>
        <w:ind w:firstLine="420" w:firstLineChars="200"/>
        <w:rPr>
          <w:rFonts w:ascii="宋体" w:hAnsi="宋体"/>
          <w:color w:val="auto"/>
          <w:kern w:val="0"/>
          <w:szCs w:val="21"/>
          <w:highlight w:val="none"/>
        </w:rPr>
      </w:pPr>
      <w:r>
        <w:rPr>
          <w:rFonts w:ascii="宋体" w:hAnsi="宋体"/>
          <w:color w:val="auto"/>
          <w:kern w:val="0"/>
          <w:szCs w:val="21"/>
          <w:highlight w:val="none"/>
        </w:rPr>
        <w:t>除本标书特殊规定外, 投标方所提供的物资均按规定的标准和规程的最新版本进行</w:t>
      </w:r>
      <w:r>
        <w:rPr>
          <w:rFonts w:hint="eastAsia" w:ascii="宋体" w:hAnsi="宋体"/>
          <w:color w:val="auto"/>
          <w:kern w:val="0"/>
          <w:szCs w:val="21"/>
          <w:highlight w:val="none"/>
        </w:rPr>
        <w:t>销售</w:t>
      </w:r>
      <w:r>
        <w:rPr>
          <w:rFonts w:ascii="宋体" w:hAnsi="宋体"/>
          <w:color w:val="auto"/>
          <w:kern w:val="0"/>
          <w:szCs w:val="21"/>
          <w:highlight w:val="none"/>
        </w:rPr>
        <w:t>、设计、制造、试验。如果这些标准内容有矛盾时, 应按最高标准的条款执行或按双方商定的标准执行。如果投标方选用本标书规定以外的标准时, 则需提交这种替换标准供审查和分析。仅在投标方已证明替换标准相当或优于标书规定的标准, 并从买方处获得书面的认可才能使用。提交供审查的标准应为中文或英文版本。主要引用标准如下：</w:t>
      </w:r>
    </w:p>
    <w:p>
      <w:pPr>
        <w:spacing w:line="360" w:lineRule="auto"/>
        <w:ind w:firstLine="420" w:firstLineChars="200"/>
        <w:rPr>
          <w:rFonts w:ascii="宋体" w:hAnsi="宋体" w:cs="宋体"/>
          <w:color w:val="auto"/>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Cs w:val="21"/>
          <w:highlight w:val="none"/>
        </w:rPr>
        <w:t>GB 13398-2008</w:t>
      </w:r>
      <w:r>
        <w:rPr>
          <w:rFonts w:ascii="宋体" w:hAnsi="宋体" w:cs="宋体"/>
          <w:color w:val="auto"/>
          <w:szCs w:val="21"/>
          <w:highlight w:val="none"/>
        </w:rPr>
        <w:t xml:space="preserve"> </w:t>
      </w:r>
      <w:r>
        <w:rPr>
          <w:rFonts w:hint="eastAsia" w:ascii="宋体" w:hAnsi="宋体" w:cs="宋体"/>
          <w:color w:val="auto"/>
          <w:szCs w:val="21"/>
          <w:highlight w:val="none"/>
        </w:rPr>
        <w:tab/>
      </w:r>
      <w:r>
        <w:rPr>
          <w:rFonts w:hint="eastAsia" w:ascii="宋体" w:hAnsi="宋体" w:cs="宋体"/>
          <w:color w:val="auto"/>
          <w:szCs w:val="21"/>
          <w:highlight w:val="none"/>
        </w:rPr>
        <w:t>带电作业用空心绝缘管、泡沫填充绝缘管和实心绝缘棒</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GB</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 xml:space="preserve">T 1409-2006 </w:t>
      </w:r>
      <w:r>
        <w:rPr>
          <w:rFonts w:ascii="宋体" w:hAnsi="宋体" w:cs="宋体"/>
          <w:color w:val="auto"/>
          <w:szCs w:val="21"/>
          <w:highlight w:val="none"/>
        </w:rPr>
        <w:t xml:space="preserve">     </w:t>
      </w:r>
      <w:r>
        <w:rPr>
          <w:rFonts w:hint="eastAsia" w:ascii="宋体" w:hAnsi="宋体" w:cs="宋体"/>
          <w:color w:val="auto"/>
          <w:szCs w:val="21"/>
          <w:highlight w:val="none"/>
        </w:rPr>
        <w:t>测量电气绝缘材料在工频、音频、高频 (包括米波在内)下电容率和介质损耗因数的推荐方法</w:t>
      </w:r>
    </w:p>
    <w:p>
      <w:pPr>
        <w:pStyle w:val="2"/>
        <w:adjustRightInd w:val="0"/>
        <w:spacing w:before="0" w:beforeLines="0"/>
        <w:rPr>
          <w:rFonts w:hint="eastAsia" w:hAnsi="宋体"/>
          <w:b/>
          <w:color w:val="auto"/>
          <w:highlight w:val="none"/>
        </w:rPr>
      </w:pPr>
      <w:bookmarkStart w:id="20" w:name="_Toc276492375"/>
      <w:bookmarkStart w:id="21" w:name="_Toc276490903"/>
      <w:bookmarkStart w:id="22" w:name="_Toc305941522"/>
      <w:bookmarkStart w:id="23" w:name="_Toc142981742"/>
      <w:bookmarkStart w:id="24" w:name="_Toc305941231"/>
      <w:r>
        <w:rPr>
          <w:rFonts w:hint="eastAsia" w:hAnsi="宋体"/>
          <w:b/>
          <w:color w:val="auto"/>
          <w:highlight w:val="none"/>
        </w:rPr>
        <w:t>技术</w:t>
      </w:r>
      <w:bookmarkEnd w:id="20"/>
      <w:bookmarkEnd w:id="21"/>
      <w:r>
        <w:rPr>
          <w:rFonts w:hint="eastAsia" w:hAnsi="宋体"/>
          <w:b/>
          <w:color w:val="auto"/>
          <w:highlight w:val="none"/>
        </w:rPr>
        <w:t>要求</w:t>
      </w:r>
      <w:bookmarkEnd w:id="22"/>
      <w:bookmarkEnd w:id="23"/>
      <w:bookmarkEnd w:id="24"/>
    </w:p>
    <w:bookmarkEnd w:id="0"/>
    <w:p>
      <w:pPr>
        <w:spacing w:line="360" w:lineRule="auto"/>
        <w:ind w:firstLine="422" w:firstLineChars="200"/>
        <w:rPr>
          <w:rFonts w:hint="eastAsia" w:ascii="宋体" w:hAnsi="宋体"/>
          <w:b/>
          <w:bCs/>
          <w:color w:val="auto"/>
          <w:szCs w:val="21"/>
          <w:highlight w:val="none"/>
        </w:rPr>
      </w:pPr>
      <w:bookmarkStart w:id="25" w:name="_Toc329506180"/>
      <w:bookmarkStart w:id="26" w:name="_Toc20684"/>
      <w:bookmarkStart w:id="27" w:name="_Toc271281212"/>
      <w:bookmarkStart w:id="28" w:name="_Toc276492417"/>
      <w:bookmarkStart w:id="29" w:name="_Toc276490905"/>
      <w:r>
        <w:rPr>
          <w:rFonts w:hint="eastAsia" w:ascii="宋体" w:hAnsi="宋体"/>
          <w:b/>
          <w:bCs/>
          <w:color w:val="auto"/>
          <w:szCs w:val="21"/>
          <w:highlight w:val="none"/>
          <w:lang w:eastAsia="zh-CN"/>
        </w:rPr>
        <w:t>绝缘操作棒</w:t>
      </w:r>
      <w:r>
        <w:rPr>
          <w:rFonts w:hint="eastAsia" w:ascii="宋体" w:hAnsi="宋体"/>
          <w:b/>
          <w:bCs/>
          <w:color w:val="auto"/>
          <w:szCs w:val="21"/>
          <w:highlight w:val="none"/>
        </w:rPr>
        <w:t>除必须满足《带电作业用空心绝缘管、泡沫填充绝缘管和实心绝缘棒》（</w:t>
      </w:r>
      <w:r>
        <w:rPr>
          <w:rFonts w:ascii="宋体" w:hAnsi="宋体"/>
          <w:b/>
          <w:bCs/>
          <w:color w:val="auto"/>
          <w:szCs w:val="21"/>
          <w:highlight w:val="none"/>
        </w:rPr>
        <w:t>GB 13398-2008</w:t>
      </w:r>
      <w:r>
        <w:rPr>
          <w:rFonts w:hint="eastAsia" w:ascii="宋体" w:hAnsi="宋体"/>
          <w:b/>
          <w:bCs/>
          <w:color w:val="auto"/>
          <w:szCs w:val="21"/>
          <w:highlight w:val="none"/>
        </w:rPr>
        <w:t>）等国家、行业标准的要求外，还应满足以下条款要求。</w:t>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4.1 </w:t>
      </w:r>
      <w:bookmarkEnd w:id="25"/>
      <w:bookmarkEnd w:id="26"/>
      <w:r>
        <w:rPr>
          <w:rFonts w:hint="eastAsia" w:ascii="宋体" w:hAnsi="宋体"/>
          <w:color w:val="auto"/>
          <w:szCs w:val="21"/>
          <w:highlight w:val="none"/>
        </w:rPr>
        <w:t>基本结构</w:t>
      </w:r>
    </w:p>
    <w:p>
      <w:pPr>
        <w:pStyle w:val="79"/>
        <w:adjustRightInd w:val="0"/>
        <w:snapToGrid w:val="0"/>
        <w:spacing w:line="360" w:lineRule="auto"/>
        <w:ind w:firstLine="0" w:firstLineChars="0"/>
        <w:rPr>
          <w:rFonts w:hint="eastAsia" w:ascii="宋体" w:hAnsi="宋体" w:eastAsia="宋体"/>
          <w:color w:val="auto"/>
          <w:kern w:val="0"/>
          <w:szCs w:val="21"/>
          <w:highlight w:val="none"/>
        </w:rPr>
      </w:pPr>
      <w:r>
        <w:rPr>
          <w:rFonts w:ascii="宋体" w:hAnsi="宋体" w:eastAsia="宋体"/>
          <w:color w:val="auto"/>
          <w:kern w:val="0"/>
          <w:szCs w:val="21"/>
          <w:highlight w:val="none"/>
        </w:rPr>
        <w:t>4</w:t>
      </w:r>
      <w:r>
        <w:rPr>
          <w:rFonts w:hint="eastAsia" w:ascii="宋体" w:hAnsi="宋体" w:eastAsia="宋体"/>
          <w:color w:val="auto"/>
          <w:kern w:val="0"/>
          <w:szCs w:val="21"/>
          <w:highlight w:val="none"/>
        </w:rPr>
        <w:t xml:space="preserve">.1.1 </w:t>
      </w:r>
      <w:r>
        <w:rPr>
          <w:rFonts w:hint="eastAsia" w:ascii="宋体" w:hAnsi="宋体" w:eastAsia="宋体"/>
          <w:color w:val="auto"/>
          <w:kern w:val="0"/>
          <w:szCs w:val="21"/>
          <w:highlight w:val="none"/>
          <w:lang w:eastAsia="zh-CN"/>
        </w:rPr>
        <w:t>绝缘操作棒</w:t>
      </w:r>
      <w:r>
        <w:rPr>
          <w:rFonts w:hint="eastAsia" w:ascii="宋体" w:hAnsi="宋体" w:eastAsia="宋体"/>
          <w:color w:val="auto"/>
          <w:kern w:val="0"/>
          <w:szCs w:val="21"/>
          <w:highlight w:val="none"/>
        </w:rPr>
        <w:t>杆材可分为3类，见表</w:t>
      </w:r>
      <w:r>
        <w:rPr>
          <w:rFonts w:ascii="宋体" w:hAnsi="宋体" w:eastAsia="宋体"/>
          <w:color w:val="auto"/>
          <w:kern w:val="0"/>
          <w:szCs w:val="21"/>
          <w:highlight w:val="none"/>
        </w:rPr>
        <w:t>4</w:t>
      </w:r>
      <w:r>
        <w:rPr>
          <w:rFonts w:hint="eastAsia" w:ascii="宋体" w:hAnsi="宋体" w:eastAsia="宋体"/>
          <w:color w:val="auto"/>
          <w:kern w:val="0"/>
          <w:szCs w:val="21"/>
          <w:highlight w:val="none"/>
        </w:rPr>
        <w:t>.1。</w:t>
      </w:r>
    </w:p>
    <w:p>
      <w:pPr>
        <w:spacing w:line="360" w:lineRule="auto"/>
        <w:ind w:firstLine="2835" w:firstLineChars="1350"/>
        <w:rPr>
          <w:rFonts w:hint="eastAsia" w:ascii="宋体" w:hAnsi="宋体" w:cs="宋体"/>
          <w:bCs/>
          <w:color w:val="auto"/>
          <w:szCs w:val="21"/>
          <w:highlight w:val="none"/>
        </w:rPr>
      </w:pPr>
      <w:r>
        <w:rPr>
          <w:rFonts w:hint="eastAsia" w:ascii="宋体" w:hAnsi="宋体" w:cs="宋体"/>
          <w:bCs/>
          <w:color w:val="auto"/>
          <w:szCs w:val="21"/>
          <w:highlight w:val="none"/>
        </w:rPr>
        <w:t>表</w:t>
      </w:r>
      <w:r>
        <w:rPr>
          <w:rFonts w:ascii="宋体" w:hAnsi="宋体" w:cs="宋体"/>
          <w:bCs/>
          <w:color w:val="auto"/>
          <w:szCs w:val="21"/>
          <w:highlight w:val="none"/>
        </w:rPr>
        <w:t>4</w:t>
      </w:r>
      <w:r>
        <w:rPr>
          <w:rFonts w:hint="eastAsia" w:ascii="宋体" w:hAnsi="宋体" w:cs="宋体"/>
          <w:bCs/>
          <w:color w:val="auto"/>
          <w:szCs w:val="21"/>
          <w:highlight w:val="none"/>
        </w:rPr>
        <w:t>.1  按杆材分类</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6"/>
        <w:gridCol w:w="1480"/>
        <w:gridCol w:w="61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6" w:type="dxa"/>
            <w:vAlign w:val="center"/>
          </w:tcPr>
          <w:p>
            <w:pPr>
              <w:jc w:val="center"/>
              <w:rPr>
                <w:rFonts w:hint="eastAsia" w:ascii="宋体" w:hAnsi="宋体" w:cs="宋体"/>
                <w:color w:val="auto"/>
                <w:szCs w:val="21"/>
                <w:highlight w:val="none"/>
              </w:rPr>
            </w:pPr>
            <w:r>
              <w:rPr>
                <w:rFonts w:hint="eastAsia" w:ascii="宋体" w:hAnsi="宋体" w:cs="宋体"/>
                <w:color w:val="auto"/>
                <w:szCs w:val="21"/>
                <w:highlight w:val="none"/>
              </w:rPr>
              <w:t>类别</w:t>
            </w:r>
          </w:p>
        </w:tc>
        <w:tc>
          <w:tcPr>
            <w:tcW w:w="1480" w:type="dxa"/>
            <w:vAlign w:val="center"/>
          </w:tcPr>
          <w:p>
            <w:pPr>
              <w:jc w:val="center"/>
              <w:rPr>
                <w:rFonts w:hint="eastAsia" w:ascii="宋体" w:hAnsi="宋体" w:cs="宋体"/>
                <w:color w:val="auto"/>
                <w:szCs w:val="21"/>
                <w:highlight w:val="none"/>
              </w:rPr>
            </w:pPr>
            <w:r>
              <w:rPr>
                <w:rFonts w:hint="eastAsia" w:ascii="宋体" w:hAnsi="宋体" w:cs="宋体"/>
                <w:color w:val="auto"/>
                <w:szCs w:val="21"/>
                <w:highlight w:val="none"/>
              </w:rPr>
              <w:t>名称</w:t>
            </w:r>
          </w:p>
        </w:tc>
        <w:tc>
          <w:tcPr>
            <w:tcW w:w="6110" w:type="dxa"/>
            <w:vAlign w:val="center"/>
          </w:tcPr>
          <w:p>
            <w:pPr>
              <w:jc w:val="center"/>
              <w:rPr>
                <w:rFonts w:hint="eastAsia" w:ascii="宋体" w:hAnsi="宋体" w:cs="宋体"/>
                <w:color w:val="auto"/>
                <w:szCs w:val="21"/>
                <w:highlight w:val="none"/>
              </w:rPr>
            </w:pPr>
            <w:r>
              <w:rPr>
                <w:rFonts w:hint="eastAsia" w:ascii="宋体" w:hAnsi="宋体" w:cs="宋体"/>
                <w:color w:val="auto"/>
                <w:szCs w:val="21"/>
                <w:highlight w:val="none"/>
              </w:rPr>
              <w:t>标称外径系列 （mm）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6" w:type="dxa"/>
            <w:vAlign w:val="center"/>
          </w:tcPr>
          <w:p>
            <w:pPr>
              <w:jc w:val="center"/>
              <w:rPr>
                <w:rFonts w:hint="eastAsia" w:ascii="宋体" w:hAnsi="宋体" w:cs="宋体"/>
                <w:color w:val="auto"/>
                <w:szCs w:val="21"/>
                <w:highlight w:val="none"/>
              </w:rPr>
            </w:pPr>
            <w:r>
              <w:rPr>
                <w:rFonts w:hint="eastAsia" w:ascii="宋体" w:hAnsi="宋体" w:cs="宋体"/>
                <w:color w:val="auto"/>
                <w:szCs w:val="21"/>
                <w:highlight w:val="none"/>
              </w:rPr>
              <w:t>Ⅰ</w:t>
            </w:r>
          </w:p>
        </w:tc>
        <w:tc>
          <w:tcPr>
            <w:tcW w:w="1480" w:type="dxa"/>
            <w:vAlign w:val="center"/>
          </w:tcPr>
          <w:p>
            <w:pPr>
              <w:jc w:val="center"/>
              <w:rPr>
                <w:rFonts w:hint="eastAsia" w:ascii="宋体" w:hAnsi="宋体" w:cs="宋体"/>
                <w:color w:val="auto"/>
                <w:szCs w:val="21"/>
                <w:highlight w:val="none"/>
              </w:rPr>
            </w:pPr>
            <w:r>
              <w:rPr>
                <w:rFonts w:hint="eastAsia" w:ascii="宋体" w:hAnsi="宋体" w:cs="宋体"/>
                <w:color w:val="auto"/>
                <w:szCs w:val="21"/>
                <w:highlight w:val="none"/>
              </w:rPr>
              <w:t>实心棒</w:t>
            </w:r>
          </w:p>
        </w:tc>
        <w:tc>
          <w:tcPr>
            <w:tcW w:w="6110" w:type="dxa"/>
            <w:vAlign w:val="center"/>
          </w:tcPr>
          <w:p>
            <w:pPr>
              <w:jc w:val="center"/>
              <w:rPr>
                <w:rFonts w:hint="eastAsia" w:ascii="宋体" w:hAnsi="宋体" w:cs="宋体"/>
                <w:color w:val="auto"/>
                <w:szCs w:val="21"/>
                <w:highlight w:val="none"/>
              </w:rPr>
            </w:pPr>
            <w:r>
              <w:rPr>
                <w:rFonts w:hint="eastAsia" w:ascii="宋体" w:hAnsi="宋体" w:cs="宋体"/>
                <w:color w:val="auto"/>
                <w:szCs w:val="21"/>
                <w:highlight w:val="none"/>
              </w:rPr>
              <w:t>10,16,24,30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6" w:type="dxa"/>
            <w:vAlign w:val="center"/>
          </w:tcPr>
          <w:p>
            <w:pPr>
              <w:jc w:val="center"/>
              <w:rPr>
                <w:rFonts w:hint="eastAsia" w:ascii="宋体" w:hAnsi="宋体" w:cs="宋体"/>
                <w:color w:val="auto"/>
                <w:szCs w:val="21"/>
                <w:highlight w:val="none"/>
              </w:rPr>
            </w:pPr>
            <w:r>
              <w:rPr>
                <w:rFonts w:hint="eastAsia" w:ascii="宋体" w:hAnsi="宋体" w:cs="宋体"/>
                <w:color w:val="auto"/>
                <w:szCs w:val="21"/>
                <w:highlight w:val="none"/>
              </w:rPr>
              <w:t>Ⅱ</w:t>
            </w:r>
          </w:p>
        </w:tc>
        <w:tc>
          <w:tcPr>
            <w:tcW w:w="1480" w:type="dxa"/>
            <w:vAlign w:val="center"/>
          </w:tcPr>
          <w:p>
            <w:pPr>
              <w:jc w:val="center"/>
              <w:rPr>
                <w:rFonts w:hint="eastAsia" w:ascii="宋体" w:hAnsi="宋体" w:cs="宋体"/>
                <w:color w:val="auto"/>
                <w:szCs w:val="21"/>
                <w:highlight w:val="none"/>
              </w:rPr>
            </w:pPr>
            <w:r>
              <w:rPr>
                <w:rFonts w:hint="eastAsia" w:ascii="宋体" w:hAnsi="宋体" w:cs="宋体"/>
                <w:color w:val="auto"/>
                <w:szCs w:val="21"/>
                <w:highlight w:val="none"/>
              </w:rPr>
              <w:t>空心管</w:t>
            </w:r>
          </w:p>
        </w:tc>
        <w:tc>
          <w:tcPr>
            <w:tcW w:w="6110" w:type="dxa"/>
            <w:vAlign w:val="center"/>
          </w:tcPr>
          <w:p>
            <w:pPr>
              <w:jc w:val="center"/>
              <w:rPr>
                <w:rFonts w:hint="eastAsia" w:ascii="宋体" w:hAnsi="宋体" w:cs="宋体"/>
                <w:color w:val="auto"/>
                <w:szCs w:val="21"/>
                <w:highlight w:val="none"/>
              </w:rPr>
            </w:pPr>
            <w:r>
              <w:rPr>
                <w:rFonts w:hint="eastAsia" w:ascii="宋体" w:hAnsi="宋体" w:cs="宋体"/>
                <w:color w:val="auto"/>
                <w:szCs w:val="21"/>
                <w:highlight w:val="none"/>
              </w:rPr>
              <w:t>20,22,24,26,28,30,32,36,40,44,50,60,70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6" w:type="dxa"/>
            <w:vAlign w:val="center"/>
          </w:tcPr>
          <w:p>
            <w:pPr>
              <w:jc w:val="center"/>
              <w:rPr>
                <w:rFonts w:hint="eastAsia" w:ascii="宋体" w:hAnsi="宋体" w:cs="宋体"/>
                <w:color w:val="auto"/>
                <w:szCs w:val="21"/>
                <w:highlight w:val="none"/>
              </w:rPr>
            </w:pPr>
            <w:r>
              <w:rPr>
                <w:rFonts w:hint="eastAsia" w:ascii="宋体" w:hAnsi="宋体" w:cs="宋体"/>
                <w:color w:val="auto"/>
                <w:szCs w:val="21"/>
                <w:highlight w:val="none"/>
              </w:rPr>
              <w:t>Ⅲ</w:t>
            </w:r>
          </w:p>
        </w:tc>
        <w:tc>
          <w:tcPr>
            <w:tcW w:w="1480" w:type="dxa"/>
            <w:vAlign w:val="center"/>
          </w:tcPr>
          <w:p>
            <w:pPr>
              <w:jc w:val="center"/>
              <w:rPr>
                <w:rFonts w:hint="eastAsia" w:ascii="宋体" w:hAnsi="宋体" w:cs="宋体"/>
                <w:color w:val="auto"/>
                <w:szCs w:val="21"/>
                <w:highlight w:val="none"/>
              </w:rPr>
            </w:pPr>
            <w:r>
              <w:rPr>
                <w:rFonts w:hint="eastAsia" w:ascii="宋体" w:hAnsi="宋体" w:cs="宋体"/>
                <w:color w:val="auto"/>
                <w:szCs w:val="21"/>
                <w:highlight w:val="none"/>
              </w:rPr>
              <w:t>泡沫填充管</w:t>
            </w:r>
          </w:p>
        </w:tc>
        <w:tc>
          <w:tcPr>
            <w:tcW w:w="6110" w:type="dxa"/>
            <w:vAlign w:val="center"/>
          </w:tcPr>
          <w:p>
            <w:pPr>
              <w:jc w:val="center"/>
              <w:rPr>
                <w:rFonts w:hint="eastAsia" w:ascii="宋体" w:hAnsi="宋体" w:cs="宋体"/>
                <w:color w:val="auto"/>
                <w:szCs w:val="21"/>
                <w:highlight w:val="none"/>
              </w:rPr>
            </w:pPr>
            <w:r>
              <w:rPr>
                <w:rFonts w:hint="eastAsia" w:ascii="宋体" w:hAnsi="宋体" w:cs="宋体"/>
                <w:color w:val="auto"/>
                <w:szCs w:val="21"/>
                <w:highlight w:val="none"/>
              </w:rPr>
              <w:t>20,22,24,26,28,30,32,36,40,44,50,60,70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16" w:type="dxa"/>
            <w:gridSpan w:val="3"/>
            <w:vAlign w:val="center"/>
          </w:tcPr>
          <w:p>
            <w:pPr>
              <w:rPr>
                <w:rFonts w:hint="eastAsia" w:ascii="宋体" w:hAnsi="宋体" w:cs="宋体"/>
                <w:color w:val="auto"/>
                <w:szCs w:val="21"/>
                <w:highlight w:val="none"/>
              </w:rPr>
            </w:pPr>
            <w:r>
              <w:rPr>
                <w:rFonts w:hint="eastAsia" w:ascii="宋体" w:hAnsi="宋体" w:cs="宋体"/>
                <w:color w:val="auto"/>
                <w:szCs w:val="21"/>
                <w:highlight w:val="none"/>
              </w:rPr>
              <w:t>注：填充绝缘管其标称外径与空心管系列相同。</w:t>
            </w:r>
          </w:p>
        </w:tc>
      </w:tr>
    </w:tbl>
    <w:p>
      <w:pPr>
        <w:pStyle w:val="79"/>
        <w:adjustRightInd w:val="0"/>
        <w:snapToGrid w:val="0"/>
        <w:spacing w:line="360" w:lineRule="auto"/>
        <w:ind w:firstLine="0" w:firstLineChars="0"/>
        <w:rPr>
          <w:rFonts w:hint="eastAsia" w:ascii="宋体" w:hAnsi="宋体" w:eastAsia="宋体"/>
          <w:color w:val="auto"/>
          <w:kern w:val="0"/>
          <w:szCs w:val="21"/>
          <w:highlight w:val="none"/>
        </w:rPr>
      </w:pPr>
      <w:bookmarkStart w:id="30" w:name="OLE_LINK6"/>
      <w:r>
        <w:rPr>
          <w:rFonts w:ascii="宋体" w:hAnsi="宋体" w:eastAsia="宋体"/>
          <w:color w:val="auto"/>
          <w:kern w:val="0"/>
          <w:szCs w:val="21"/>
          <w:highlight w:val="none"/>
        </w:rPr>
        <w:t>4</w:t>
      </w:r>
      <w:r>
        <w:rPr>
          <w:rFonts w:hint="eastAsia" w:ascii="宋体" w:hAnsi="宋体" w:eastAsia="宋体"/>
          <w:color w:val="auto"/>
          <w:kern w:val="0"/>
          <w:szCs w:val="21"/>
          <w:highlight w:val="none"/>
        </w:rPr>
        <w:t>.1.2</w:t>
      </w:r>
      <w:bookmarkEnd w:id="30"/>
      <w:r>
        <w:rPr>
          <w:rFonts w:hint="eastAsia" w:ascii="宋体" w:hAnsi="宋体" w:eastAsia="宋体"/>
          <w:color w:val="auto"/>
          <w:kern w:val="0"/>
          <w:szCs w:val="21"/>
          <w:highlight w:val="none"/>
        </w:rPr>
        <w:t xml:space="preserve"> 按气候条件可分为全天候</w:t>
      </w:r>
      <w:bookmarkStart w:id="31" w:name="OLE_LINK9"/>
      <w:bookmarkStart w:id="32" w:name="OLE_LINK10"/>
      <w:r>
        <w:rPr>
          <w:rFonts w:hint="eastAsia" w:ascii="宋体" w:hAnsi="宋体" w:eastAsia="宋体"/>
          <w:color w:val="auto"/>
          <w:kern w:val="0"/>
          <w:szCs w:val="21"/>
          <w:highlight w:val="none"/>
        </w:rPr>
        <w:t>式绝缘操作杆</w:t>
      </w:r>
      <w:bookmarkEnd w:id="31"/>
      <w:bookmarkEnd w:id="32"/>
      <w:r>
        <w:rPr>
          <w:rFonts w:hint="eastAsia" w:ascii="宋体" w:hAnsi="宋体" w:eastAsia="宋体"/>
          <w:color w:val="auto"/>
          <w:kern w:val="0"/>
          <w:szCs w:val="21"/>
          <w:highlight w:val="none"/>
        </w:rPr>
        <w:t>和非全天候式绝缘操作杆。</w:t>
      </w:r>
      <w:bookmarkStart w:id="33" w:name="OLE_LINK11"/>
    </w:p>
    <w:p>
      <w:pPr>
        <w:pStyle w:val="79"/>
        <w:adjustRightInd w:val="0"/>
        <w:snapToGrid w:val="0"/>
        <w:spacing w:line="360" w:lineRule="auto"/>
        <w:ind w:firstLine="0" w:firstLineChars="0"/>
        <w:rPr>
          <w:rFonts w:hint="eastAsia" w:ascii="宋体" w:hAnsi="宋体" w:eastAsia="宋体"/>
          <w:color w:val="auto"/>
          <w:kern w:val="0"/>
          <w:szCs w:val="21"/>
          <w:highlight w:val="none"/>
        </w:rPr>
      </w:pPr>
      <w:r>
        <w:rPr>
          <w:rFonts w:ascii="宋体" w:hAnsi="宋体" w:eastAsia="宋体"/>
          <w:color w:val="auto"/>
          <w:kern w:val="0"/>
          <w:szCs w:val="21"/>
          <w:highlight w:val="none"/>
        </w:rPr>
        <w:t>4</w:t>
      </w:r>
      <w:r>
        <w:rPr>
          <w:rFonts w:hint="eastAsia" w:ascii="宋体" w:hAnsi="宋体" w:eastAsia="宋体"/>
          <w:color w:val="auto"/>
          <w:kern w:val="0"/>
          <w:szCs w:val="21"/>
          <w:highlight w:val="none"/>
        </w:rPr>
        <w:t>.1.3</w:t>
      </w:r>
      <w:bookmarkEnd w:id="33"/>
      <w:r>
        <w:rPr>
          <w:rFonts w:hint="eastAsia" w:ascii="宋体" w:hAnsi="宋体" w:eastAsia="宋体"/>
          <w:color w:val="auto"/>
          <w:kern w:val="0"/>
          <w:szCs w:val="21"/>
          <w:highlight w:val="none"/>
        </w:rPr>
        <w:t xml:space="preserve"> 按连接结构可分为可调式绝缘操作杆和分节式绝缘操作杆，分节式又可分为插销式和螺纹接口式。</w:t>
      </w:r>
    </w:p>
    <w:p>
      <w:pPr>
        <w:pStyle w:val="79"/>
        <w:adjustRightInd w:val="0"/>
        <w:snapToGrid w:val="0"/>
        <w:spacing w:line="360" w:lineRule="auto"/>
        <w:ind w:firstLine="0" w:firstLineChars="0"/>
        <w:rPr>
          <w:rFonts w:hint="eastAsia" w:ascii="宋体" w:hAnsi="宋体" w:eastAsia="宋体"/>
          <w:color w:val="auto"/>
          <w:kern w:val="0"/>
          <w:szCs w:val="21"/>
          <w:highlight w:val="none"/>
        </w:rPr>
      </w:pPr>
      <w:r>
        <w:rPr>
          <w:rFonts w:ascii="宋体" w:hAnsi="宋体" w:eastAsia="宋体"/>
          <w:color w:val="auto"/>
          <w:kern w:val="0"/>
          <w:szCs w:val="21"/>
          <w:highlight w:val="none"/>
        </w:rPr>
        <w:t>4</w:t>
      </w:r>
      <w:r>
        <w:rPr>
          <w:rFonts w:hint="eastAsia" w:ascii="宋体" w:hAnsi="宋体" w:eastAsia="宋体"/>
          <w:color w:val="auto"/>
          <w:kern w:val="0"/>
          <w:szCs w:val="21"/>
          <w:highlight w:val="none"/>
        </w:rPr>
        <w:t>.1.4 按杆头不同可分为H型拉闸杆头和T型拉闸杆头。</w:t>
      </w:r>
      <w:bookmarkStart w:id="34" w:name="_Toc18122"/>
    </w:p>
    <w:p>
      <w:pPr>
        <w:pStyle w:val="79"/>
        <w:adjustRightInd w:val="0"/>
        <w:snapToGrid w:val="0"/>
        <w:spacing w:line="360" w:lineRule="auto"/>
        <w:ind w:firstLine="0" w:firstLineChars="0"/>
        <w:rPr>
          <w:rFonts w:hint="eastAsia" w:ascii="宋体" w:hAnsi="宋体" w:eastAsia="宋体"/>
          <w:color w:val="auto"/>
          <w:kern w:val="0"/>
          <w:szCs w:val="21"/>
          <w:highlight w:val="none"/>
        </w:rPr>
      </w:pPr>
      <w:bookmarkStart w:id="35" w:name="_Toc12694"/>
      <w:r>
        <w:rPr>
          <w:rFonts w:ascii="宋体" w:hAnsi="宋体" w:eastAsia="宋体"/>
          <w:color w:val="auto"/>
          <w:kern w:val="0"/>
          <w:szCs w:val="21"/>
          <w:highlight w:val="none"/>
        </w:rPr>
        <w:t>4</w:t>
      </w:r>
      <w:r>
        <w:rPr>
          <w:rFonts w:hint="eastAsia" w:ascii="宋体" w:hAnsi="宋体" w:eastAsia="宋体"/>
          <w:color w:val="auto"/>
          <w:kern w:val="0"/>
          <w:szCs w:val="21"/>
          <w:highlight w:val="none"/>
        </w:rPr>
        <w:t>.</w:t>
      </w:r>
      <w:r>
        <w:rPr>
          <w:rFonts w:ascii="宋体" w:hAnsi="宋体" w:eastAsia="宋体"/>
          <w:color w:val="auto"/>
          <w:kern w:val="0"/>
          <w:szCs w:val="21"/>
          <w:highlight w:val="none"/>
        </w:rPr>
        <w:t>2</w:t>
      </w:r>
      <w:r>
        <w:rPr>
          <w:rFonts w:hint="eastAsia" w:ascii="宋体" w:hAnsi="宋体" w:eastAsia="宋体"/>
          <w:color w:val="auto"/>
          <w:kern w:val="0"/>
          <w:szCs w:val="21"/>
          <w:highlight w:val="none"/>
        </w:rPr>
        <w:t xml:space="preserve"> 材料要求</w:t>
      </w:r>
      <w:bookmarkEnd w:id="34"/>
      <w:bookmarkEnd w:id="35"/>
    </w:p>
    <w:p>
      <w:pPr>
        <w:pStyle w:val="79"/>
        <w:adjustRightInd w:val="0"/>
        <w:snapToGrid w:val="0"/>
        <w:spacing w:line="360" w:lineRule="auto"/>
        <w:ind w:firstLine="0" w:firstLineChars="0"/>
        <w:rPr>
          <w:rFonts w:hint="eastAsia" w:ascii="宋体" w:hAnsi="宋体" w:eastAsia="宋体"/>
          <w:color w:val="auto"/>
          <w:kern w:val="0"/>
          <w:szCs w:val="21"/>
          <w:highlight w:val="none"/>
        </w:rPr>
      </w:pPr>
      <w:r>
        <w:rPr>
          <w:rFonts w:ascii="宋体" w:hAnsi="宋体" w:eastAsia="宋体"/>
          <w:color w:val="auto"/>
          <w:kern w:val="0"/>
          <w:szCs w:val="21"/>
          <w:highlight w:val="none"/>
        </w:rPr>
        <w:t>4</w:t>
      </w:r>
      <w:r>
        <w:rPr>
          <w:rFonts w:hint="eastAsia" w:ascii="宋体" w:hAnsi="宋体" w:eastAsia="宋体"/>
          <w:color w:val="auto"/>
          <w:kern w:val="0"/>
          <w:szCs w:val="21"/>
          <w:highlight w:val="none"/>
        </w:rPr>
        <w:t>.</w:t>
      </w:r>
      <w:r>
        <w:rPr>
          <w:rFonts w:ascii="宋体" w:hAnsi="宋体" w:eastAsia="宋体"/>
          <w:color w:val="auto"/>
          <w:kern w:val="0"/>
          <w:szCs w:val="21"/>
          <w:highlight w:val="none"/>
        </w:rPr>
        <w:t>2</w:t>
      </w:r>
      <w:r>
        <w:rPr>
          <w:rFonts w:hint="eastAsia" w:ascii="宋体" w:hAnsi="宋体" w:eastAsia="宋体"/>
          <w:color w:val="auto"/>
          <w:kern w:val="0"/>
          <w:szCs w:val="21"/>
          <w:highlight w:val="none"/>
        </w:rPr>
        <w:t>.1 绝缘操作杆的杆材应由合成材料制成，合成材料可用无机或人造纤维加强，其外观颜色可由用户确定。其密度不应小于1.75g/cm</w:t>
      </w:r>
      <w:r>
        <w:rPr>
          <w:rFonts w:hint="eastAsia" w:ascii="宋体" w:hAnsi="宋体" w:eastAsia="宋体"/>
          <w:color w:val="auto"/>
          <w:kern w:val="0"/>
          <w:szCs w:val="21"/>
          <w:highlight w:val="none"/>
          <w:vertAlign w:val="superscript"/>
        </w:rPr>
        <w:t>3</w:t>
      </w:r>
      <w:r>
        <w:rPr>
          <w:rFonts w:hint="eastAsia" w:ascii="宋体" w:hAnsi="宋体" w:eastAsia="宋体"/>
          <w:color w:val="auto"/>
          <w:kern w:val="0"/>
          <w:szCs w:val="21"/>
          <w:highlight w:val="none"/>
        </w:rPr>
        <w:t>，吸水率不大于0.15%，50Hz介质损耗角正切不大于0.01。</w:t>
      </w:r>
    </w:p>
    <w:p>
      <w:pPr>
        <w:pStyle w:val="79"/>
        <w:adjustRightInd w:val="0"/>
        <w:snapToGrid w:val="0"/>
        <w:spacing w:line="360" w:lineRule="auto"/>
        <w:ind w:firstLine="0" w:firstLineChars="0"/>
        <w:rPr>
          <w:rFonts w:hint="eastAsia" w:ascii="宋体" w:hAnsi="宋体" w:eastAsia="宋体"/>
          <w:color w:val="auto"/>
          <w:kern w:val="0"/>
          <w:szCs w:val="21"/>
          <w:highlight w:val="none"/>
        </w:rPr>
      </w:pPr>
      <w:r>
        <w:rPr>
          <w:rFonts w:ascii="宋体" w:hAnsi="宋体" w:eastAsia="宋体"/>
          <w:color w:val="auto"/>
          <w:kern w:val="0"/>
          <w:szCs w:val="21"/>
          <w:highlight w:val="none"/>
        </w:rPr>
        <w:t>4</w:t>
      </w:r>
      <w:r>
        <w:rPr>
          <w:rFonts w:hint="eastAsia" w:ascii="宋体" w:hAnsi="宋体" w:eastAsia="宋体"/>
          <w:color w:val="auto"/>
          <w:kern w:val="0"/>
          <w:szCs w:val="21"/>
          <w:highlight w:val="none"/>
        </w:rPr>
        <w:t>.</w:t>
      </w:r>
      <w:r>
        <w:rPr>
          <w:rFonts w:ascii="宋体" w:hAnsi="宋体" w:eastAsia="宋体"/>
          <w:color w:val="auto"/>
          <w:kern w:val="0"/>
          <w:szCs w:val="21"/>
          <w:highlight w:val="none"/>
        </w:rPr>
        <w:t>2</w:t>
      </w:r>
      <w:r>
        <w:rPr>
          <w:rFonts w:hint="eastAsia" w:ascii="宋体" w:hAnsi="宋体" w:eastAsia="宋体"/>
          <w:color w:val="auto"/>
          <w:kern w:val="0"/>
          <w:szCs w:val="21"/>
          <w:highlight w:val="none"/>
        </w:rPr>
        <w:t>.2 填充泡沫应粘合在绝缘管内壁。在进行本规范所规定的试验时，除部件破坏引起的损坏外，泡沫或粘接剂都不应损坏。</w:t>
      </w:r>
    </w:p>
    <w:p>
      <w:pPr>
        <w:pStyle w:val="79"/>
        <w:adjustRightInd w:val="0"/>
        <w:snapToGrid w:val="0"/>
        <w:spacing w:line="360" w:lineRule="auto"/>
        <w:ind w:firstLine="0" w:firstLineChars="0"/>
        <w:rPr>
          <w:rFonts w:hint="eastAsia" w:ascii="宋体" w:hAnsi="宋体" w:eastAsia="宋体"/>
          <w:color w:val="auto"/>
          <w:kern w:val="0"/>
          <w:szCs w:val="21"/>
          <w:highlight w:val="none"/>
        </w:rPr>
      </w:pPr>
      <w:r>
        <w:rPr>
          <w:rFonts w:ascii="宋体" w:hAnsi="宋体" w:eastAsia="宋体"/>
          <w:color w:val="auto"/>
          <w:kern w:val="0"/>
          <w:szCs w:val="21"/>
          <w:highlight w:val="none"/>
        </w:rPr>
        <w:t>4</w:t>
      </w:r>
      <w:r>
        <w:rPr>
          <w:rFonts w:hint="eastAsia" w:ascii="宋体" w:hAnsi="宋体" w:eastAsia="宋体"/>
          <w:color w:val="auto"/>
          <w:kern w:val="0"/>
          <w:szCs w:val="21"/>
          <w:highlight w:val="none"/>
        </w:rPr>
        <w:t>.</w:t>
      </w:r>
      <w:r>
        <w:rPr>
          <w:rFonts w:ascii="宋体" w:hAnsi="宋体" w:eastAsia="宋体"/>
          <w:color w:val="auto"/>
          <w:kern w:val="0"/>
          <w:szCs w:val="21"/>
          <w:highlight w:val="none"/>
        </w:rPr>
        <w:t>2</w:t>
      </w:r>
      <w:r>
        <w:rPr>
          <w:rFonts w:hint="eastAsia" w:ascii="宋体" w:hAnsi="宋体" w:eastAsia="宋体"/>
          <w:color w:val="auto"/>
          <w:kern w:val="0"/>
          <w:szCs w:val="21"/>
          <w:highlight w:val="none"/>
        </w:rPr>
        <w:t>.3 用空心管制造的绝缘操作杆的内、外表面及端部必须进行防潮处理，可采用泡沫对空心管进行填充，以防止内表面受潮和脏污。</w:t>
      </w:r>
    </w:p>
    <w:p>
      <w:pPr>
        <w:pStyle w:val="79"/>
        <w:adjustRightInd w:val="0"/>
        <w:snapToGrid w:val="0"/>
        <w:spacing w:line="360" w:lineRule="auto"/>
        <w:ind w:firstLine="0" w:firstLineChars="0"/>
        <w:rPr>
          <w:rFonts w:hint="eastAsia" w:ascii="宋体" w:hAnsi="宋体" w:eastAsia="宋体"/>
          <w:color w:val="auto"/>
          <w:kern w:val="0"/>
          <w:szCs w:val="21"/>
          <w:highlight w:val="none"/>
        </w:rPr>
      </w:pPr>
      <w:bookmarkStart w:id="36" w:name="_Toc22553"/>
      <w:r>
        <w:rPr>
          <w:rFonts w:ascii="宋体" w:hAnsi="宋体" w:eastAsia="宋体"/>
          <w:color w:val="auto"/>
          <w:kern w:val="0"/>
          <w:szCs w:val="21"/>
          <w:highlight w:val="none"/>
        </w:rPr>
        <w:t>4</w:t>
      </w:r>
      <w:r>
        <w:rPr>
          <w:rFonts w:hint="eastAsia" w:ascii="宋体" w:hAnsi="宋体" w:eastAsia="宋体"/>
          <w:color w:val="auto"/>
          <w:kern w:val="0"/>
          <w:szCs w:val="21"/>
          <w:highlight w:val="none"/>
        </w:rPr>
        <w:t>.</w:t>
      </w:r>
      <w:r>
        <w:rPr>
          <w:rFonts w:ascii="宋体" w:hAnsi="宋体" w:eastAsia="宋体"/>
          <w:color w:val="auto"/>
          <w:kern w:val="0"/>
          <w:szCs w:val="21"/>
          <w:highlight w:val="none"/>
        </w:rPr>
        <w:t>3</w:t>
      </w:r>
      <w:r>
        <w:rPr>
          <w:rFonts w:hint="eastAsia" w:ascii="宋体" w:hAnsi="宋体" w:eastAsia="宋体"/>
          <w:color w:val="auto"/>
          <w:kern w:val="0"/>
          <w:szCs w:val="21"/>
          <w:highlight w:val="none"/>
        </w:rPr>
        <w:t xml:space="preserve"> 结构及规格要求</w:t>
      </w:r>
      <w:bookmarkEnd w:id="36"/>
    </w:p>
    <w:p>
      <w:pPr>
        <w:pStyle w:val="79"/>
        <w:adjustRightInd w:val="0"/>
        <w:snapToGrid w:val="0"/>
        <w:spacing w:line="360" w:lineRule="auto"/>
        <w:ind w:firstLine="0" w:firstLineChars="0"/>
        <w:rPr>
          <w:rFonts w:hint="eastAsia" w:ascii="宋体" w:hAnsi="宋体" w:eastAsia="宋体"/>
          <w:color w:val="auto"/>
          <w:kern w:val="0"/>
          <w:szCs w:val="21"/>
          <w:highlight w:val="none"/>
        </w:rPr>
      </w:pPr>
      <w:r>
        <w:rPr>
          <w:rFonts w:ascii="宋体" w:hAnsi="宋体" w:eastAsia="宋体"/>
          <w:color w:val="auto"/>
          <w:kern w:val="0"/>
          <w:szCs w:val="21"/>
          <w:highlight w:val="none"/>
        </w:rPr>
        <w:t>4</w:t>
      </w:r>
      <w:r>
        <w:rPr>
          <w:rFonts w:hint="eastAsia" w:ascii="宋体" w:hAnsi="宋体" w:eastAsia="宋体"/>
          <w:color w:val="auto"/>
          <w:kern w:val="0"/>
          <w:szCs w:val="21"/>
          <w:highlight w:val="none"/>
        </w:rPr>
        <w:t>.</w:t>
      </w:r>
      <w:r>
        <w:rPr>
          <w:rFonts w:ascii="宋体" w:hAnsi="宋体" w:eastAsia="宋体"/>
          <w:color w:val="auto"/>
          <w:kern w:val="0"/>
          <w:szCs w:val="21"/>
          <w:highlight w:val="none"/>
        </w:rPr>
        <w:t>3</w:t>
      </w:r>
      <w:r>
        <w:rPr>
          <w:rFonts w:hint="eastAsia" w:ascii="宋体" w:hAnsi="宋体" w:eastAsia="宋体"/>
          <w:color w:val="auto"/>
          <w:kern w:val="0"/>
          <w:szCs w:val="21"/>
          <w:highlight w:val="none"/>
        </w:rPr>
        <w:t>.1 绝缘操作杆由杆头、绝缘部分和握手部分构成。</w:t>
      </w:r>
    </w:p>
    <w:p>
      <w:pPr>
        <w:pStyle w:val="79"/>
        <w:adjustRightInd w:val="0"/>
        <w:snapToGrid w:val="0"/>
        <w:spacing w:line="360" w:lineRule="auto"/>
        <w:ind w:firstLine="0" w:firstLineChars="0"/>
        <w:rPr>
          <w:rFonts w:hint="eastAsia" w:ascii="宋体" w:hAnsi="宋体" w:eastAsia="宋体"/>
          <w:color w:val="auto"/>
          <w:kern w:val="0"/>
          <w:szCs w:val="21"/>
          <w:highlight w:val="none"/>
        </w:rPr>
      </w:pPr>
      <w:r>
        <w:rPr>
          <w:rFonts w:ascii="宋体" w:hAnsi="宋体" w:eastAsia="宋体"/>
          <w:color w:val="auto"/>
          <w:kern w:val="0"/>
          <w:szCs w:val="21"/>
          <w:highlight w:val="none"/>
        </w:rPr>
        <w:t>4</w:t>
      </w:r>
      <w:r>
        <w:rPr>
          <w:rFonts w:hint="eastAsia" w:ascii="宋体" w:hAnsi="宋体" w:eastAsia="宋体"/>
          <w:color w:val="auto"/>
          <w:kern w:val="0"/>
          <w:szCs w:val="21"/>
          <w:highlight w:val="none"/>
        </w:rPr>
        <w:t>.</w:t>
      </w:r>
      <w:r>
        <w:rPr>
          <w:rFonts w:ascii="宋体" w:hAnsi="宋体" w:eastAsia="宋体"/>
          <w:color w:val="auto"/>
          <w:kern w:val="0"/>
          <w:szCs w:val="21"/>
          <w:highlight w:val="none"/>
        </w:rPr>
        <w:t>3</w:t>
      </w:r>
      <w:r>
        <w:rPr>
          <w:rFonts w:hint="eastAsia" w:ascii="宋体" w:hAnsi="宋体" w:eastAsia="宋体"/>
          <w:color w:val="auto"/>
          <w:kern w:val="0"/>
          <w:szCs w:val="21"/>
          <w:highlight w:val="none"/>
        </w:rPr>
        <w:t>.2 杆头可以由金属或绝缘材料制成，用来直接接触带电设备。根据工作需要，杆头可做成不同的样式，装在杆的顶端。绝缘杆杆头的长度在满足工作需要的情况下，应尽量做短，满足表4.2中所列的数值，一般不超过10cm，以避免由于过长而在操作过程中造成相间短路或接地短路。</w:t>
      </w:r>
    </w:p>
    <w:p>
      <w:pPr>
        <w:pStyle w:val="79"/>
        <w:adjustRightInd w:val="0"/>
        <w:snapToGrid w:val="0"/>
        <w:spacing w:line="360" w:lineRule="auto"/>
        <w:ind w:firstLine="0" w:firstLineChars="0"/>
        <w:rPr>
          <w:rFonts w:hint="eastAsia" w:ascii="宋体" w:hAnsi="宋体" w:eastAsia="宋体"/>
          <w:color w:val="auto"/>
          <w:kern w:val="0"/>
          <w:szCs w:val="21"/>
          <w:highlight w:val="none"/>
        </w:rPr>
      </w:pPr>
      <w:r>
        <w:rPr>
          <w:rFonts w:ascii="宋体" w:hAnsi="宋体" w:eastAsia="宋体"/>
          <w:color w:val="auto"/>
          <w:kern w:val="0"/>
          <w:szCs w:val="21"/>
          <w:highlight w:val="none"/>
        </w:rPr>
        <w:t>4</w:t>
      </w:r>
      <w:r>
        <w:rPr>
          <w:rFonts w:hint="eastAsia" w:ascii="宋体" w:hAnsi="宋体" w:eastAsia="宋体"/>
          <w:color w:val="auto"/>
          <w:kern w:val="0"/>
          <w:szCs w:val="21"/>
          <w:highlight w:val="none"/>
        </w:rPr>
        <w:t>.</w:t>
      </w:r>
      <w:r>
        <w:rPr>
          <w:rFonts w:ascii="宋体" w:hAnsi="宋体" w:eastAsia="宋体"/>
          <w:color w:val="auto"/>
          <w:kern w:val="0"/>
          <w:szCs w:val="21"/>
          <w:highlight w:val="none"/>
        </w:rPr>
        <w:t>3</w:t>
      </w:r>
      <w:r>
        <w:rPr>
          <w:rFonts w:hint="eastAsia" w:ascii="宋体" w:hAnsi="宋体" w:eastAsia="宋体"/>
          <w:color w:val="auto"/>
          <w:kern w:val="0"/>
          <w:szCs w:val="21"/>
          <w:highlight w:val="none"/>
        </w:rPr>
        <w:t>.3 绝缘部分用于绝缘隔离。根据电压等级的不同，最短有效绝缘长度不应小于表</w:t>
      </w:r>
      <w:r>
        <w:rPr>
          <w:rFonts w:hint="eastAsia" w:ascii="宋体" w:hAnsi="宋体" w:eastAsia="宋体"/>
          <w:color w:val="auto"/>
          <w:kern w:val="0"/>
          <w:szCs w:val="21"/>
          <w:highlight w:val="none"/>
          <w:lang w:val="en-US" w:eastAsia="zh-CN"/>
        </w:rPr>
        <w:t>4</w:t>
      </w:r>
      <w:r>
        <w:rPr>
          <w:rFonts w:hint="eastAsia" w:ascii="宋体" w:hAnsi="宋体" w:eastAsia="宋体"/>
          <w:color w:val="auto"/>
          <w:kern w:val="0"/>
          <w:szCs w:val="21"/>
          <w:highlight w:val="none"/>
        </w:rPr>
        <w:t>.2中所列的数值。</w:t>
      </w:r>
    </w:p>
    <w:p>
      <w:pPr>
        <w:spacing w:line="360" w:lineRule="auto"/>
        <w:ind w:firstLine="2835" w:firstLineChars="1350"/>
        <w:rPr>
          <w:rFonts w:hint="eastAsia" w:ascii="宋体" w:hAnsi="宋体" w:cs="宋体"/>
          <w:bCs/>
          <w:color w:val="auto"/>
          <w:szCs w:val="21"/>
          <w:highlight w:val="none"/>
        </w:rPr>
      </w:pPr>
      <w:r>
        <w:rPr>
          <w:rFonts w:hint="eastAsia" w:ascii="宋体" w:hAnsi="宋体" w:cs="宋体"/>
          <w:bCs/>
          <w:color w:val="auto"/>
          <w:szCs w:val="21"/>
          <w:highlight w:val="none"/>
        </w:rPr>
        <w:t>表</w:t>
      </w:r>
      <w:r>
        <w:rPr>
          <w:rFonts w:hint="eastAsia" w:ascii="宋体" w:hAnsi="宋体" w:cs="宋体"/>
          <w:bCs/>
          <w:color w:val="auto"/>
          <w:szCs w:val="21"/>
          <w:highlight w:val="none"/>
          <w:lang w:val="en-US" w:eastAsia="zh-CN"/>
        </w:rPr>
        <w:t>4</w:t>
      </w:r>
      <w:r>
        <w:rPr>
          <w:rFonts w:hint="eastAsia" w:ascii="宋体" w:hAnsi="宋体" w:cs="宋体"/>
          <w:bCs/>
          <w:color w:val="auto"/>
          <w:szCs w:val="21"/>
          <w:highlight w:val="none"/>
        </w:rPr>
        <w:t>.2绝缘操作杆长度的要求</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6"/>
        <w:gridCol w:w="2407"/>
        <w:gridCol w:w="2407"/>
        <w:gridCol w:w="20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66"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额定电压（kV）</w:t>
            </w:r>
          </w:p>
        </w:tc>
        <w:tc>
          <w:tcPr>
            <w:tcW w:w="2407"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最小有效绝缘长度（m）</w:t>
            </w:r>
          </w:p>
        </w:tc>
        <w:tc>
          <w:tcPr>
            <w:tcW w:w="2407"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端部金属接头长度（m）</w:t>
            </w:r>
          </w:p>
        </w:tc>
        <w:tc>
          <w:tcPr>
            <w:tcW w:w="2036"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握手部分长度（m）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1666"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10</w:t>
            </w:r>
          </w:p>
        </w:tc>
        <w:tc>
          <w:tcPr>
            <w:tcW w:w="2407"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≥0.70</w:t>
            </w:r>
          </w:p>
        </w:tc>
        <w:tc>
          <w:tcPr>
            <w:tcW w:w="2407"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≤0.10</w:t>
            </w:r>
          </w:p>
        </w:tc>
        <w:tc>
          <w:tcPr>
            <w:tcW w:w="2036"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≥0.60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1666" w:type="dxa"/>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20</w:t>
            </w:r>
          </w:p>
        </w:tc>
        <w:tc>
          <w:tcPr>
            <w:tcW w:w="2407"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≥0.80</w:t>
            </w:r>
          </w:p>
        </w:tc>
        <w:tc>
          <w:tcPr>
            <w:tcW w:w="2407"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≤0.10</w:t>
            </w:r>
          </w:p>
        </w:tc>
        <w:tc>
          <w:tcPr>
            <w:tcW w:w="2036"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≥0.60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66"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35</w:t>
            </w:r>
          </w:p>
        </w:tc>
        <w:tc>
          <w:tcPr>
            <w:tcW w:w="2407"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≥0.90</w:t>
            </w:r>
          </w:p>
        </w:tc>
        <w:tc>
          <w:tcPr>
            <w:tcW w:w="2407"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≤0.10</w:t>
            </w:r>
          </w:p>
        </w:tc>
        <w:tc>
          <w:tcPr>
            <w:tcW w:w="2036"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≥0.60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66"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66</w:t>
            </w:r>
          </w:p>
        </w:tc>
        <w:tc>
          <w:tcPr>
            <w:tcW w:w="2407"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≥1.00</w:t>
            </w:r>
          </w:p>
        </w:tc>
        <w:tc>
          <w:tcPr>
            <w:tcW w:w="2407"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≤0.10</w:t>
            </w:r>
          </w:p>
        </w:tc>
        <w:tc>
          <w:tcPr>
            <w:tcW w:w="2036"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≥0.60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66"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110</w:t>
            </w:r>
          </w:p>
        </w:tc>
        <w:tc>
          <w:tcPr>
            <w:tcW w:w="2407"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≥1.30</w:t>
            </w:r>
          </w:p>
        </w:tc>
        <w:tc>
          <w:tcPr>
            <w:tcW w:w="2407"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≤0.10</w:t>
            </w:r>
          </w:p>
        </w:tc>
        <w:tc>
          <w:tcPr>
            <w:tcW w:w="2036"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≥0.70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66"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220</w:t>
            </w:r>
          </w:p>
        </w:tc>
        <w:tc>
          <w:tcPr>
            <w:tcW w:w="2407"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≥2.10</w:t>
            </w:r>
          </w:p>
        </w:tc>
        <w:tc>
          <w:tcPr>
            <w:tcW w:w="2407"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≤0.10</w:t>
            </w:r>
          </w:p>
        </w:tc>
        <w:tc>
          <w:tcPr>
            <w:tcW w:w="2036"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≥0.90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66"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500</w:t>
            </w:r>
          </w:p>
        </w:tc>
        <w:tc>
          <w:tcPr>
            <w:tcW w:w="2407"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≥4.00</w:t>
            </w:r>
          </w:p>
        </w:tc>
        <w:tc>
          <w:tcPr>
            <w:tcW w:w="2407"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≤0.10</w:t>
            </w:r>
          </w:p>
        </w:tc>
        <w:tc>
          <w:tcPr>
            <w:tcW w:w="2036"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66" w:type="dxa"/>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1000</w:t>
            </w:r>
          </w:p>
        </w:tc>
        <w:tc>
          <w:tcPr>
            <w:tcW w:w="2407" w:type="dxa"/>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≥6.80</w:t>
            </w:r>
          </w:p>
        </w:tc>
        <w:tc>
          <w:tcPr>
            <w:tcW w:w="2407" w:type="dxa"/>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≤0.20</w:t>
            </w:r>
          </w:p>
        </w:tc>
        <w:tc>
          <w:tcPr>
            <w:tcW w:w="2036" w:type="dxa"/>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66"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±500</w:t>
            </w:r>
          </w:p>
        </w:tc>
        <w:tc>
          <w:tcPr>
            <w:tcW w:w="2407"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≥3.70</w:t>
            </w:r>
          </w:p>
        </w:tc>
        <w:tc>
          <w:tcPr>
            <w:tcW w:w="2407"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≤0.10</w:t>
            </w:r>
          </w:p>
        </w:tc>
        <w:tc>
          <w:tcPr>
            <w:tcW w:w="2036"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66"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±600</w:t>
            </w:r>
          </w:p>
        </w:tc>
        <w:tc>
          <w:tcPr>
            <w:tcW w:w="2407" w:type="dxa"/>
          </w:tcPr>
          <w:p>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≥5.3</w:t>
            </w:r>
          </w:p>
        </w:tc>
        <w:tc>
          <w:tcPr>
            <w:tcW w:w="2407"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≤0.10</w:t>
            </w:r>
          </w:p>
        </w:tc>
        <w:tc>
          <w:tcPr>
            <w:tcW w:w="2036"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66"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±800</w:t>
            </w:r>
          </w:p>
        </w:tc>
        <w:tc>
          <w:tcPr>
            <w:tcW w:w="2407"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≥6.80</w:t>
            </w:r>
          </w:p>
        </w:tc>
        <w:tc>
          <w:tcPr>
            <w:tcW w:w="2407"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≤0.20</w:t>
            </w:r>
          </w:p>
        </w:tc>
        <w:tc>
          <w:tcPr>
            <w:tcW w:w="2036" w:type="dxa"/>
          </w:tcPr>
          <w:p>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≥1.00</w:t>
            </w:r>
          </w:p>
        </w:tc>
      </w:tr>
    </w:tbl>
    <w:p>
      <w:pPr>
        <w:pStyle w:val="79"/>
        <w:adjustRightInd w:val="0"/>
        <w:snapToGrid w:val="0"/>
        <w:spacing w:line="360" w:lineRule="auto"/>
        <w:rPr>
          <w:rFonts w:hint="eastAsia" w:ascii="宋体" w:hAnsi="宋体" w:eastAsia="宋体"/>
          <w:color w:val="auto"/>
          <w:kern w:val="0"/>
          <w:szCs w:val="21"/>
          <w:highlight w:val="none"/>
        </w:rPr>
      </w:pPr>
    </w:p>
    <w:p>
      <w:pPr>
        <w:pStyle w:val="79"/>
        <w:adjustRightInd w:val="0"/>
        <w:snapToGrid w:val="0"/>
        <w:spacing w:line="360" w:lineRule="auto"/>
        <w:ind w:firstLine="0" w:firstLineChars="0"/>
        <w:rPr>
          <w:rFonts w:hint="eastAsia" w:ascii="宋体" w:hAnsi="宋体" w:eastAsia="宋体"/>
          <w:color w:val="auto"/>
          <w:kern w:val="0"/>
          <w:szCs w:val="21"/>
          <w:highlight w:val="none"/>
        </w:rPr>
      </w:pPr>
      <w:r>
        <w:rPr>
          <w:rFonts w:ascii="宋体" w:hAnsi="宋体" w:eastAsia="宋体"/>
          <w:color w:val="auto"/>
          <w:kern w:val="0"/>
          <w:szCs w:val="21"/>
          <w:highlight w:val="none"/>
        </w:rPr>
        <w:t>4</w:t>
      </w:r>
      <w:r>
        <w:rPr>
          <w:rFonts w:hint="eastAsia" w:ascii="宋体" w:hAnsi="宋体" w:eastAsia="宋体"/>
          <w:color w:val="auto"/>
          <w:kern w:val="0"/>
          <w:szCs w:val="21"/>
          <w:highlight w:val="none"/>
        </w:rPr>
        <w:t>.</w:t>
      </w:r>
      <w:r>
        <w:rPr>
          <w:rFonts w:ascii="宋体" w:hAnsi="宋体" w:eastAsia="宋体"/>
          <w:color w:val="auto"/>
          <w:kern w:val="0"/>
          <w:szCs w:val="21"/>
          <w:highlight w:val="none"/>
        </w:rPr>
        <w:t>3</w:t>
      </w:r>
      <w:r>
        <w:rPr>
          <w:rFonts w:hint="eastAsia" w:ascii="宋体" w:hAnsi="宋体" w:eastAsia="宋体"/>
          <w:color w:val="auto"/>
          <w:kern w:val="0"/>
          <w:szCs w:val="21"/>
          <w:highlight w:val="none"/>
        </w:rPr>
        <w:t>.4 握手部分为操作人员握持的部分，其材质与绝缘部分相同，与绝缘部分以护环、颜色或其它明显标志相隔开。根据电压等级的不同，握手部分长度不应小于表</w:t>
      </w:r>
      <w:r>
        <w:rPr>
          <w:rFonts w:hint="eastAsia" w:ascii="宋体" w:hAnsi="宋体" w:eastAsia="宋体"/>
          <w:color w:val="auto"/>
          <w:kern w:val="0"/>
          <w:szCs w:val="21"/>
          <w:highlight w:val="none"/>
          <w:lang w:val="en-US" w:eastAsia="zh-CN"/>
        </w:rPr>
        <w:t>4.</w:t>
      </w:r>
      <w:r>
        <w:rPr>
          <w:rFonts w:hint="eastAsia" w:ascii="宋体" w:hAnsi="宋体" w:eastAsia="宋体"/>
          <w:color w:val="auto"/>
          <w:kern w:val="0"/>
          <w:szCs w:val="21"/>
          <w:highlight w:val="none"/>
        </w:rPr>
        <w:t>2中所列的数值。</w:t>
      </w:r>
    </w:p>
    <w:p>
      <w:pPr>
        <w:pStyle w:val="79"/>
        <w:adjustRightInd w:val="0"/>
        <w:snapToGrid w:val="0"/>
        <w:spacing w:line="360" w:lineRule="auto"/>
        <w:ind w:firstLine="0" w:firstLineChars="0"/>
        <w:rPr>
          <w:rFonts w:hint="eastAsia" w:ascii="宋体" w:hAnsi="宋体" w:eastAsia="宋体"/>
          <w:color w:val="auto"/>
          <w:kern w:val="0"/>
          <w:szCs w:val="21"/>
          <w:highlight w:val="none"/>
        </w:rPr>
      </w:pPr>
      <w:r>
        <w:rPr>
          <w:rFonts w:ascii="宋体" w:hAnsi="宋体" w:eastAsia="宋体"/>
          <w:color w:val="auto"/>
          <w:kern w:val="0"/>
          <w:szCs w:val="21"/>
          <w:highlight w:val="none"/>
        </w:rPr>
        <w:t>4</w:t>
      </w:r>
      <w:r>
        <w:rPr>
          <w:rFonts w:hint="eastAsia" w:ascii="宋体" w:hAnsi="宋体" w:eastAsia="宋体"/>
          <w:color w:val="auto"/>
          <w:kern w:val="0"/>
          <w:szCs w:val="21"/>
          <w:highlight w:val="none"/>
        </w:rPr>
        <w:t>.</w:t>
      </w:r>
      <w:r>
        <w:rPr>
          <w:rFonts w:ascii="宋体" w:hAnsi="宋体" w:eastAsia="宋体"/>
          <w:color w:val="auto"/>
          <w:kern w:val="0"/>
          <w:szCs w:val="21"/>
          <w:highlight w:val="none"/>
        </w:rPr>
        <w:t>3</w:t>
      </w:r>
      <w:r>
        <w:rPr>
          <w:rFonts w:hint="eastAsia" w:ascii="宋体" w:hAnsi="宋体" w:eastAsia="宋体"/>
          <w:color w:val="auto"/>
          <w:kern w:val="0"/>
          <w:szCs w:val="21"/>
          <w:highlight w:val="none"/>
        </w:rPr>
        <w:t>.5 绝缘操作杆应有醒目且牢固的型号标识。</w:t>
      </w:r>
    </w:p>
    <w:p>
      <w:pPr>
        <w:pStyle w:val="79"/>
        <w:adjustRightInd w:val="0"/>
        <w:snapToGrid w:val="0"/>
        <w:spacing w:line="360" w:lineRule="auto"/>
        <w:ind w:firstLine="0" w:firstLineChars="0"/>
        <w:rPr>
          <w:rFonts w:hint="eastAsia" w:ascii="宋体" w:hAnsi="宋体" w:eastAsia="宋体"/>
          <w:color w:val="auto"/>
          <w:kern w:val="0"/>
          <w:szCs w:val="21"/>
          <w:highlight w:val="none"/>
        </w:rPr>
      </w:pPr>
      <w:r>
        <w:rPr>
          <w:rFonts w:ascii="宋体" w:hAnsi="宋体" w:eastAsia="宋体"/>
          <w:color w:val="auto"/>
          <w:kern w:val="0"/>
          <w:szCs w:val="21"/>
          <w:highlight w:val="none"/>
        </w:rPr>
        <w:t>4</w:t>
      </w:r>
      <w:r>
        <w:rPr>
          <w:rFonts w:hint="eastAsia" w:ascii="宋体" w:hAnsi="宋体" w:eastAsia="宋体"/>
          <w:color w:val="auto"/>
          <w:kern w:val="0"/>
          <w:szCs w:val="21"/>
          <w:highlight w:val="none"/>
        </w:rPr>
        <w:t>.</w:t>
      </w:r>
      <w:r>
        <w:rPr>
          <w:rFonts w:ascii="宋体" w:hAnsi="宋体" w:eastAsia="宋体"/>
          <w:color w:val="auto"/>
          <w:kern w:val="0"/>
          <w:szCs w:val="21"/>
          <w:highlight w:val="none"/>
        </w:rPr>
        <w:t>3</w:t>
      </w:r>
      <w:r>
        <w:rPr>
          <w:rFonts w:hint="eastAsia" w:ascii="宋体" w:hAnsi="宋体" w:eastAsia="宋体"/>
          <w:color w:val="auto"/>
          <w:kern w:val="0"/>
          <w:szCs w:val="21"/>
          <w:highlight w:val="none"/>
        </w:rPr>
        <w:t>.6 杆头可采用固定式或拆卸式接头，固定式的接头应为高强度材料制成，端部和边缘应加工成圆弧形，无论固定式还是拆卸式连接都应紧密牢固。</w:t>
      </w:r>
    </w:p>
    <w:p>
      <w:pPr>
        <w:pStyle w:val="79"/>
        <w:adjustRightInd w:val="0"/>
        <w:snapToGrid w:val="0"/>
        <w:spacing w:line="360" w:lineRule="auto"/>
        <w:ind w:firstLine="0" w:firstLineChars="0"/>
        <w:rPr>
          <w:rFonts w:hint="eastAsia" w:ascii="宋体" w:hAnsi="宋体" w:eastAsia="宋体"/>
          <w:color w:val="auto"/>
          <w:kern w:val="0"/>
          <w:szCs w:val="21"/>
          <w:highlight w:val="none"/>
        </w:rPr>
      </w:pPr>
      <w:r>
        <w:rPr>
          <w:rFonts w:ascii="宋体" w:hAnsi="宋体" w:eastAsia="宋体"/>
          <w:color w:val="auto"/>
          <w:kern w:val="0"/>
          <w:szCs w:val="21"/>
          <w:highlight w:val="none"/>
        </w:rPr>
        <w:t>4</w:t>
      </w:r>
      <w:r>
        <w:rPr>
          <w:rFonts w:hint="eastAsia" w:ascii="宋体" w:hAnsi="宋体" w:eastAsia="宋体"/>
          <w:color w:val="auto"/>
          <w:kern w:val="0"/>
          <w:szCs w:val="21"/>
          <w:highlight w:val="none"/>
        </w:rPr>
        <w:t>.</w:t>
      </w:r>
      <w:r>
        <w:rPr>
          <w:rFonts w:ascii="宋体" w:hAnsi="宋体" w:eastAsia="宋体"/>
          <w:color w:val="auto"/>
          <w:kern w:val="0"/>
          <w:szCs w:val="21"/>
          <w:highlight w:val="none"/>
        </w:rPr>
        <w:t>3</w:t>
      </w:r>
      <w:r>
        <w:rPr>
          <w:rFonts w:hint="eastAsia" w:ascii="宋体" w:hAnsi="宋体" w:eastAsia="宋体"/>
          <w:color w:val="auto"/>
          <w:kern w:val="0"/>
          <w:szCs w:val="21"/>
          <w:highlight w:val="none"/>
        </w:rPr>
        <w:t>.7 绝缘操作杆的总长度由最短有效绝缘长度、金属接头长度和握手部分长度的总和决定，其各部分长度应符合表</w:t>
      </w:r>
      <w:r>
        <w:rPr>
          <w:rFonts w:hint="eastAsia" w:ascii="宋体" w:hAnsi="宋体" w:eastAsia="宋体"/>
          <w:color w:val="auto"/>
          <w:kern w:val="0"/>
          <w:szCs w:val="21"/>
          <w:highlight w:val="none"/>
          <w:lang w:val="en-US" w:eastAsia="zh-CN"/>
        </w:rPr>
        <w:t>4</w:t>
      </w:r>
      <w:r>
        <w:rPr>
          <w:rFonts w:hint="eastAsia" w:ascii="宋体" w:hAnsi="宋体" w:eastAsia="宋体"/>
          <w:color w:val="auto"/>
          <w:kern w:val="0"/>
          <w:szCs w:val="21"/>
          <w:highlight w:val="none"/>
        </w:rPr>
        <w:t>.2的规定。</w:t>
      </w:r>
    </w:p>
    <w:bookmarkEnd w:id="27"/>
    <w:bookmarkEnd w:id="28"/>
    <w:bookmarkEnd w:id="29"/>
    <w:p>
      <w:pPr>
        <w:pStyle w:val="2"/>
        <w:adjustRightInd w:val="0"/>
        <w:spacing w:before="0" w:beforeLines="0"/>
        <w:rPr>
          <w:rFonts w:hint="eastAsia" w:hAnsi="宋体"/>
          <w:b/>
          <w:color w:val="auto"/>
          <w:highlight w:val="none"/>
        </w:rPr>
      </w:pPr>
      <w:bookmarkStart w:id="37" w:name="_Toc16919"/>
      <w:bookmarkStart w:id="38" w:name="_Toc28214"/>
      <w:bookmarkStart w:id="39" w:name="_Toc24343"/>
      <w:bookmarkStart w:id="40" w:name="_Toc22054"/>
      <w:bookmarkStart w:id="41" w:name="_Toc8961"/>
      <w:bookmarkStart w:id="42" w:name="_Toc142981743"/>
      <w:r>
        <w:rPr>
          <w:rFonts w:hint="eastAsia" w:hAnsi="宋体"/>
          <w:b/>
          <w:color w:val="auto"/>
          <w:highlight w:val="none"/>
        </w:rPr>
        <w:t>检查试验</w:t>
      </w:r>
      <w:bookmarkEnd w:id="37"/>
      <w:bookmarkEnd w:id="38"/>
      <w:bookmarkEnd w:id="39"/>
      <w:bookmarkEnd w:id="40"/>
      <w:bookmarkEnd w:id="41"/>
      <w:bookmarkEnd w:id="42"/>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5.1试验类型</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试验类别分为型式试验、出厂试验、验收试验。</w:t>
      </w:r>
      <w:r>
        <w:rPr>
          <w:rFonts w:hint="eastAsia" w:ascii="宋体" w:hAnsi="宋体" w:cs="宋体"/>
          <w:color w:val="auto"/>
          <w:kern w:val="0"/>
          <w:szCs w:val="21"/>
          <w:highlight w:val="none"/>
        </w:rPr>
        <w:t>试验项目及方法按照</w:t>
      </w:r>
      <w:r>
        <w:rPr>
          <w:rFonts w:ascii="宋体" w:hAnsi="宋体" w:cs="宋体"/>
          <w:bCs/>
          <w:color w:val="auto"/>
          <w:highlight w:val="none"/>
        </w:rPr>
        <w:t>GB 13398-2008</w:t>
      </w:r>
      <w:r>
        <w:rPr>
          <w:rFonts w:hint="eastAsia" w:ascii="宋体" w:hAnsi="宋体" w:cs="宋体"/>
          <w:bCs/>
          <w:color w:val="auto"/>
          <w:highlight w:val="none"/>
        </w:rPr>
        <w:t>等标准执行。</w:t>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5.2外观检查</w:t>
      </w:r>
    </w:p>
    <w:p>
      <w:pPr>
        <w:pStyle w:val="79"/>
        <w:adjustRightInd w:val="0"/>
        <w:snapToGrid w:val="0"/>
        <w:spacing w:line="360" w:lineRule="auto"/>
        <w:rPr>
          <w:rFonts w:hint="eastAsia" w:ascii="宋体" w:hAnsi="宋体" w:eastAsia="宋体"/>
          <w:color w:val="auto"/>
          <w:kern w:val="0"/>
          <w:szCs w:val="21"/>
          <w:highlight w:val="none"/>
        </w:rPr>
      </w:pPr>
      <w:r>
        <w:rPr>
          <w:rFonts w:hint="eastAsia" w:ascii="宋体" w:hAnsi="宋体" w:eastAsia="宋体"/>
          <w:color w:val="auto"/>
          <w:kern w:val="0"/>
          <w:szCs w:val="21"/>
          <w:highlight w:val="none"/>
        </w:rPr>
        <w:t>用肉眼和手摸从外观进行检查。</w:t>
      </w:r>
      <w:r>
        <w:rPr>
          <w:rFonts w:hint="eastAsia" w:ascii="宋体" w:hAnsi="宋体" w:eastAsia="宋体"/>
          <w:color w:val="auto"/>
          <w:kern w:val="0"/>
          <w:szCs w:val="21"/>
          <w:highlight w:val="none"/>
          <w:lang w:eastAsia="zh-CN"/>
        </w:rPr>
        <w:t>绝缘操作棒</w:t>
      </w:r>
      <w:r>
        <w:rPr>
          <w:rFonts w:hint="eastAsia" w:ascii="宋体" w:hAnsi="宋体" w:eastAsia="宋体"/>
          <w:color w:val="auto"/>
          <w:kern w:val="0"/>
          <w:szCs w:val="21"/>
          <w:highlight w:val="none"/>
        </w:rPr>
        <w:t>应光滑，绝缘部分应无气泡、皱纹、裂纹、绝缘层脱裂、严重的机械或电灼伤痕，玻璃纤维布与树脂间粘接完好不得开胶，固定连接部分应无松动、锈蚀和断裂等现象，杆段间连接牢固。握手的手持部分护套与绝缘杆连接紧密、无破损、不产生相对的滑动或转动。</w:t>
      </w:r>
    </w:p>
    <w:p>
      <w:pPr>
        <w:spacing w:line="360" w:lineRule="auto"/>
        <w:rPr>
          <w:rFonts w:ascii="宋体" w:hAnsi="宋体" w:cs="宋体"/>
          <w:color w:val="auto"/>
          <w:szCs w:val="21"/>
          <w:highlight w:val="none"/>
        </w:rPr>
      </w:pPr>
      <w:r>
        <w:rPr>
          <w:rFonts w:hint="eastAsia" w:ascii="宋体" w:hAnsi="宋体" w:cs="宋体"/>
          <w:color w:val="auto"/>
          <w:szCs w:val="21"/>
          <w:highlight w:val="none"/>
        </w:rPr>
        <w:t>5.3试验要求</w:t>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5.3.1出厂试验</w:t>
      </w:r>
    </w:p>
    <w:p>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中标方应对所生产的绝缘操作棒产品逐批进行出厂试验，出厂试验项目和方法应按照</w:t>
      </w:r>
      <w:r>
        <w:rPr>
          <w:rFonts w:ascii="宋体" w:hAnsi="宋体" w:cs="宋体"/>
          <w:color w:val="auto"/>
          <w:szCs w:val="21"/>
          <w:highlight w:val="none"/>
        </w:rPr>
        <w:t>GB 13398-2008</w:t>
      </w:r>
      <w:r>
        <w:rPr>
          <w:rFonts w:hint="eastAsia" w:ascii="宋体" w:hAnsi="宋体" w:cs="宋体"/>
          <w:color w:val="auto"/>
          <w:szCs w:val="21"/>
          <w:highlight w:val="none"/>
        </w:rPr>
        <w:t>中规定进行。</w:t>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5.3.2验收要求</w:t>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5.3.2.1 到货检验</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货物到货签收时，按送货批次中货物数量进行抽检，对照GB/T 2828.1-2003《计数抽样检验程序》，原则上按一批次货物数量1-50抽检样本量为1、51-200抽检样本量为3、201-500抽检样本量为5、501及以上抽检样本量为10。中标方将产品送至</w:t>
      </w:r>
      <w:r>
        <w:rPr>
          <w:rFonts w:hint="eastAsia" w:ascii="宋体" w:hAnsi="宋体" w:cs="宋体"/>
          <w:color w:val="auto"/>
          <w:szCs w:val="21"/>
          <w:highlight w:val="none"/>
          <w:lang w:eastAsia="zh-CN"/>
        </w:rPr>
        <w:t>海南电网有限责任公司</w:t>
      </w:r>
      <w:r>
        <w:rPr>
          <w:rFonts w:hint="eastAsia" w:ascii="宋体" w:hAnsi="宋体" w:cs="宋体"/>
          <w:color w:val="auto"/>
          <w:szCs w:val="21"/>
          <w:highlight w:val="none"/>
        </w:rPr>
        <w:t>安全工器具检测中标的单位进行品控检验，并以检验合格为判断标准，合格者由中标方将产品送至合同约定的收货地点。</w:t>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★5.3.2.2 投标报价需考虑产品抽检试验费用，该费用由投标方负责，抽检试验不合格者，由中标方负责更换。</w:t>
      </w:r>
    </w:p>
    <w:p>
      <w:pPr>
        <w:spacing w:line="360" w:lineRule="auto"/>
        <w:rPr>
          <w:rFonts w:hint="eastAsia" w:ascii="宋体" w:hAnsi="宋体" w:cs="宋体"/>
          <w:color w:val="auto"/>
          <w:highlight w:val="none"/>
        </w:rPr>
      </w:pPr>
      <w:r>
        <w:rPr>
          <w:rFonts w:hint="eastAsia" w:ascii="宋体" w:hAnsi="宋体" w:cs="宋体"/>
          <w:color w:val="auto"/>
          <w:szCs w:val="21"/>
          <w:highlight w:val="none"/>
        </w:rPr>
        <w:t>5.3.2.3 投入使用前使用方将对产品进行全检，全检试验不合格者，由中标方负责更换。全检不合格率超过10%取消供货资格。</w:t>
      </w:r>
    </w:p>
    <w:p>
      <w:pPr>
        <w:spacing w:line="360" w:lineRule="auto"/>
        <w:rPr>
          <w:rFonts w:ascii="宋体" w:hAnsi="宋体"/>
          <w:color w:val="auto"/>
          <w:szCs w:val="21"/>
          <w:highlight w:val="none"/>
        </w:rPr>
      </w:pPr>
      <w:r>
        <w:rPr>
          <w:rFonts w:hint="eastAsia" w:ascii="宋体" w:hAnsi="宋体"/>
          <w:color w:val="auto"/>
          <w:szCs w:val="21"/>
          <w:highlight w:val="none"/>
        </w:rPr>
        <w:t>5.4各类检查试验项目见表5.1。</w:t>
      </w:r>
    </w:p>
    <w:p>
      <w:pPr>
        <w:jc w:val="center"/>
        <w:rPr>
          <w:color w:val="auto"/>
          <w:szCs w:val="21"/>
          <w:highlight w:val="none"/>
        </w:rPr>
      </w:pPr>
      <w:r>
        <w:rPr>
          <w:color w:val="auto"/>
          <w:szCs w:val="21"/>
          <w:highlight w:val="none"/>
        </w:rPr>
        <w:t>表</w:t>
      </w:r>
      <w:r>
        <w:rPr>
          <w:rFonts w:hint="eastAsia"/>
          <w:color w:val="auto"/>
          <w:szCs w:val="21"/>
          <w:highlight w:val="none"/>
        </w:rPr>
        <w:t>5</w:t>
      </w:r>
      <w:r>
        <w:rPr>
          <w:color w:val="auto"/>
          <w:szCs w:val="21"/>
          <w:highlight w:val="none"/>
        </w:rPr>
        <w:t>.</w:t>
      </w:r>
      <w:r>
        <w:rPr>
          <w:rFonts w:hint="eastAsia"/>
          <w:color w:val="auto"/>
          <w:szCs w:val="21"/>
          <w:highlight w:val="none"/>
        </w:rPr>
        <w:t>1</w:t>
      </w:r>
      <w:r>
        <w:rPr>
          <w:color w:val="auto"/>
          <w:szCs w:val="21"/>
          <w:highlight w:val="none"/>
        </w:rPr>
        <w:t xml:space="preserve"> </w:t>
      </w:r>
      <w:r>
        <w:rPr>
          <w:rFonts w:hint="eastAsia"/>
          <w:color w:val="auto"/>
          <w:szCs w:val="21"/>
          <w:highlight w:val="none"/>
        </w:rPr>
        <w:t>试验类型及要求</w:t>
      </w:r>
    </w:p>
    <w:tbl>
      <w:tblPr>
        <w:tblStyle w:val="3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1"/>
        <w:gridCol w:w="3806"/>
        <w:gridCol w:w="1190"/>
        <w:gridCol w:w="1408"/>
        <w:gridCol w:w="14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388" w:type="pct"/>
            <w:vMerge w:val="restart"/>
            <w:shd w:val="clear" w:color="auto" w:fill="auto"/>
            <w:vAlign w:val="center"/>
          </w:tcPr>
          <w:p>
            <w:pPr>
              <w:jc w:val="center"/>
              <w:rPr>
                <w:color w:val="auto"/>
                <w:szCs w:val="21"/>
                <w:highlight w:val="none"/>
              </w:rPr>
            </w:pPr>
            <w:r>
              <w:rPr>
                <w:color w:val="auto"/>
                <w:szCs w:val="21"/>
                <w:highlight w:val="none"/>
              </w:rPr>
              <w:t>序号</w:t>
            </w:r>
          </w:p>
        </w:tc>
        <w:tc>
          <w:tcPr>
            <w:tcW w:w="2235" w:type="pct"/>
            <w:vMerge w:val="restart"/>
            <w:shd w:val="clear" w:color="auto" w:fill="auto"/>
            <w:vAlign w:val="center"/>
          </w:tcPr>
          <w:p>
            <w:pPr>
              <w:jc w:val="center"/>
              <w:rPr>
                <w:color w:val="auto"/>
                <w:szCs w:val="21"/>
                <w:highlight w:val="none"/>
              </w:rPr>
            </w:pPr>
            <w:r>
              <w:rPr>
                <w:color w:val="auto"/>
                <w:szCs w:val="21"/>
                <w:highlight w:val="none"/>
              </w:rPr>
              <w:t>试验项目</w:t>
            </w:r>
          </w:p>
        </w:tc>
        <w:tc>
          <w:tcPr>
            <w:tcW w:w="2377" w:type="pct"/>
            <w:gridSpan w:val="3"/>
            <w:shd w:val="clear" w:color="auto" w:fill="auto"/>
            <w:vAlign w:val="center"/>
          </w:tcPr>
          <w:p>
            <w:pPr>
              <w:jc w:val="center"/>
              <w:rPr>
                <w:color w:val="auto"/>
                <w:szCs w:val="21"/>
                <w:highlight w:val="none"/>
              </w:rPr>
            </w:pPr>
            <w:r>
              <w:rPr>
                <w:color w:val="auto"/>
                <w:szCs w:val="21"/>
                <w:highlight w:val="none"/>
              </w:rPr>
              <w:t>试验类型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jc w:val="center"/>
        </w:trPr>
        <w:tc>
          <w:tcPr>
            <w:tcW w:w="388" w:type="pct"/>
            <w:vMerge w:val="continue"/>
            <w:shd w:val="clear" w:color="auto" w:fill="auto"/>
            <w:vAlign w:val="center"/>
          </w:tcPr>
          <w:p>
            <w:pPr>
              <w:jc w:val="center"/>
              <w:rPr>
                <w:color w:val="auto"/>
                <w:szCs w:val="21"/>
                <w:highlight w:val="none"/>
              </w:rPr>
            </w:pPr>
          </w:p>
        </w:tc>
        <w:tc>
          <w:tcPr>
            <w:tcW w:w="2235" w:type="pct"/>
            <w:vMerge w:val="continue"/>
            <w:shd w:val="clear" w:color="auto" w:fill="auto"/>
            <w:vAlign w:val="center"/>
          </w:tcPr>
          <w:p>
            <w:pPr>
              <w:jc w:val="center"/>
              <w:rPr>
                <w:color w:val="auto"/>
                <w:szCs w:val="21"/>
                <w:highlight w:val="none"/>
              </w:rPr>
            </w:pPr>
          </w:p>
        </w:tc>
        <w:tc>
          <w:tcPr>
            <w:tcW w:w="699" w:type="pct"/>
            <w:shd w:val="clear" w:color="auto" w:fill="auto"/>
            <w:vAlign w:val="center"/>
          </w:tcPr>
          <w:p>
            <w:pPr>
              <w:jc w:val="center"/>
              <w:rPr>
                <w:color w:val="auto"/>
                <w:szCs w:val="21"/>
                <w:highlight w:val="none"/>
              </w:rPr>
            </w:pPr>
            <w:r>
              <w:rPr>
                <w:rFonts w:hint="eastAsia"/>
                <w:color w:val="auto"/>
                <w:szCs w:val="21"/>
                <w:highlight w:val="none"/>
              </w:rPr>
              <w:t>型式试验</w:t>
            </w:r>
          </w:p>
        </w:tc>
        <w:tc>
          <w:tcPr>
            <w:tcW w:w="827" w:type="pct"/>
            <w:shd w:val="clear" w:color="auto" w:fill="auto"/>
            <w:vAlign w:val="center"/>
          </w:tcPr>
          <w:p>
            <w:pPr>
              <w:jc w:val="center"/>
              <w:rPr>
                <w:color w:val="auto"/>
                <w:szCs w:val="21"/>
                <w:highlight w:val="none"/>
              </w:rPr>
            </w:pPr>
            <w:r>
              <w:rPr>
                <w:color w:val="auto"/>
                <w:szCs w:val="21"/>
                <w:highlight w:val="none"/>
              </w:rPr>
              <w:t>出厂试验</w:t>
            </w:r>
          </w:p>
        </w:tc>
        <w:tc>
          <w:tcPr>
            <w:tcW w:w="851" w:type="pct"/>
            <w:shd w:val="clear" w:color="auto" w:fill="auto"/>
            <w:vAlign w:val="center"/>
          </w:tcPr>
          <w:p>
            <w:pPr>
              <w:jc w:val="center"/>
              <w:rPr>
                <w:color w:val="auto"/>
                <w:szCs w:val="21"/>
                <w:highlight w:val="none"/>
              </w:rPr>
            </w:pPr>
            <w:r>
              <w:rPr>
                <w:color w:val="auto"/>
                <w:szCs w:val="21"/>
                <w:highlight w:val="none"/>
              </w:rPr>
              <w:t>验收试验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88" w:type="pct"/>
            <w:shd w:val="clear" w:color="auto" w:fill="auto"/>
            <w:vAlign w:val="center"/>
          </w:tcPr>
          <w:p>
            <w:pPr>
              <w:jc w:val="center"/>
              <w:rPr>
                <w:color w:val="auto"/>
                <w:szCs w:val="21"/>
                <w:highlight w:val="none"/>
              </w:rPr>
            </w:pPr>
            <w:r>
              <w:rPr>
                <w:color w:val="auto"/>
                <w:szCs w:val="21"/>
                <w:highlight w:val="none"/>
              </w:rPr>
              <w:t>1</w:t>
            </w:r>
          </w:p>
        </w:tc>
        <w:tc>
          <w:tcPr>
            <w:tcW w:w="2235" w:type="pct"/>
            <w:shd w:val="clear" w:color="auto" w:fill="auto"/>
            <w:vAlign w:val="center"/>
          </w:tcPr>
          <w:p>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绝缘材料物理、电气性能</w:t>
            </w:r>
          </w:p>
        </w:tc>
        <w:tc>
          <w:tcPr>
            <w:tcW w:w="699" w:type="pct"/>
            <w:shd w:val="clear" w:color="auto" w:fill="auto"/>
            <w:vAlign w:val="center"/>
          </w:tcPr>
          <w:p>
            <w:pPr>
              <w:jc w:val="center"/>
              <w:rPr>
                <w:color w:val="auto"/>
                <w:szCs w:val="21"/>
                <w:highlight w:val="none"/>
              </w:rPr>
            </w:pPr>
            <w:r>
              <w:rPr>
                <w:color w:val="auto"/>
                <w:szCs w:val="21"/>
                <w:highlight w:val="none"/>
              </w:rPr>
              <w:t>√</w:t>
            </w:r>
          </w:p>
        </w:tc>
        <w:tc>
          <w:tcPr>
            <w:tcW w:w="827" w:type="pct"/>
            <w:shd w:val="clear" w:color="auto" w:fill="auto"/>
            <w:vAlign w:val="center"/>
          </w:tcPr>
          <w:p>
            <w:pPr>
              <w:jc w:val="center"/>
              <w:rPr>
                <w:color w:val="auto"/>
                <w:szCs w:val="21"/>
                <w:highlight w:val="none"/>
              </w:rPr>
            </w:pPr>
            <w:r>
              <w:rPr>
                <w:rFonts w:hint="eastAsia"/>
                <w:color w:val="auto"/>
                <w:szCs w:val="21"/>
                <w:highlight w:val="none"/>
              </w:rPr>
              <w:t>-</w:t>
            </w:r>
          </w:p>
        </w:tc>
        <w:tc>
          <w:tcPr>
            <w:tcW w:w="851" w:type="pct"/>
            <w:shd w:val="clear" w:color="auto" w:fill="auto"/>
            <w:vAlign w:val="center"/>
          </w:tcPr>
          <w:p>
            <w:pPr>
              <w:jc w:val="center"/>
              <w:rPr>
                <w:color w:val="auto"/>
                <w:szCs w:val="21"/>
                <w:highlight w:val="none"/>
              </w:rPr>
            </w:pPr>
            <w:r>
              <w:rPr>
                <w:rFonts w:hint="eastAsia"/>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88" w:type="pct"/>
            <w:shd w:val="clear" w:color="auto" w:fill="auto"/>
            <w:vAlign w:val="center"/>
          </w:tcPr>
          <w:p>
            <w:pPr>
              <w:jc w:val="center"/>
              <w:rPr>
                <w:color w:val="auto"/>
                <w:szCs w:val="21"/>
                <w:highlight w:val="none"/>
              </w:rPr>
            </w:pPr>
            <w:r>
              <w:rPr>
                <w:rFonts w:hint="eastAsia"/>
                <w:color w:val="auto"/>
                <w:szCs w:val="21"/>
                <w:highlight w:val="none"/>
              </w:rPr>
              <w:t>2</w:t>
            </w:r>
          </w:p>
        </w:tc>
        <w:tc>
          <w:tcPr>
            <w:tcW w:w="2235" w:type="pct"/>
            <w:shd w:val="clear" w:color="auto" w:fill="auto"/>
            <w:vAlign w:val="center"/>
          </w:tcPr>
          <w:p>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外观检查和尺寸检验</w:t>
            </w:r>
          </w:p>
        </w:tc>
        <w:tc>
          <w:tcPr>
            <w:tcW w:w="699" w:type="pct"/>
            <w:shd w:val="clear" w:color="auto" w:fill="auto"/>
            <w:vAlign w:val="center"/>
          </w:tcPr>
          <w:p>
            <w:pPr>
              <w:jc w:val="center"/>
              <w:rPr>
                <w:color w:val="auto"/>
                <w:szCs w:val="21"/>
                <w:highlight w:val="none"/>
              </w:rPr>
            </w:pPr>
            <w:r>
              <w:rPr>
                <w:color w:val="auto"/>
                <w:szCs w:val="21"/>
                <w:highlight w:val="none"/>
              </w:rPr>
              <w:t>√</w:t>
            </w:r>
          </w:p>
        </w:tc>
        <w:tc>
          <w:tcPr>
            <w:tcW w:w="827" w:type="pct"/>
            <w:shd w:val="clear" w:color="auto" w:fill="auto"/>
            <w:vAlign w:val="center"/>
          </w:tcPr>
          <w:p>
            <w:pPr>
              <w:jc w:val="center"/>
              <w:rPr>
                <w:color w:val="auto"/>
                <w:szCs w:val="21"/>
                <w:highlight w:val="none"/>
              </w:rPr>
            </w:pPr>
            <w:r>
              <w:rPr>
                <w:color w:val="auto"/>
                <w:szCs w:val="21"/>
                <w:highlight w:val="none"/>
              </w:rPr>
              <w:t>√</w:t>
            </w:r>
          </w:p>
        </w:tc>
        <w:tc>
          <w:tcPr>
            <w:tcW w:w="851" w:type="pct"/>
            <w:shd w:val="clear" w:color="auto" w:fill="auto"/>
            <w:vAlign w:val="center"/>
          </w:tcPr>
          <w:p>
            <w:pPr>
              <w:jc w:val="center"/>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88" w:type="pct"/>
            <w:shd w:val="clear" w:color="auto" w:fill="auto"/>
            <w:vAlign w:val="center"/>
          </w:tcPr>
          <w:p>
            <w:pPr>
              <w:jc w:val="center"/>
              <w:rPr>
                <w:color w:val="auto"/>
                <w:szCs w:val="21"/>
                <w:highlight w:val="none"/>
              </w:rPr>
            </w:pPr>
            <w:r>
              <w:rPr>
                <w:rFonts w:hint="eastAsia"/>
                <w:color w:val="auto"/>
                <w:szCs w:val="21"/>
                <w:highlight w:val="none"/>
              </w:rPr>
              <w:t>3</w:t>
            </w:r>
          </w:p>
        </w:tc>
        <w:tc>
          <w:tcPr>
            <w:tcW w:w="2235" w:type="pct"/>
            <w:shd w:val="clear" w:color="auto" w:fill="auto"/>
            <w:vAlign w:val="center"/>
          </w:tcPr>
          <w:p>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染料海透试验</w:t>
            </w:r>
          </w:p>
        </w:tc>
        <w:tc>
          <w:tcPr>
            <w:tcW w:w="699" w:type="pct"/>
            <w:shd w:val="clear" w:color="auto" w:fill="auto"/>
            <w:vAlign w:val="center"/>
          </w:tcPr>
          <w:p>
            <w:pPr>
              <w:jc w:val="center"/>
              <w:rPr>
                <w:color w:val="auto"/>
                <w:szCs w:val="21"/>
                <w:highlight w:val="none"/>
              </w:rPr>
            </w:pPr>
            <w:r>
              <w:rPr>
                <w:color w:val="auto"/>
                <w:szCs w:val="21"/>
                <w:highlight w:val="none"/>
              </w:rPr>
              <w:t>√</w:t>
            </w:r>
          </w:p>
        </w:tc>
        <w:tc>
          <w:tcPr>
            <w:tcW w:w="827" w:type="pct"/>
            <w:shd w:val="clear" w:color="auto" w:fill="auto"/>
            <w:vAlign w:val="center"/>
          </w:tcPr>
          <w:p>
            <w:pPr>
              <w:jc w:val="center"/>
              <w:rPr>
                <w:color w:val="auto"/>
                <w:szCs w:val="21"/>
                <w:highlight w:val="none"/>
              </w:rPr>
            </w:pPr>
            <w:r>
              <w:rPr>
                <w:color w:val="auto"/>
                <w:szCs w:val="21"/>
                <w:highlight w:val="none"/>
              </w:rPr>
              <w:t>√</w:t>
            </w:r>
          </w:p>
        </w:tc>
        <w:tc>
          <w:tcPr>
            <w:tcW w:w="851" w:type="pct"/>
            <w:shd w:val="clear" w:color="auto" w:fill="auto"/>
            <w:vAlign w:val="center"/>
          </w:tcPr>
          <w:p>
            <w:pPr>
              <w:jc w:val="center"/>
              <w:rPr>
                <w:color w:val="auto"/>
                <w:highlight w:val="none"/>
              </w:rPr>
            </w:pPr>
            <w:r>
              <w:rPr>
                <w:rFonts w:hint="eastAsia"/>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88" w:type="pct"/>
            <w:shd w:val="clear" w:color="auto" w:fill="auto"/>
            <w:vAlign w:val="center"/>
          </w:tcPr>
          <w:p>
            <w:pPr>
              <w:jc w:val="center"/>
              <w:rPr>
                <w:color w:val="auto"/>
                <w:szCs w:val="21"/>
                <w:highlight w:val="none"/>
              </w:rPr>
            </w:pPr>
            <w:r>
              <w:rPr>
                <w:rFonts w:hint="eastAsia"/>
                <w:color w:val="auto"/>
                <w:szCs w:val="21"/>
                <w:highlight w:val="none"/>
              </w:rPr>
              <w:t>4</w:t>
            </w:r>
          </w:p>
        </w:tc>
        <w:tc>
          <w:tcPr>
            <w:tcW w:w="2235" w:type="pct"/>
            <w:shd w:val="clear" w:color="auto" w:fill="auto"/>
            <w:vAlign w:val="center"/>
          </w:tcPr>
          <w:p>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受潮前后绝缘试验</w:t>
            </w:r>
          </w:p>
        </w:tc>
        <w:tc>
          <w:tcPr>
            <w:tcW w:w="699" w:type="pct"/>
            <w:shd w:val="clear" w:color="auto" w:fill="auto"/>
            <w:vAlign w:val="center"/>
          </w:tcPr>
          <w:p>
            <w:pPr>
              <w:jc w:val="center"/>
              <w:rPr>
                <w:color w:val="auto"/>
                <w:szCs w:val="21"/>
                <w:highlight w:val="none"/>
              </w:rPr>
            </w:pPr>
            <w:r>
              <w:rPr>
                <w:color w:val="auto"/>
                <w:szCs w:val="21"/>
                <w:highlight w:val="none"/>
              </w:rPr>
              <w:t>√</w:t>
            </w:r>
          </w:p>
        </w:tc>
        <w:tc>
          <w:tcPr>
            <w:tcW w:w="827" w:type="pct"/>
            <w:shd w:val="clear" w:color="auto" w:fill="auto"/>
            <w:vAlign w:val="center"/>
          </w:tcPr>
          <w:p>
            <w:pPr>
              <w:jc w:val="center"/>
              <w:rPr>
                <w:color w:val="auto"/>
                <w:szCs w:val="21"/>
                <w:highlight w:val="none"/>
              </w:rPr>
            </w:pPr>
            <w:r>
              <w:rPr>
                <w:color w:val="auto"/>
                <w:szCs w:val="21"/>
                <w:highlight w:val="none"/>
              </w:rPr>
              <w:t>√</w:t>
            </w:r>
          </w:p>
        </w:tc>
        <w:tc>
          <w:tcPr>
            <w:tcW w:w="851" w:type="pct"/>
            <w:shd w:val="clear" w:color="auto" w:fill="auto"/>
            <w:vAlign w:val="center"/>
          </w:tcPr>
          <w:p>
            <w:pPr>
              <w:jc w:val="center"/>
              <w:rPr>
                <w:color w:val="auto"/>
                <w:highlight w:val="none"/>
              </w:rPr>
            </w:pPr>
            <w:r>
              <w:rPr>
                <w:rFonts w:hint="eastAsia"/>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88" w:type="pct"/>
            <w:shd w:val="clear" w:color="auto" w:fill="auto"/>
            <w:vAlign w:val="center"/>
          </w:tcPr>
          <w:p>
            <w:pPr>
              <w:jc w:val="center"/>
              <w:rPr>
                <w:color w:val="auto"/>
                <w:szCs w:val="21"/>
                <w:highlight w:val="none"/>
              </w:rPr>
            </w:pPr>
            <w:r>
              <w:rPr>
                <w:rFonts w:hint="eastAsia"/>
                <w:color w:val="auto"/>
                <w:szCs w:val="21"/>
                <w:highlight w:val="none"/>
              </w:rPr>
              <w:t>5</w:t>
            </w:r>
          </w:p>
        </w:tc>
        <w:tc>
          <w:tcPr>
            <w:tcW w:w="2235" w:type="pct"/>
            <w:shd w:val="clear" w:color="auto" w:fill="auto"/>
            <w:vAlign w:val="center"/>
          </w:tcPr>
          <w:p>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淋雨试验</w:t>
            </w:r>
          </w:p>
        </w:tc>
        <w:tc>
          <w:tcPr>
            <w:tcW w:w="699" w:type="pct"/>
            <w:shd w:val="clear" w:color="auto" w:fill="auto"/>
            <w:vAlign w:val="center"/>
          </w:tcPr>
          <w:p>
            <w:pPr>
              <w:jc w:val="center"/>
              <w:rPr>
                <w:color w:val="auto"/>
                <w:szCs w:val="21"/>
                <w:highlight w:val="none"/>
              </w:rPr>
            </w:pPr>
            <w:r>
              <w:rPr>
                <w:color w:val="auto"/>
                <w:szCs w:val="21"/>
                <w:highlight w:val="none"/>
              </w:rPr>
              <w:t>√</w:t>
            </w:r>
          </w:p>
        </w:tc>
        <w:tc>
          <w:tcPr>
            <w:tcW w:w="827" w:type="pct"/>
            <w:shd w:val="clear" w:color="auto" w:fill="auto"/>
            <w:vAlign w:val="center"/>
          </w:tcPr>
          <w:p>
            <w:pPr>
              <w:jc w:val="center"/>
              <w:rPr>
                <w:color w:val="auto"/>
                <w:szCs w:val="21"/>
                <w:highlight w:val="none"/>
              </w:rPr>
            </w:pPr>
            <w:r>
              <w:rPr>
                <w:color w:val="auto"/>
                <w:szCs w:val="21"/>
                <w:highlight w:val="none"/>
              </w:rPr>
              <w:t>√</w:t>
            </w:r>
          </w:p>
        </w:tc>
        <w:tc>
          <w:tcPr>
            <w:tcW w:w="851" w:type="pct"/>
            <w:shd w:val="clear" w:color="auto" w:fill="auto"/>
            <w:vAlign w:val="center"/>
          </w:tcPr>
          <w:p>
            <w:pPr>
              <w:jc w:val="center"/>
              <w:rPr>
                <w:color w:val="auto"/>
                <w:highlight w:val="none"/>
              </w:rPr>
            </w:pPr>
            <w:r>
              <w:rPr>
                <w:rFonts w:hint="eastAsia"/>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88" w:type="pct"/>
            <w:shd w:val="clear" w:color="auto" w:fill="auto"/>
            <w:vAlign w:val="center"/>
          </w:tcPr>
          <w:p>
            <w:pPr>
              <w:jc w:val="center"/>
              <w:rPr>
                <w:color w:val="auto"/>
                <w:szCs w:val="21"/>
                <w:highlight w:val="none"/>
              </w:rPr>
            </w:pPr>
            <w:r>
              <w:rPr>
                <w:rFonts w:hint="eastAsia"/>
                <w:color w:val="auto"/>
                <w:szCs w:val="21"/>
                <w:highlight w:val="none"/>
              </w:rPr>
              <w:t>6</w:t>
            </w:r>
          </w:p>
        </w:tc>
        <w:tc>
          <w:tcPr>
            <w:tcW w:w="2235" w:type="pct"/>
            <w:shd w:val="clear" w:color="auto" w:fill="auto"/>
            <w:vAlign w:val="center"/>
          </w:tcPr>
          <w:p>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绝缘耐压试验</w:t>
            </w:r>
          </w:p>
        </w:tc>
        <w:tc>
          <w:tcPr>
            <w:tcW w:w="699" w:type="pct"/>
            <w:shd w:val="clear" w:color="auto" w:fill="auto"/>
            <w:vAlign w:val="center"/>
          </w:tcPr>
          <w:p>
            <w:pPr>
              <w:jc w:val="center"/>
              <w:rPr>
                <w:rFonts w:hint="eastAsia"/>
                <w:color w:val="auto"/>
                <w:szCs w:val="21"/>
                <w:highlight w:val="none"/>
              </w:rPr>
            </w:pPr>
            <w:r>
              <w:rPr>
                <w:rFonts w:hint="eastAsia"/>
                <w:color w:val="auto"/>
                <w:szCs w:val="21"/>
                <w:highlight w:val="none"/>
              </w:rPr>
              <w:t>-</w:t>
            </w:r>
          </w:p>
        </w:tc>
        <w:tc>
          <w:tcPr>
            <w:tcW w:w="827" w:type="pct"/>
            <w:shd w:val="clear" w:color="auto" w:fill="auto"/>
            <w:vAlign w:val="center"/>
          </w:tcPr>
          <w:p>
            <w:pPr>
              <w:jc w:val="center"/>
              <w:rPr>
                <w:rFonts w:hint="eastAsia"/>
                <w:color w:val="auto"/>
                <w:szCs w:val="21"/>
                <w:highlight w:val="none"/>
              </w:rPr>
            </w:pPr>
            <w:r>
              <w:rPr>
                <w:rFonts w:hint="eastAsia"/>
                <w:color w:val="auto"/>
                <w:szCs w:val="21"/>
                <w:highlight w:val="none"/>
              </w:rPr>
              <w:t>-</w:t>
            </w:r>
          </w:p>
        </w:tc>
        <w:tc>
          <w:tcPr>
            <w:tcW w:w="851" w:type="pct"/>
            <w:shd w:val="clear" w:color="auto" w:fill="auto"/>
            <w:vAlign w:val="center"/>
          </w:tcPr>
          <w:p>
            <w:pPr>
              <w:jc w:val="center"/>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88" w:type="pct"/>
            <w:shd w:val="clear" w:color="auto" w:fill="auto"/>
            <w:vAlign w:val="center"/>
          </w:tcPr>
          <w:p>
            <w:pPr>
              <w:jc w:val="center"/>
              <w:rPr>
                <w:color w:val="auto"/>
                <w:szCs w:val="21"/>
                <w:highlight w:val="none"/>
              </w:rPr>
            </w:pPr>
            <w:r>
              <w:rPr>
                <w:rFonts w:hint="eastAsia"/>
                <w:color w:val="auto"/>
                <w:szCs w:val="21"/>
                <w:highlight w:val="none"/>
              </w:rPr>
              <w:t>7</w:t>
            </w:r>
          </w:p>
        </w:tc>
        <w:tc>
          <w:tcPr>
            <w:tcW w:w="2235" w:type="pct"/>
            <w:shd w:val="clear" w:color="auto" w:fill="auto"/>
            <w:vAlign w:val="center"/>
          </w:tcPr>
          <w:p>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弯曲试验</w:t>
            </w:r>
          </w:p>
        </w:tc>
        <w:tc>
          <w:tcPr>
            <w:tcW w:w="699" w:type="pct"/>
            <w:shd w:val="clear" w:color="auto" w:fill="auto"/>
            <w:vAlign w:val="center"/>
          </w:tcPr>
          <w:p>
            <w:pPr>
              <w:jc w:val="center"/>
              <w:rPr>
                <w:color w:val="auto"/>
                <w:szCs w:val="21"/>
                <w:highlight w:val="none"/>
              </w:rPr>
            </w:pPr>
            <w:r>
              <w:rPr>
                <w:color w:val="auto"/>
                <w:szCs w:val="21"/>
                <w:highlight w:val="none"/>
              </w:rPr>
              <w:t>√</w:t>
            </w:r>
          </w:p>
        </w:tc>
        <w:tc>
          <w:tcPr>
            <w:tcW w:w="827" w:type="pct"/>
            <w:shd w:val="clear" w:color="auto" w:fill="auto"/>
            <w:vAlign w:val="center"/>
          </w:tcPr>
          <w:p>
            <w:pPr>
              <w:jc w:val="center"/>
              <w:rPr>
                <w:color w:val="auto"/>
                <w:szCs w:val="21"/>
                <w:highlight w:val="none"/>
              </w:rPr>
            </w:pPr>
            <w:r>
              <w:rPr>
                <w:color w:val="auto"/>
                <w:szCs w:val="21"/>
                <w:highlight w:val="none"/>
              </w:rPr>
              <w:t>√</w:t>
            </w:r>
          </w:p>
        </w:tc>
        <w:tc>
          <w:tcPr>
            <w:tcW w:w="851" w:type="pct"/>
            <w:shd w:val="clear" w:color="auto" w:fill="auto"/>
            <w:vAlign w:val="center"/>
          </w:tcPr>
          <w:p>
            <w:pPr>
              <w:jc w:val="center"/>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88" w:type="pct"/>
            <w:shd w:val="clear" w:color="auto" w:fill="auto"/>
            <w:vAlign w:val="center"/>
          </w:tcPr>
          <w:p>
            <w:pPr>
              <w:jc w:val="center"/>
              <w:rPr>
                <w:color w:val="auto"/>
                <w:szCs w:val="21"/>
                <w:highlight w:val="none"/>
              </w:rPr>
            </w:pPr>
            <w:r>
              <w:rPr>
                <w:rFonts w:hint="eastAsia"/>
                <w:color w:val="auto"/>
                <w:szCs w:val="21"/>
                <w:highlight w:val="none"/>
              </w:rPr>
              <w:t>8</w:t>
            </w:r>
          </w:p>
        </w:tc>
        <w:tc>
          <w:tcPr>
            <w:tcW w:w="2235" w:type="pct"/>
            <w:shd w:val="clear" w:color="auto" w:fill="auto"/>
            <w:vAlign w:val="center"/>
          </w:tcPr>
          <w:p>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扭力试验</w:t>
            </w:r>
          </w:p>
        </w:tc>
        <w:tc>
          <w:tcPr>
            <w:tcW w:w="699" w:type="pct"/>
            <w:shd w:val="clear" w:color="auto" w:fill="auto"/>
            <w:vAlign w:val="center"/>
          </w:tcPr>
          <w:p>
            <w:pPr>
              <w:jc w:val="center"/>
              <w:rPr>
                <w:color w:val="auto"/>
                <w:szCs w:val="21"/>
                <w:highlight w:val="none"/>
              </w:rPr>
            </w:pPr>
            <w:r>
              <w:rPr>
                <w:color w:val="auto"/>
                <w:szCs w:val="21"/>
                <w:highlight w:val="none"/>
              </w:rPr>
              <w:t>√</w:t>
            </w:r>
          </w:p>
        </w:tc>
        <w:tc>
          <w:tcPr>
            <w:tcW w:w="827" w:type="pct"/>
            <w:shd w:val="clear" w:color="auto" w:fill="auto"/>
            <w:vAlign w:val="center"/>
          </w:tcPr>
          <w:p>
            <w:pPr>
              <w:jc w:val="center"/>
              <w:rPr>
                <w:color w:val="auto"/>
                <w:highlight w:val="none"/>
              </w:rPr>
            </w:pPr>
            <w:r>
              <w:rPr>
                <w:rFonts w:hint="eastAsia"/>
                <w:color w:val="auto"/>
                <w:szCs w:val="21"/>
                <w:highlight w:val="none"/>
              </w:rPr>
              <w:t>-</w:t>
            </w:r>
          </w:p>
        </w:tc>
        <w:tc>
          <w:tcPr>
            <w:tcW w:w="851" w:type="pct"/>
            <w:shd w:val="clear" w:color="auto" w:fill="auto"/>
            <w:vAlign w:val="center"/>
          </w:tcPr>
          <w:p>
            <w:pPr>
              <w:jc w:val="center"/>
              <w:rPr>
                <w:color w:val="auto"/>
                <w:highlight w:val="none"/>
              </w:rPr>
            </w:pPr>
            <w:r>
              <w:rPr>
                <w:rFonts w:hint="eastAsia"/>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88" w:type="pct"/>
            <w:shd w:val="clear" w:color="auto" w:fill="auto"/>
            <w:vAlign w:val="center"/>
          </w:tcPr>
          <w:p>
            <w:pPr>
              <w:jc w:val="center"/>
              <w:rPr>
                <w:color w:val="auto"/>
                <w:szCs w:val="21"/>
                <w:highlight w:val="none"/>
              </w:rPr>
            </w:pPr>
            <w:r>
              <w:rPr>
                <w:rFonts w:hint="eastAsia"/>
                <w:color w:val="auto"/>
                <w:szCs w:val="21"/>
                <w:highlight w:val="none"/>
              </w:rPr>
              <w:t>9</w:t>
            </w:r>
          </w:p>
        </w:tc>
        <w:tc>
          <w:tcPr>
            <w:tcW w:w="2235" w:type="pct"/>
            <w:shd w:val="clear" w:color="auto" w:fill="auto"/>
            <w:vAlign w:val="center"/>
          </w:tcPr>
          <w:p>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挤压试验</w:t>
            </w:r>
          </w:p>
        </w:tc>
        <w:tc>
          <w:tcPr>
            <w:tcW w:w="699" w:type="pct"/>
            <w:shd w:val="clear" w:color="auto" w:fill="auto"/>
            <w:vAlign w:val="center"/>
          </w:tcPr>
          <w:p>
            <w:pPr>
              <w:jc w:val="center"/>
              <w:rPr>
                <w:color w:val="auto"/>
                <w:szCs w:val="21"/>
                <w:highlight w:val="none"/>
              </w:rPr>
            </w:pPr>
            <w:r>
              <w:rPr>
                <w:color w:val="auto"/>
                <w:szCs w:val="21"/>
                <w:highlight w:val="none"/>
              </w:rPr>
              <w:t>√</w:t>
            </w:r>
          </w:p>
        </w:tc>
        <w:tc>
          <w:tcPr>
            <w:tcW w:w="827" w:type="pct"/>
            <w:shd w:val="clear" w:color="auto" w:fill="auto"/>
            <w:vAlign w:val="center"/>
          </w:tcPr>
          <w:p>
            <w:pPr>
              <w:jc w:val="center"/>
              <w:rPr>
                <w:color w:val="auto"/>
                <w:highlight w:val="none"/>
              </w:rPr>
            </w:pPr>
            <w:r>
              <w:rPr>
                <w:rFonts w:hint="eastAsia"/>
                <w:color w:val="auto"/>
                <w:szCs w:val="21"/>
                <w:highlight w:val="none"/>
              </w:rPr>
              <w:t>-</w:t>
            </w:r>
          </w:p>
        </w:tc>
        <w:tc>
          <w:tcPr>
            <w:tcW w:w="851" w:type="pct"/>
            <w:shd w:val="clear" w:color="auto" w:fill="auto"/>
            <w:vAlign w:val="center"/>
          </w:tcPr>
          <w:p>
            <w:pPr>
              <w:jc w:val="center"/>
              <w:rPr>
                <w:color w:val="auto"/>
                <w:highlight w:val="none"/>
              </w:rPr>
            </w:pPr>
            <w:r>
              <w:rPr>
                <w:rFonts w:hint="eastAsia"/>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88" w:type="pct"/>
            <w:shd w:val="clear" w:color="auto" w:fill="auto"/>
            <w:vAlign w:val="center"/>
          </w:tcPr>
          <w:p>
            <w:pPr>
              <w:jc w:val="center"/>
              <w:rPr>
                <w:color w:val="auto"/>
                <w:szCs w:val="21"/>
                <w:highlight w:val="none"/>
              </w:rPr>
            </w:pPr>
            <w:r>
              <w:rPr>
                <w:rFonts w:hint="eastAsia"/>
                <w:color w:val="auto"/>
                <w:szCs w:val="21"/>
                <w:highlight w:val="none"/>
              </w:rPr>
              <w:t>10</w:t>
            </w:r>
          </w:p>
        </w:tc>
        <w:tc>
          <w:tcPr>
            <w:tcW w:w="2235" w:type="pct"/>
            <w:shd w:val="clear" w:color="auto" w:fill="auto"/>
            <w:vAlign w:val="center"/>
          </w:tcPr>
          <w:p>
            <w:pPr>
              <w:autoSpaceDE w:val="0"/>
              <w:autoSpaceDN w:val="0"/>
              <w:adjustRightIn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机械老化试验</w:t>
            </w:r>
          </w:p>
        </w:tc>
        <w:tc>
          <w:tcPr>
            <w:tcW w:w="699" w:type="pct"/>
            <w:shd w:val="clear" w:color="auto" w:fill="auto"/>
            <w:vAlign w:val="center"/>
          </w:tcPr>
          <w:p>
            <w:pPr>
              <w:jc w:val="center"/>
              <w:rPr>
                <w:color w:val="auto"/>
                <w:szCs w:val="21"/>
                <w:highlight w:val="none"/>
              </w:rPr>
            </w:pPr>
            <w:r>
              <w:rPr>
                <w:color w:val="auto"/>
                <w:szCs w:val="21"/>
                <w:highlight w:val="none"/>
              </w:rPr>
              <w:t>√</w:t>
            </w:r>
          </w:p>
        </w:tc>
        <w:tc>
          <w:tcPr>
            <w:tcW w:w="827" w:type="pct"/>
            <w:shd w:val="clear" w:color="auto" w:fill="auto"/>
            <w:vAlign w:val="center"/>
          </w:tcPr>
          <w:p>
            <w:pPr>
              <w:jc w:val="center"/>
              <w:rPr>
                <w:color w:val="auto"/>
                <w:highlight w:val="none"/>
              </w:rPr>
            </w:pPr>
            <w:r>
              <w:rPr>
                <w:rFonts w:hint="eastAsia"/>
                <w:color w:val="auto"/>
                <w:szCs w:val="21"/>
                <w:highlight w:val="none"/>
              </w:rPr>
              <w:t>-</w:t>
            </w:r>
          </w:p>
        </w:tc>
        <w:tc>
          <w:tcPr>
            <w:tcW w:w="851" w:type="pct"/>
            <w:shd w:val="clear" w:color="auto" w:fill="auto"/>
            <w:vAlign w:val="center"/>
          </w:tcPr>
          <w:p>
            <w:pPr>
              <w:jc w:val="center"/>
              <w:rPr>
                <w:color w:val="auto"/>
                <w:highlight w:val="none"/>
              </w:rPr>
            </w:pPr>
            <w:r>
              <w:rPr>
                <w:rFonts w:hint="eastAsia"/>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000" w:type="pct"/>
            <w:gridSpan w:val="5"/>
            <w:shd w:val="clear" w:color="auto" w:fill="auto"/>
            <w:vAlign w:val="center"/>
          </w:tcPr>
          <w:p>
            <w:pPr>
              <w:jc w:val="left"/>
              <w:rPr>
                <w:rFonts w:hint="eastAsia" w:eastAsia="宋体"/>
                <w:color w:val="auto"/>
                <w:szCs w:val="21"/>
                <w:highlight w:val="none"/>
                <w:lang w:eastAsia="zh-CN"/>
              </w:rPr>
            </w:pPr>
            <w:r>
              <w:rPr>
                <w:rFonts w:hint="eastAsia"/>
                <w:color w:val="auto"/>
                <w:szCs w:val="21"/>
                <w:highlight w:val="none"/>
              </w:rPr>
              <w:t>注</w:t>
            </w:r>
            <w:r>
              <w:rPr>
                <w:rFonts w:hint="eastAsia"/>
                <w:color w:val="auto"/>
                <w:szCs w:val="21"/>
                <w:highlight w:val="none"/>
                <w:lang w:eastAsia="zh-CN"/>
              </w:rPr>
              <w:t>：</w:t>
            </w:r>
            <w:r>
              <w:rPr>
                <w:rFonts w:hint="eastAsia"/>
                <w:color w:val="auto"/>
                <w:szCs w:val="21"/>
                <w:highlight w:val="none"/>
              </w:rPr>
              <w:t>“</w:t>
            </w:r>
            <w:r>
              <w:rPr>
                <w:color w:val="auto"/>
                <w:szCs w:val="21"/>
                <w:highlight w:val="none"/>
              </w:rPr>
              <w:t>√</w:t>
            </w:r>
            <w:r>
              <w:rPr>
                <w:rFonts w:hint="eastAsia"/>
                <w:color w:val="auto"/>
                <w:szCs w:val="21"/>
                <w:highlight w:val="none"/>
              </w:rPr>
              <w:t>”表示必须进行的试验项目，“-”表示</w:t>
            </w:r>
            <w:r>
              <w:rPr>
                <w:rFonts w:hint="eastAsia"/>
                <w:color w:val="auto"/>
                <w:szCs w:val="21"/>
                <w:highlight w:val="none"/>
                <w:lang w:eastAsia="zh-CN"/>
              </w:rPr>
              <w:t>可</w:t>
            </w:r>
            <w:r>
              <w:rPr>
                <w:rFonts w:hint="eastAsia"/>
                <w:color w:val="auto"/>
                <w:szCs w:val="21"/>
                <w:highlight w:val="none"/>
              </w:rPr>
              <w:t>不进行试验</w:t>
            </w:r>
            <w:r>
              <w:rPr>
                <w:rFonts w:hint="eastAsia"/>
                <w:color w:val="auto"/>
                <w:szCs w:val="21"/>
                <w:highlight w:val="none"/>
                <w:lang w:eastAsia="zh-CN"/>
              </w:rPr>
              <w:t>（必要时抽检或全检）。</w:t>
            </w:r>
          </w:p>
        </w:tc>
      </w:tr>
    </w:tbl>
    <w:p>
      <w:pPr>
        <w:spacing w:line="360" w:lineRule="auto"/>
        <w:rPr>
          <w:rFonts w:hint="eastAsia" w:ascii="宋体" w:hAnsi="宋体"/>
          <w:color w:val="auto"/>
          <w:szCs w:val="21"/>
          <w:highlight w:val="none"/>
        </w:rPr>
      </w:pPr>
    </w:p>
    <w:p>
      <w:pPr>
        <w:pStyle w:val="2"/>
        <w:adjustRightInd w:val="0"/>
        <w:spacing w:before="0" w:beforeLines="0"/>
        <w:rPr>
          <w:rFonts w:hint="eastAsia" w:hAnsi="宋体"/>
          <w:b/>
          <w:color w:val="auto"/>
          <w:highlight w:val="none"/>
        </w:rPr>
      </w:pPr>
      <w:bookmarkStart w:id="43" w:name="_Toc1363"/>
      <w:bookmarkStart w:id="44" w:name="_Toc142981744"/>
      <w:bookmarkStart w:id="45" w:name="_Toc3999"/>
      <w:bookmarkStart w:id="46" w:name="_Toc30210"/>
      <w:bookmarkStart w:id="47" w:name="_Toc31188"/>
      <w:bookmarkStart w:id="48" w:name="_Toc11750"/>
      <w:bookmarkStart w:id="49" w:name="_Toc398543110"/>
      <w:bookmarkStart w:id="50" w:name="_Toc10358"/>
      <w:bookmarkStart w:id="51" w:name="_Toc10023"/>
      <w:bookmarkStart w:id="52" w:name="_Toc30361"/>
      <w:bookmarkStart w:id="53" w:name="_Toc20984"/>
      <w:bookmarkStart w:id="54" w:name="_Toc276492433"/>
      <w:bookmarkStart w:id="55" w:name="_Toc305941530"/>
      <w:bookmarkStart w:id="56" w:name="_Toc276490915"/>
      <w:bookmarkStart w:id="57" w:name="_Toc305941241"/>
      <w:r>
        <w:rPr>
          <w:rFonts w:hint="eastAsia" w:hAnsi="宋体"/>
          <w:b/>
          <w:color w:val="auto"/>
          <w:highlight w:val="none"/>
        </w:rPr>
        <w:t>包装和运输</w:t>
      </w:r>
      <w:bookmarkEnd w:id="43"/>
      <w:bookmarkEnd w:id="44"/>
    </w:p>
    <w:p>
      <w:pPr>
        <w:adjustRightInd w:val="0"/>
        <w:snapToGrid w:val="0"/>
        <w:spacing w:line="360" w:lineRule="auto"/>
        <w:rPr>
          <w:rFonts w:hint="eastAsia" w:ascii="宋体" w:hAnsi="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6.1包装</w:t>
      </w:r>
      <w:bookmarkEnd w:id="45"/>
      <w:bookmarkEnd w:id="46"/>
      <w:bookmarkEnd w:id="47"/>
    </w:p>
    <w:p>
      <w:pPr>
        <w:adjustRightInd w:val="0"/>
        <w:snapToGrid w:val="0"/>
        <w:spacing w:line="360" w:lineRule="auto"/>
        <w:rPr>
          <w:rFonts w:hint="eastAsia" w:ascii="宋体" w:hAnsi="宋体" w:cs="宋体"/>
          <w:color w:val="auto"/>
          <w:kern w:val="0"/>
          <w:szCs w:val="21"/>
          <w:highlight w:val="none"/>
          <w:lang w:val="en-US" w:eastAsia="zh-CN"/>
        </w:rPr>
      </w:pPr>
      <w:bookmarkStart w:id="58" w:name="_Toc23146"/>
      <w:bookmarkStart w:id="59" w:name="_Toc18330"/>
      <w:bookmarkStart w:id="60" w:name="_Toc6187"/>
      <w:r>
        <w:rPr>
          <w:rFonts w:hint="eastAsia" w:ascii="宋体" w:hAnsi="宋体" w:cs="宋体"/>
          <w:color w:val="auto"/>
          <w:kern w:val="0"/>
          <w:szCs w:val="21"/>
          <w:highlight w:val="none"/>
          <w:lang w:val="en-US" w:eastAsia="zh-CN"/>
        </w:rPr>
        <w:t>6.1.1 装箱绝缘操作棒必须是即用成品。应将每根绝缘操作棒用塑料薄膜包好再放入纸箱内。</w:t>
      </w:r>
    </w:p>
    <w:p>
      <w:pPr>
        <w:adjustRightInd w:val="0"/>
        <w:snapToGrid w:val="0"/>
        <w:spacing w:line="360" w:lineRule="auto"/>
        <w:rPr>
          <w:rFonts w:hint="eastAsia" w:ascii="宋体" w:hAnsi="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6.1.2 纸箱上应注有产品名称、数量、重量、体积和其他注意事项等标记。</w:t>
      </w:r>
    </w:p>
    <w:p>
      <w:pPr>
        <w:adjustRightInd w:val="0"/>
        <w:snapToGrid w:val="0"/>
        <w:spacing w:line="360" w:lineRule="auto"/>
        <w:rPr>
          <w:rFonts w:hint="eastAsia" w:ascii="宋体" w:hAnsi="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6.1.3 每根绝缘操作棒均要附一份使用说明书。</w:t>
      </w:r>
    </w:p>
    <w:p>
      <w:pPr>
        <w:adjustRightInd w:val="0"/>
        <w:snapToGrid w:val="0"/>
        <w:spacing w:line="360" w:lineRule="auto"/>
        <w:rPr>
          <w:rFonts w:hint="eastAsia" w:ascii="宋体" w:hAnsi="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6.2运输</w:t>
      </w:r>
      <w:bookmarkEnd w:id="58"/>
      <w:bookmarkEnd w:id="59"/>
      <w:bookmarkEnd w:id="60"/>
    </w:p>
    <w:p>
      <w:pPr>
        <w:adjustRightInd w:val="0"/>
        <w:snapToGrid w:val="0"/>
        <w:spacing w:line="360" w:lineRule="auto"/>
        <w:rPr>
          <w:rFonts w:hint="eastAsia" w:ascii="宋体" w:hAnsi="宋体" w:cs="宋体"/>
          <w:color w:val="auto"/>
          <w:kern w:val="0"/>
          <w:szCs w:val="21"/>
          <w:highlight w:val="none"/>
          <w:lang w:val="en-US" w:eastAsia="zh-CN"/>
        </w:rPr>
      </w:pPr>
      <w:bookmarkStart w:id="61" w:name="_Toc245436568"/>
      <w:bookmarkStart w:id="62" w:name="_Toc245270662"/>
      <w:bookmarkStart w:id="63" w:name="_Toc245269012"/>
      <w:bookmarkStart w:id="64" w:name="_Toc245269366"/>
      <w:bookmarkStart w:id="65" w:name="_Toc245270861"/>
      <w:r>
        <w:rPr>
          <w:rFonts w:hint="eastAsia" w:ascii="宋体" w:hAnsi="宋体" w:cs="宋体"/>
          <w:color w:val="auto"/>
          <w:kern w:val="0"/>
          <w:szCs w:val="21"/>
          <w:highlight w:val="none"/>
          <w:lang w:val="en-US" w:eastAsia="zh-CN"/>
        </w:rPr>
        <w:t>6.2.1产品经妥善包装或装箱后, 在运输过程中应采取有效防护措施, 以免损坏或遗失。</w:t>
      </w:r>
      <w:bookmarkEnd w:id="61"/>
      <w:bookmarkEnd w:id="62"/>
      <w:bookmarkEnd w:id="63"/>
      <w:bookmarkEnd w:id="64"/>
      <w:bookmarkEnd w:id="65"/>
    </w:p>
    <w:p>
      <w:pPr>
        <w:adjustRightInd w:val="0"/>
        <w:snapToGrid w:val="0"/>
        <w:spacing w:line="360" w:lineRule="auto"/>
        <w:rPr>
          <w:rFonts w:hint="eastAsia" w:ascii="宋体" w:hAnsi="宋体" w:cs="宋体"/>
          <w:color w:val="auto"/>
          <w:kern w:val="0"/>
          <w:szCs w:val="21"/>
          <w:highlight w:val="none"/>
          <w:lang w:val="en-US" w:eastAsia="zh-CN"/>
        </w:rPr>
      </w:pPr>
      <w:bookmarkStart w:id="66" w:name="_Toc245270663"/>
      <w:bookmarkStart w:id="67" w:name="_Toc245436569"/>
      <w:bookmarkStart w:id="68" w:name="_Toc245269013"/>
      <w:bookmarkStart w:id="69" w:name="_Toc245270862"/>
      <w:bookmarkStart w:id="70" w:name="_Toc245269367"/>
      <w:r>
        <w:rPr>
          <w:rFonts w:hint="eastAsia" w:ascii="宋体" w:hAnsi="宋体" w:cs="宋体"/>
          <w:color w:val="auto"/>
          <w:kern w:val="0"/>
          <w:szCs w:val="21"/>
          <w:highlight w:val="none"/>
          <w:lang w:val="en-US" w:eastAsia="zh-CN"/>
        </w:rPr>
        <w:t>6.2.2在包装箱外应标明需方的订货号、发货号。</w:t>
      </w:r>
      <w:bookmarkEnd w:id="66"/>
      <w:bookmarkEnd w:id="67"/>
      <w:bookmarkEnd w:id="68"/>
      <w:bookmarkEnd w:id="69"/>
      <w:bookmarkEnd w:id="70"/>
    </w:p>
    <w:p>
      <w:pPr>
        <w:adjustRightInd w:val="0"/>
        <w:snapToGrid w:val="0"/>
        <w:spacing w:line="360" w:lineRule="auto"/>
        <w:rPr>
          <w:rFonts w:hint="eastAsia" w:ascii="宋体" w:hAnsi="宋体" w:cs="宋体"/>
          <w:color w:val="auto"/>
          <w:kern w:val="0"/>
          <w:szCs w:val="21"/>
          <w:highlight w:val="none"/>
          <w:lang w:val="en-US" w:eastAsia="zh-CN"/>
        </w:rPr>
      </w:pPr>
      <w:bookmarkStart w:id="71" w:name="_Toc245269018"/>
      <w:bookmarkStart w:id="72" w:name="_Toc245270668"/>
      <w:bookmarkStart w:id="73" w:name="_Toc245270867"/>
      <w:bookmarkStart w:id="74" w:name="_Toc245436574"/>
      <w:bookmarkStart w:id="75" w:name="_Toc245269372"/>
      <w:r>
        <w:rPr>
          <w:rFonts w:hint="eastAsia" w:ascii="宋体" w:hAnsi="宋体" w:cs="宋体"/>
          <w:color w:val="auto"/>
          <w:kern w:val="0"/>
          <w:szCs w:val="21"/>
          <w:highlight w:val="none"/>
          <w:lang w:val="en-US" w:eastAsia="zh-CN"/>
        </w:rPr>
        <w:t>6.2.3包装和运输均由中标方负责，产品抵达目的地后，中标方组织开箱验收。如果发现任一产品有偏差、损坏、遗漏或因中标方的责任与合同不符，招标方有权向中标方提出索赔。</w:t>
      </w:r>
      <w:bookmarkEnd w:id="71"/>
      <w:bookmarkEnd w:id="72"/>
      <w:bookmarkEnd w:id="73"/>
      <w:bookmarkEnd w:id="74"/>
      <w:bookmarkEnd w:id="75"/>
    </w:p>
    <w:p>
      <w:pPr>
        <w:pStyle w:val="2"/>
        <w:adjustRightInd w:val="0"/>
        <w:spacing w:before="0" w:beforeLines="0"/>
        <w:rPr>
          <w:rFonts w:hint="eastAsia" w:hAnsi="宋体"/>
          <w:b/>
          <w:color w:val="auto"/>
          <w:highlight w:val="none"/>
        </w:rPr>
      </w:pPr>
      <w:bookmarkStart w:id="76" w:name="_Toc15966"/>
      <w:bookmarkStart w:id="77" w:name="_Toc142981745"/>
      <w:r>
        <w:rPr>
          <w:rFonts w:hint="eastAsia" w:hAnsi="宋体"/>
          <w:b/>
          <w:color w:val="auto"/>
          <w:highlight w:val="none"/>
        </w:rPr>
        <w:t>售后服务</w:t>
      </w:r>
      <w:bookmarkEnd w:id="48"/>
      <w:bookmarkEnd w:id="49"/>
      <w:bookmarkEnd w:id="50"/>
      <w:bookmarkEnd w:id="51"/>
      <w:bookmarkEnd w:id="52"/>
      <w:bookmarkEnd w:id="53"/>
      <w:bookmarkEnd w:id="76"/>
      <w:bookmarkEnd w:id="77"/>
    </w:p>
    <w:bookmarkEnd w:id="54"/>
    <w:bookmarkEnd w:id="55"/>
    <w:bookmarkEnd w:id="56"/>
    <w:bookmarkEnd w:id="57"/>
    <w:p>
      <w:pPr>
        <w:adjustRightInd w:val="0"/>
        <w:snapToGrid w:val="0"/>
        <w:spacing w:line="360" w:lineRule="auto"/>
        <w:rPr>
          <w:rFonts w:hint="eastAsia" w:ascii="宋体" w:hAnsi="宋体" w:cs="宋体"/>
          <w:color w:val="auto"/>
          <w:kern w:val="0"/>
          <w:szCs w:val="21"/>
          <w:highlight w:val="none"/>
        </w:rPr>
      </w:pPr>
      <w:bookmarkStart w:id="78" w:name="_Toc11723"/>
      <w:bookmarkStart w:id="79" w:name="_Toc5954"/>
      <w:bookmarkStart w:id="80" w:name="_Toc279695206"/>
      <w:bookmarkStart w:id="81" w:name="_Toc1305"/>
      <w:bookmarkStart w:id="82" w:name="_Toc8493"/>
      <w:bookmarkStart w:id="83" w:name="_Toc8742"/>
      <w:bookmarkStart w:id="84" w:name="_Toc398543111"/>
      <w:r>
        <w:rPr>
          <w:rFonts w:hint="eastAsia" w:ascii="宋体" w:hAnsi="宋体" w:cs="宋体"/>
          <w:color w:val="auto"/>
          <w:kern w:val="0"/>
          <w:szCs w:val="21"/>
          <w:highlight w:val="none"/>
        </w:rPr>
        <w:t>7.1 自招标方向投标方订购产品使用之日起，投标方应向招标方提供包括热线技术指导、现场故障排除等各种用户技术服务。</w:t>
      </w:r>
    </w:p>
    <w:p>
      <w:pPr>
        <w:adjustRightInd w:val="0"/>
        <w:snapToGrid w:val="0"/>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7.2 质保期限：自产品出厂日期与交货日期起不短于正常使用三年或产品到货三年（中标方承诺的质保期若长于上述时间，则按承诺时间执行）。</w:t>
      </w:r>
    </w:p>
    <w:p>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kern w:val="0"/>
          <w:szCs w:val="21"/>
          <w:highlight w:val="none"/>
        </w:rPr>
        <w:t>7.3招标方在产品的质保期内使用过程中出现因产品或配件质量问题导致的功能性故障时，中标方应对产品进行保修或更换。</w:t>
      </w:r>
    </w:p>
    <w:bookmarkEnd w:id="78"/>
    <w:bookmarkEnd w:id="79"/>
    <w:bookmarkEnd w:id="80"/>
    <w:bookmarkEnd w:id="81"/>
    <w:bookmarkEnd w:id="82"/>
    <w:bookmarkEnd w:id="83"/>
    <w:bookmarkEnd w:id="84"/>
    <w:p>
      <w:pPr>
        <w:pStyle w:val="2"/>
        <w:adjustRightInd w:val="0"/>
        <w:spacing w:before="0" w:beforeLines="0"/>
        <w:rPr>
          <w:rFonts w:hint="eastAsia" w:hAnsi="宋体"/>
          <w:b/>
          <w:color w:val="auto"/>
          <w:highlight w:val="none"/>
        </w:rPr>
      </w:pPr>
      <w:bookmarkStart w:id="85" w:name="_Toc398543115"/>
      <w:bookmarkStart w:id="86" w:name="_Toc21143"/>
      <w:bookmarkStart w:id="87" w:name="_Toc21473"/>
      <w:bookmarkStart w:id="88" w:name="_Toc30911"/>
      <w:bookmarkStart w:id="89" w:name="_Toc305941559"/>
      <w:bookmarkStart w:id="90" w:name="_Toc31053"/>
      <w:bookmarkStart w:id="91" w:name="_Toc11573"/>
      <w:bookmarkStart w:id="92" w:name="_Toc305941275"/>
      <w:bookmarkStart w:id="93" w:name="_Toc287602849"/>
      <w:bookmarkStart w:id="94" w:name="_Toc3899"/>
      <w:bookmarkStart w:id="95" w:name="_Toc142981746"/>
      <w:r>
        <w:rPr>
          <w:rFonts w:hint="eastAsia" w:hAnsi="宋体"/>
          <w:b/>
          <w:color w:val="auto"/>
          <w:highlight w:val="none"/>
        </w:rPr>
        <w:t>技术差异表</w:t>
      </w:r>
      <w:bookmarkEnd w:id="85"/>
      <w:bookmarkEnd w:id="86"/>
      <w:bookmarkEnd w:id="87"/>
      <w:bookmarkEnd w:id="88"/>
      <w:bookmarkEnd w:id="89"/>
      <w:bookmarkEnd w:id="90"/>
      <w:bookmarkEnd w:id="91"/>
      <w:bookmarkEnd w:id="92"/>
      <w:bookmarkEnd w:id="93"/>
      <w:bookmarkEnd w:id="94"/>
      <w:bookmarkEnd w:id="95"/>
    </w:p>
    <w:p>
      <w:pPr>
        <w:spacing w:line="360" w:lineRule="auto"/>
        <w:ind w:firstLine="420" w:firstLineChars="200"/>
        <w:rPr>
          <w:rFonts w:ascii="宋体" w:hAnsi="宋体"/>
          <w:color w:val="auto"/>
          <w:szCs w:val="21"/>
          <w:highlight w:val="none"/>
        </w:rPr>
      </w:pPr>
      <w:bookmarkStart w:id="96" w:name="_Toc226362579"/>
      <w:r>
        <w:rPr>
          <w:rFonts w:ascii="宋体" w:hAnsi="宋体"/>
          <w:color w:val="auto"/>
          <w:szCs w:val="21"/>
          <w:highlight w:val="none"/>
        </w:rPr>
        <w:t>投标方应将所供物资与本招标书技术文件有差异之处，无论优于或劣于本招标书技术文件要求，均汇集成此表。</w:t>
      </w:r>
    </w:p>
    <w:p>
      <w:pPr>
        <w:spacing w:line="360" w:lineRule="auto"/>
        <w:jc w:val="center"/>
        <w:rPr>
          <w:rFonts w:ascii="宋体" w:hAnsi="宋体"/>
          <w:color w:val="auto"/>
          <w:szCs w:val="21"/>
          <w:highlight w:val="none"/>
        </w:rPr>
      </w:pPr>
      <w:r>
        <w:rPr>
          <w:rFonts w:ascii="宋体" w:hAnsi="宋体"/>
          <w:color w:val="auto"/>
          <w:szCs w:val="21"/>
          <w:highlight w:val="none"/>
        </w:rPr>
        <w:t>表</w:t>
      </w:r>
      <w:r>
        <w:rPr>
          <w:rFonts w:hint="eastAsia" w:ascii="宋体" w:hAnsi="宋体"/>
          <w:color w:val="auto"/>
          <w:szCs w:val="21"/>
          <w:highlight w:val="none"/>
          <w:lang w:val="en-US" w:eastAsia="zh-CN"/>
        </w:rPr>
        <w:t>8</w:t>
      </w:r>
      <w:r>
        <w:rPr>
          <w:rFonts w:hint="eastAsia" w:ascii="宋体" w:hAnsi="宋体"/>
          <w:color w:val="auto"/>
          <w:szCs w:val="21"/>
          <w:highlight w:val="none"/>
        </w:rPr>
        <w:t>.1</w:t>
      </w:r>
      <w:r>
        <w:rPr>
          <w:rFonts w:ascii="宋体" w:hAnsi="宋体"/>
          <w:color w:val="auto"/>
          <w:szCs w:val="21"/>
          <w:highlight w:val="none"/>
        </w:rPr>
        <w:t>技术差异表</w:t>
      </w:r>
      <w:bookmarkEnd w:id="96"/>
      <w:r>
        <w:rPr>
          <w:rFonts w:ascii="宋体" w:hAnsi="宋体"/>
          <w:color w:val="auto"/>
          <w:szCs w:val="21"/>
          <w:highlight w:val="none"/>
        </w:rPr>
        <w:t>（投标方填写）</w:t>
      </w:r>
    </w:p>
    <w:tbl>
      <w:tblPr>
        <w:tblStyle w:val="3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09"/>
        <w:gridCol w:w="1214"/>
        <w:gridCol w:w="2832"/>
        <w:gridCol w:w="1314"/>
        <w:gridCol w:w="2689"/>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709" w:type="dxa"/>
            <w:vMerge w:val="restart"/>
            <w:vAlign w:val="center"/>
          </w:tcPr>
          <w:p>
            <w:pPr>
              <w:widowControl/>
              <w:autoSpaceDE w:val="0"/>
              <w:autoSpaceDN w:val="0"/>
              <w:spacing w:before="40" w:line="360" w:lineRule="auto"/>
              <w:jc w:val="center"/>
              <w:textAlignment w:val="bottom"/>
              <w:rPr>
                <w:rFonts w:ascii="宋体" w:hAnsi="宋体"/>
                <w:color w:val="auto"/>
                <w:szCs w:val="21"/>
                <w:highlight w:val="none"/>
              </w:rPr>
            </w:pPr>
            <w:r>
              <w:rPr>
                <w:rFonts w:ascii="宋体" w:hAnsi="宋体"/>
                <w:color w:val="auto"/>
                <w:szCs w:val="21"/>
                <w:highlight w:val="none"/>
              </w:rPr>
              <w:t>序</w:t>
            </w:r>
          </w:p>
          <w:p>
            <w:pPr>
              <w:autoSpaceDE w:val="0"/>
              <w:autoSpaceDN w:val="0"/>
              <w:spacing w:before="40" w:line="360" w:lineRule="auto"/>
              <w:jc w:val="center"/>
              <w:textAlignment w:val="bottom"/>
              <w:rPr>
                <w:rFonts w:ascii="宋体" w:hAnsi="宋体"/>
                <w:color w:val="auto"/>
                <w:szCs w:val="21"/>
                <w:highlight w:val="none"/>
              </w:rPr>
            </w:pPr>
            <w:r>
              <w:rPr>
                <w:rFonts w:ascii="宋体" w:hAnsi="宋体"/>
                <w:color w:val="auto"/>
                <w:szCs w:val="21"/>
                <w:highlight w:val="none"/>
              </w:rPr>
              <w:t>号</w:t>
            </w:r>
          </w:p>
        </w:tc>
        <w:tc>
          <w:tcPr>
            <w:tcW w:w="4046" w:type="dxa"/>
            <w:gridSpan w:val="2"/>
            <w:vAlign w:val="center"/>
          </w:tcPr>
          <w:p>
            <w:pPr>
              <w:widowControl/>
              <w:autoSpaceDE w:val="0"/>
              <w:autoSpaceDN w:val="0"/>
              <w:spacing w:before="40" w:line="360" w:lineRule="auto"/>
              <w:jc w:val="center"/>
              <w:textAlignment w:val="bottom"/>
              <w:rPr>
                <w:rFonts w:ascii="宋体" w:hAnsi="宋体"/>
                <w:color w:val="auto"/>
                <w:szCs w:val="21"/>
                <w:highlight w:val="none"/>
              </w:rPr>
            </w:pPr>
            <w:r>
              <w:rPr>
                <w:rFonts w:ascii="宋体" w:hAnsi="宋体"/>
                <w:color w:val="auto"/>
                <w:szCs w:val="21"/>
                <w:highlight w:val="none"/>
              </w:rPr>
              <w:t>招 标 文 件</w:t>
            </w:r>
          </w:p>
        </w:tc>
        <w:tc>
          <w:tcPr>
            <w:tcW w:w="4003" w:type="dxa"/>
            <w:gridSpan w:val="2"/>
            <w:vAlign w:val="center"/>
          </w:tcPr>
          <w:p>
            <w:pPr>
              <w:widowControl/>
              <w:autoSpaceDE w:val="0"/>
              <w:autoSpaceDN w:val="0"/>
              <w:spacing w:before="40" w:line="360" w:lineRule="auto"/>
              <w:jc w:val="center"/>
              <w:textAlignment w:val="bottom"/>
              <w:rPr>
                <w:rFonts w:ascii="宋体" w:hAnsi="宋体"/>
                <w:color w:val="auto"/>
                <w:szCs w:val="21"/>
                <w:highlight w:val="none"/>
              </w:rPr>
            </w:pPr>
            <w:r>
              <w:rPr>
                <w:rFonts w:ascii="宋体" w:hAnsi="宋体"/>
                <w:color w:val="auto"/>
                <w:szCs w:val="21"/>
                <w:highlight w:val="none"/>
              </w:rPr>
              <w:t>投  标  文  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709" w:type="dxa"/>
            <w:vMerge w:val="continue"/>
            <w:vAlign w:val="center"/>
          </w:tcPr>
          <w:p>
            <w:pPr>
              <w:widowControl/>
              <w:autoSpaceDE w:val="0"/>
              <w:autoSpaceDN w:val="0"/>
              <w:spacing w:before="40" w:line="360" w:lineRule="auto"/>
              <w:jc w:val="center"/>
              <w:textAlignment w:val="bottom"/>
              <w:rPr>
                <w:rFonts w:ascii="宋体" w:hAnsi="宋体"/>
                <w:color w:val="auto"/>
                <w:szCs w:val="21"/>
                <w:highlight w:val="none"/>
              </w:rPr>
            </w:pPr>
          </w:p>
        </w:tc>
        <w:tc>
          <w:tcPr>
            <w:tcW w:w="1214" w:type="dxa"/>
            <w:vAlign w:val="center"/>
          </w:tcPr>
          <w:p>
            <w:pPr>
              <w:widowControl/>
              <w:autoSpaceDE w:val="0"/>
              <w:autoSpaceDN w:val="0"/>
              <w:spacing w:before="40" w:line="360" w:lineRule="auto"/>
              <w:jc w:val="center"/>
              <w:textAlignment w:val="bottom"/>
              <w:rPr>
                <w:rFonts w:ascii="宋体" w:hAnsi="宋体"/>
                <w:color w:val="auto"/>
                <w:szCs w:val="21"/>
                <w:highlight w:val="none"/>
              </w:rPr>
            </w:pPr>
            <w:r>
              <w:rPr>
                <w:rFonts w:ascii="宋体" w:hAnsi="宋体"/>
                <w:color w:val="auto"/>
                <w:szCs w:val="21"/>
                <w:highlight w:val="none"/>
              </w:rPr>
              <w:t>条  目</w:t>
            </w:r>
          </w:p>
        </w:tc>
        <w:tc>
          <w:tcPr>
            <w:tcW w:w="2832" w:type="dxa"/>
            <w:vAlign w:val="center"/>
          </w:tcPr>
          <w:p>
            <w:pPr>
              <w:widowControl/>
              <w:autoSpaceDE w:val="0"/>
              <w:autoSpaceDN w:val="0"/>
              <w:spacing w:before="40" w:line="360" w:lineRule="auto"/>
              <w:jc w:val="center"/>
              <w:textAlignment w:val="bottom"/>
              <w:rPr>
                <w:rFonts w:ascii="宋体" w:hAnsi="宋体"/>
                <w:color w:val="auto"/>
                <w:szCs w:val="21"/>
                <w:highlight w:val="none"/>
              </w:rPr>
            </w:pPr>
            <w:r>
              <w:rPr>
                <w:rFonts w:ascii="宋体" w:hAnsi="宋体"/>
                <w:color w:val="auto"/>
                <w:szCs w:val="21"/>
                <w:highlight w:val="none"/>
              </w:rPr>
              <w:t>简  要  内  容</w:t>
            </w:r>
          </w:p>
        </w:tc>
        <w:tc>
          <w:tcPr>
            <w:tcW w:w="1314" w:type="dxa"/>
            <w:vAlign w:val="center"/>
          </w:tcPr>
          <w:p>
            <w:pPr>
              <w:widowControl/>
              <w:autoSpaceDE w:val="0"/>
              <w:autoSpaceDN w:val="0"/>
              <w:spacing w:before="40" w:line="360" w:lineRule="auto"/>
              <w:jc w:val="center"/>
              <w:textAlignment w:val="bottom"/>
              <w:rPr>
                <w:rFonts w:ascii="宋体" w:hAnsi="宋体"/>
                <w:color w:val="auto"/>
                <w:szCs w:val="21"/>
                <w:highlight w:val="none"/>
              </w:rPr>
            </w:pPr>
            <w:r>
              <w:rPr>
                <w:rFonts w:ascii="宋体" w:hAnsi="宋体"/>
                <w:color w:val="auto"/>
                <w:szCs w:val="21"/>
                <w:highlight w:val="none"/>
              </w:rPr>
              <w:t>条  目</w:t>
            </w:r>
          </w:p>
        </w:tc>
        <w:tc>
          <w:tcPr>
            <w:tcW w:w="2689" w:type="dxa"/>
            <w:vAlign w:val="center"/>
          </w:tcPr>
          <w:p>
            <w:pPr>
              <w:widowControl/>
              <w:autoSpaceDE w:val="0"/>
              <w:autoSpaceDN w:val="0"/>
              <w:spacing w:before="40" w:line="360" w:lineRule="auto"/>
              <w:jc w:val="center"/>
              <w:textAlignment w:val="bottom"/>
              <w:rPr>
                <w:rFonts w:ascii="宋体" w:hAnsi="宋体"/>
                <w:color w:val="auto"/>
                <w:szCs w:val="21"/>
                <w:highlight w:val="none"/>
              </w:rPr>
            </w:pPr>
            <w:r>
              <w:rPr>
                <w:rFonts w:ascii="宋体" w:hAnsi="宋体"/>
                <w:color w:val="auto"/>
                <w:szCs w:val="21"/>
                <w:highlight w:val="none"/>
              </w:rPr>
              <w:t>简  要  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709" w:type="dxa"/>
            <w:vAlign w:val="center"/>
          </w:tcPr>
          <w:p>
            <w:pPr>
              <w:widowControl/>
              <w:autoSpaceDE w:val="0"/>
              <w:autoSpaceDN w:val="0"/>
              <w:spacing w:line="360" w:lineRule="auto"/>
              <w:jc w:val="center"/>
              <w:textAlignment w:val="bottom"/>
              <w:rPr>
                <w:rFonts w:ascii="宋体" w:hAnsi="宋体"/>
                <w:color w:val="auto"/>
                <w:szCs w:val="21"/>
                <w:highlight w:val="none"/>
              </w:rPr>
            </w:pPr>
            <w:r>
              <w:rPr>
                <w:rFonts w:ascii="宋体" w:hAnsi="宋体"/>
                <w:color w:val="auto"/>
                <w:szCs w:val="21"/>
                <w:highlight w:val="none"/>
              </w:rPr>
              <w:t>1</w:t>
            </w:r>
          </w:p>
        </w:tc>
        <w:tc>
          <w:tcPr>
            <w:tcW w:w="1214" w:type="dxa"/>
            <w:vAlign w:val="center"/>
          </w:tcPr>
          <w:p>
            <w:pPr>
              <w:widowControl/>
              <w:autoSpaceDE w:val="0"/>
              <w:autoSpaceDN w:val="0"/>
              <w:spacing w:line="360" w:lineRule="auto"/>
              <w:jc w:val="center"/>
              <w:textAlignment w:val="bottom"/>
              <w:rPr>
                <w:rFonts w:ascii="宋体" w:hAnsi="宋体"/>
                <w:color w:val="auto"/>
                <w:szCs w:val="21"/>
                <w:highlight w:val="none"/>
              </w:rPr>
            </w:pPr>
          </w:p>
        </w:tc>
        <w:tc>
          <w:tcPr>
            <w:tcW w:w="2832" w:type="dxa"/>
            <w:vAlign w:val="center"/>
          </w:tcPr>
          <w:p>
            <w:pPr>
              <w:widowControl/>
              <w:autoSpaceDE w:val="0"/>
              <w:autoSpaceDN w:val="0"/>
              <w:spacing w:line="360" w:lineRule="auto"/>
              <w:jc w:val="center"/>
              <w:textAlignment w:val="bottom"/>
              <w:rPr>
                <w:rFonts w:ascii="宋体" w:hAnsi="宋体"/>
                <w:color w:val="auto"/>
                <w:szCs w:val="21"/>
                <w:highlight w:val="none"/>
              </w:rPr>
            </w:pPr>
          </w:p>
        </w:tc>
        <w:tc>
          <w:tcPr>
            <w:tcW w:w="1314" w:type="dxa"/>
            <w:vAlign w:val="center"/>
          </w:tcPr>
          <w:p>
            <w:pPr>
              <w:widowControl/>
              <w:autoSpaceDE w:val="0"/>
              <w:autoSpaceDN w:val="0"/>
              <w:spacing w:line="360" w:lineRule="auto"/>
              <w:jc w:val="center"/>
              <w:textAlignment w:val="bottom"/>
              <w:rPr>
                <w:rFonts w:ascii="宋体" w:hAnsi="宋体"/>
                <w:color w:val="auto"/>
                <w:szCs w:val="21"/>
                <w:highlight w:val="none"/>
              </w:rPr>
            </w:pPr>
          </w:p>
        </w:tc>
        <w:tc>
          <w:tcPr>
            <w:tcW w:w="2689" w:type="dxa"/>
            <w:vAlign w:val="center"/>
          </w:tcPr>
          <w:p>
            <w:pPr>
              <w:widowControl/>
              <w:autoSpaceDE w:val="0"/>
              <w:autoSpaceDN w:val="0"/>
              <w:spacing w:line="360" w:lineRule="auto"/>
              <w:jc w:val="center"/>
              <w:textAlignment w:val="bottom"/>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709" w:type="dxa"/>
            <w:vAlign w:val="center"/>
          </w:tcPr>
          <w:p>
            <w:pPr>
              <w:widowControl/>
              <w:autoSpaceDE w:val="0"/>
              <w:autoSpaceDN w:val="0"/>
              <w:spacing w:line="360" w:lineRule="auto"/>
              <w:jc w:val="center"/>
              <w:textAlignment w:val="bottom"/>
              <w:rPr>
                <w:rFonts w:ascii="宋体" w:hAnsi="宋体"/>
                <w:color w:val="auto"/>
                <w:szCs w:val="21"/>
                <w:highlight w:val="none"/>
              </w:rPr>
            </w:pPr>
            <w:r>
              <w:rPr>
                <w:rFonts w:ascii="宋体" w:hAnsi="宋体"/>
                <w:color w:val="auto"/>
                <w:szCs w:val="21"/>
                <w:highlight w:val="none"/>
              </w:rPr>
              <w:t>2</w:t>
            </w:r>
          </w:p>
        </w:tc>
        <w:tc>
          <w:tcPr>
            <w:tcW w:w="1214" w:type="dxa"/>
            <w:vAlign w:val="center"/>
          </w:tcPr>
          <w:p>
            <w:pPr>
              <w:widowControl/>
              <w:autoSpaceDE w:val="0"/>
              <w:autoSpaceDN w:val="0"/>
              <w:spacing w:line="360" w:lineRule="auto"/>
              <w:jc w:val="center"/>
              <w:textAlignment w:val="bottom"/>
              <w:rPr>
                <w:rFonts w:ascii="宋体" w:hAnsi="宋体"/>
                <w:color w:val="auto"/>
                <w:szCs w:val="21"/>
                <w:highlight w:val="none"/>
              </w:rPr>
            </w:pPr>
          </w:p>
        </w:tc>
        <w:tc>
          <w:tcPr>
            <w:tcW w:w="2832" w:type="dxa"/>
            <w:vAlign w:val="center"/>
          </w:tcPr>
          <w:p>
            <w:pPr>
              <w:widowControl/>
              <w:autoSpaceDE w:val="0"/>
              <w:autoSpaceDN w:val="0"/>
              <w:spacing w:line="360" w:lineRule="auto"/>
              <w:jc w:val="center"/>
              <w:textAlignment w:val="bottom"/>
              <w:rPr>
                <w:rFonts w:ascii="宋体" w:hAnsi="宋体"/>
                <w:color w:val="auto"/>
                <w:szCs w:val="21"/>
                <w:highlight w:val="none"/>
              </w:rPr>
            </w:pPr>
          </w:p>
        </w:tc>
        <w:tc>
          <w:tcPr>
            <w:tcW w:w="1314" w:type="dxa"/>
            <w:vAlign w:val="center"/>
          </w:tcPr>
          <w:p>
            <w:pPr>
              <w:widowControl/>
              <w:autoSpaceDE w:val="0"/>
              <w:autoSpaceDN w:val="0"/>
              <w:spacing w:line="360" w:lineRule="auto"/>
              <w:jc w:val="center"/>
              <w:textAlignment w:val="bottom"/>
              <w:rPr>
                <w:rFonts w:ascii="宋体" w:hAnsi="宋体"/>
                <w:color w:val="auto"/>
                <w:szCs w:val="21"/>
                <w:highlight w:val="none"/>
              </w:rPr>
            </w:pPr>
          </w:p>
        </w:tc>
        <w:tc>
          <w:tcPr>
            <w:tcW w:w="2689" w:type="dxa"/>
            <w:vAlign w:val="center"/>
          </w:tcPr>
          <w:p>
            <w:pPr>
              <w:widowControl/>
              <w:autoSpaceDE w:val="0"/>
              <w:autoSpaceDN w:val="0"/>
              <w:spacing w:line="360" w:lineRule="auto"/>
              <w:jc w:val="center"/>
              <w:textAlignment w:val="bottom"/>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709" w:type="dxa"/>
            <w:vAlign w:val="center"/>
          </w:tcPr>
          <w:p>
            <w:pPr>
              <w:widowControl/>
              <w:autoSpaceDE w:val="0"/>
              <w:autoSpaceDN w:val="0"/>
              <w:spacing w:line="360" w:lineRule="auto"/>
              <w:jc w:val="center"/>
              <w:textAlignment w:val="bottom"/>
              <w:rPr>
                <w:rFonts w:ascii="宋体" w:hAnsi="宋体"/>
                <w:color w:val="auto"/>
                <w:szCs w:val="21"/>
                <w:highlight w:val="none"/>
              </w:rPr>
            </w:pPr>
            <w:r>
              <w:rPr>
                <w:rFonts w:ascii="宋体" w:hAnsi="宋体"/>
                <w:color w:val="auto"/>
                <w:szCs w:val="21"/>
                <w:highlight w:val="none"/>
              </w:rPr>
              <w:t>3</w:t>
            </w:r>
          </w:p>
        </w:tc>
        <w:tc>
          <w:tcPr>
            <w:tcW w:w="1214" w:type="dxa"/>
            <w:vAlign w:val="center"/>
          </w:tcPr>
          <w:p>
            <w:pPr>
              <w:widowControl/>
              <w:autoSpaceDE w:val="0"/>
              <w:autoSpaceDN w:val="0"/>
              <w:spacing w:line="360" w:lineRule="auto"/>
              <w:jc w:val="center"/>
              <w:textAlignment w:val="bottom"/>
              <w:rPr>
                <w:rFonts w:ascii="宋体" w:hAnsi="宋体"/>
                <w:color w:val="auto"/>
                <w:szCs w:val="21"/>
                <w:highlight w:val="none"/>
              </w:rPr>
            </w:pPr>
          </w:p>
        </w:tc>
        <w:tc>
          <w:tcPr>
            <w:tcW w:w="2832" w:type="dxa"/>
            <w:vAlign w:val="center"/>
          </w:tcPr>
          <w:p>
            <w:pPr>
              <w:widowControl/>
              <w:autoSpaceDE w:val="0"/>
              <w:autoSpaceDN w:val="0"/>
              <w:spacing w:line="360" w:lineRule="auto"/>
              <w:jc w:val="center"/>
              <w:textAlignment w:val="bottom"/>
              <w:rPr>
                <w:rFonts w:ascii="宋体" w:hAnsi="宋体"/>
                <w:color w:val="auto"/>
                <w:szCs w:val="21"/>
                <w:highlight w:val="none"/>
              </w:rPr>
            </w:pPr>
          </w:p>
        </w:tc>
        <w:tc>
          <w:tcPr>
            <w:tcW w:w="1314" w:type="dxa"/>
            <w:vAlign w:val="center"/>
          </w:tcPr>
          <w:p>
            <w:pPr>
              <w:widowControl/>
              <w:autoSpaceDE w:val="0"/>
              <w:autoSpaceDN w:val="0"/>
              <w:spacing w:line="360" w:lineRule="auto"/>
              <w:jc w:val="center"/>
              <w:textAlignment w:val="bottom"/>
              <w:rPr>
                <w:rFonts w:ascii="宋体" w:hAnsi="宋体"/>
                <w:color w:val="auto"/>
                <w:szCs w:val="21"/>
                <w:highlight w:val="none"/>
              </w:rPr>
            </w:pPr>
          </w:p>
        </w:tc>
        <w:tc>
          <w:tcPr>
            <w:tcW w:w="2689" w:type="dxa"/>
            <w:vAlign w:val="center"/>
          </w:tcPr>
          <w:p>
            <w:pPr>
              <w:widowControl/>
              <w:autoSpaceDE w:val="0"/>
              <w:autoSpaceDN w:val="0"/>
              <w:spacing w:line="360" w:lineRule="auto"/>
              <w:jc w:val="center"/>
              <w:textAlignment w:val="bottom"/>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709" w:type="dxa"/>
            <w:vAlign w:val="center"/>
          </w:tcPr>
          <w:p>
            <w:pPr>
              <w:widowControl/>
              <w:autoSpaceDE w:val="0"/>
              <w:autoSpaceDN w:val="0"/>
              <w:spacing w:line="360" w:lineRule="auto"/>
              <w:jc w:val="center"/>
              <w:textAlignment w:val="bottom"/>
              <w:rPr>
                <w:rFonts w:ascii="宋体" w:hAnsi="宋体"/>
                <w:color w:val="auto"/>
                <w:szCs w:val="21"/>
                <w:highlight w:val="none"/>
              </w:rPr>
            </w:pPr>
            <w:r>
              <w:rPr>
                <w:rFonts w:ascii="宋体" w:hAnsi="宋体"/>
                <w:color w:val="auto"/>
                <w:szCs w:val="21"/>
                <w:highlight w:val="none"/>
              </w:rPr>
              <w:t>4</w:t>
            </w:r>
          </w:p>
        </w:tc>
        <w:tc>
          <w:tcPr>
            <w:tcW w:w="1214" w:type="dxa"/>
            <w:vAlign w:val="center"/>
          </w:tcPr>
          <w:p>
            <w:pPr>
              <w:widowControl/>
              <w:autoSpaceDE w:val="0"/>
              <w:autoSpaceDN w:val="0"/>
              <w:spacing w:line="360" w:lineRule="auto"/>
              <w:jc w:val="center"/>
              <w:textAlignment w:val="bottom"/>
              <w:rPr>
                <w:rFonts w:ascii="宋体" w:hAnsi="宋体"/>
                <w:color w:val="auto"/>
                <w:szCs w:val="21"/>
                <w:highlight w:val="none"/>
              </w:rPr>
            </w:pPr>
          </w:p>
        </w:tc>
        <w:tc>
          <w:tcPr>
            <w:tcW w:w="2832" w:type="dxa"/>
            <w:vAlign w:val="center"/>
          </w:tcPr>
          <w:p>
            <w:pPr>
              <w:widowControl/>
              <w:autoSpaceDE w:val="0"/>
              <w:autoSpaceDN w:val="0"/>
              <w:spacing w:line="360" w:lineRule="auto"/>
              <w:jc w:val="center"/>
              <w:textAlignment w:val="bottom"/>
              <w:rPr>
                <w:rFonts w:ascii="宋体" w:hAnsi="宋体"/>
                <w:color w:val="auto"/>
                <w:szCs w:val="21"/>
                <w:highlight w:val="none"/>
              </w:rPr>
            </w:pPr>
          </w:p>
        </w:tc>
        <w:tc>
          <w:tcPr>
            <w:tcW w:w="1314" w:type="dxa"/>
            <w:vAlign w:val="center"/>
          </w:tcPr>
          <w:p>
            <w:pPr>
              <w:widowControl/>
              <w:autoSpaceDE w:val="0"/>
              <w:autoSpaceDN w:val="0"/>
              <w:spacing w:line="360" w:lineRule="auto"/>
              <w:jc w:val="center"/>
              <w:textAlignment w:val="bottom"/>
              <w:rPr>
                <w:rFonts w:ascii="宋体" w:hAnsi="宋体"/>
                <w:color w:val="auto"/>
                <w:szCs w:val="21"/>
                <w:highlight w:val="none"/>
              </w:rPr>
            </w:pPr>
          </w:p>
        </w:tc>
        <w:tc>
          <w:tcPr>
            <w:tcW w:w="2689" w:type="dxa"/>
            <w:vAlign w:val="center"/>
          </w:tcPr>
          <w:p>
            <w:pPr>
              <w:widowControl/>
              <w:autoSpaceDE w:val="0"/>
              <w:autoSpaceDN w:val="0"/>
              <w:spacing w:line="360" w:lineRule="auto"/>
              <w:jc w:val="center"/>
              <w:textAlignment w:val="bottom"/>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709" w:type="dxa"/>
            <w:vAlign w:val="center"/>
          </w:tcPr>
          <w:p>
            <w:pPr>
              <w:widowControl/>
              <w:autoSpaceDE w:val="0"/>
              <w:autoSpaceDN w:val="0"/>
              <w:spacing w:line="360" w:lineRule="auto"/>
              <w:jc w:val="center"/>
              <w:textAlignment w:val="bottom"/>
              <w:rPr>
                <w:rFonts w:ascii="宋体" w:hAnsi="宋体"/>
                <w:color w:val="auto"/>
                <w:szCs w:val="21"/>
                <w:highlight w:val="none"/>
              </w:rPr>
            </w:pPr>
            <w:r>
              <w:rPr>
                <w:rFonts w:ascii="宋体" w:hAnsi="宋体"/>
                <w:color w:val="auto"/>
                <w:szCs w:val="21"/>
                <w:highlight w:val="none"/>
              </w:rPr>
              <w:t>5</w:t>
            </w:r>
          </w:p>
        </w:tc>
        <w:tc>
          <w:tcPr>
            <w:tcW w:w="1214" w:type="dxa"/>
            <w:vAlign w:val="center"/>
          </w:tcPr>
          <w:p>
            <w:pPr>
              <w:widowControl/>
              <w:autoSpaceDE w:val="0"/>
              <w:autoSpaceDN w:val="0"/>
              <w:spacing w:line="360" w:lineRule="auto"/>
              <w:jc w:val="center"/>
              <w:textAlignment w:val="bottom"/>
              <w:rPr>
                <w:rFonts w:ascii="宋体" w:hAnsi="宋体"/>
                <w:color w:val="auto"/>
                <w:szCs w:val="21"/>
                <w:highlight w:val="none"/>
              </w:rPr>
            </w:pPr>
          </w:p>
        </w:tc>
        <w:tc>
          <w:tcPr>
            <w:tcW w:w="2832" w:type="dxa"/>
            <w:vAlign w:val="center"/>
          </w:tcPr>
          <w:p>
            <w:pPr>
              <w:widowControl/>
              <w:autoSpaceDE w:val="0"/>
              <w:autoSpaceDN w:val="0"/>
              <w:spacing w:line="360" w:lineRule="auto"/>
              <w:jc w:val="center"/>
              <w:textAlignment w:val="bottom"/>
              <w:rPr>
                <w:rFonts w:ascii="宋体" w:hAnsi="宋体"/>
                <w:color w:val="auto"/>
                <w:szCs w:val="21"/>
                <w:highlight w:val="none"/>
              </w:rPr>
            </w:pPr>
          </w:p>
        </w:tc>
        <w:tc>
          <w:tcPr>
            <w:tcW w:w="1314" w:type="dxa"/>
            <w:vAlign w:val="center"/>
          </w:tcPr>
          <w:p>
            <w:pPr>
              <w:widowControl/>
              <w:autoSpaceDE w:val="0"/>
              <w:autoSpaceDN w:val="0"/>
              <w:spacing w:line="360" w:lineRule="auto"/>
              <w:jc w:val="center"/>
              <w:textAlignment w:val="bottom"/>
              <w:rPr>
                <w:rFonts w:ascii="宋体" w:hAnsi="宋体"/>
                <w:color w:val="auto"/>
                <w:szCs w:val="21"/>
                <w:highlight w:val="none"/>
              </w:rPr>
            </w:pPr>
          </w:p>
        </w:tc>
        <w:tc>
          <w:tcPr>
            <w:tcW w:w="2689" w:type="dxa"/>
            <w:vAlign w:val="center"/>
          </w:tcPr>
          <w:p>
            <w:pPr>
              <w:widowControl/>
              <w:autoSpaceDE w:val="0"/>
              <w:autoSpaceDN w:val="0"/>
              <w:spacing w:line="360" w:lineRule="auto"/>
              <w:jc w:val="center"/>
              <w:textAlignment w:val="bottom"/>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709" w:type="dxa"/>
            <w:vAlign w:val="center"/>
          </w:tcPr>
          <w:p>
            <w:pPr>
              <w:widowControl/>
              <w:autoSpaceDE w:val="0"/>
              <w:autoSpaceDN w:val="0"/>
              <w:spacing w:line="360" w:lineRule="auto"/>
              <w:jc w:val="center"/>
              <w:textAlignment w:val="bottom"/>
              <w:rPr>
                <w:rFonts w:ascii="宋体" w:hAnsi="宋体"/>
                <w:color w:val="auto"/>
                <w:szCs w:val="21"/>
                <w:highlight w:val="none"/>
              </w:rPr>
            </w:pPr>
            <w:r>
              <w:rPr>
                <w:rFonts w:ascii="宋体" w:hAnsi="宋体"/>
                <w:color w:val="auto"/>
                <w:szCs w:val="21"/>
                <w:highlight w:val="none"/>
              </w:rPr>
              <w:t>6</w:t>
            </w:r>
          </w:p>
        </w:tc>
        <w:tc>
          <w:tcPr>
            <w:tcW w:w="1214" w:type="dxa"/>
            <w:vAlign w:val="center"/>
          </w:tcPr>
          <w:p>
            <w:pPr>
              <w:widowControl/>
              <w:autoSpaceDE w:val="0"/>
              <w:autoSpaceDN w:val="0"/>
              <w:spacing w:line="360" w:lineRule="auto"/>
              <w:jc w:val="center"/>
              <w:textAlignment w:val="bottom"/>
              <w:rPr>
                <w:rFonts w:ascii="宋体" w:hAnsi="宋体"/>
                <w:color w:val="auto"/>
                <w:szCs w:val="21"/>
                <w:highlight w:val="none"/>
              </w:rPr>
            </w:pPr>
          </w:p>
        </w:tc>
        <w:tc>
          <w:tcPr>
            <w:tcW w:w="2832" w:type="dxa"/>
            <w:vAlign w:val="center"/>
          </w:tcPr>
          <w:p>
            <w:pPr>
              <w:widowControl/>
              <w:autoSpaceDE w:val="0"/>
              <w:autoSpaceDN w:val="0"/>
              <w:spacing w:line="360" w:lineRule="auto"/>
              <w:jc w:val="center"/>
              <w:textAlignment w:val="bottom"/>
              <w:rPr>
                <w:rFonts w:ascii="宋体" w:hAnsi="宋体"/>
                <w:color w:val="auto"/>
                <w:szCs w:val="21"/>
                <w:highlight w:val="none"/>
              </w:rPr>
            </w:pPr>
          </w:p>
        </w:tc>
        <w:tc>
          <w:tcPr>
            <w:tcW w:w="1314" w:type="dxa"/>
            <w:vAlign w:val="center"/>
          </w:tcPr>
          <w:p>
            <w:pPr>
              <w:widowControl/>
              <w:autoSpaceDE w:val="0"/>
              <w:autoSpaceDN w:val="0"/>
              <w:spacing w:line="360" w:lineRule="auto"/>
              <w:jc w:val="center"/>
              <w:textAlignment w:val="bottom"/>
              <w:rPr>
                <w:rFonts w:ascii="宋体" w:hAnsi="宋体"/>
                <w:color w:val="auto"/>
                <w:szCs w:val="21"/>
                <w:highlight w:val="none"/>
              </w:rPr>
            </w:pPr>
          </w:p>
        </w:tc>
        <w:tc>
          <w:tcPr>
            <w:tcW w:w="2689" w:type="dxa"/>
            <w:vAlign w:val="center"/>
          </w:tcPr>
          <w:p>
            <w:pPr>
              <w:widowControl/>
              <w:autoSpaceDE w:val="0"/>
              <w:autoSpaceDN w:val="0"/>
              <w:spacing w:line="360" w:lineRule="auto"/>
              <w:jc w:val="center"/>
              <w:textAlignment w:val="bottom"/>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709" w:type="dxa"/>
            <w:vAlign w:val="center"/>
          </w:tcPr>
          <w:p>
            <w:pPr>
              <w:widowControl/>
              <w:autoSpaceDE w:val="0"/>
              <w:autoSpaceDN w:val="0"/>
              <w:spacing w:line="360" w:lineRule="auto"/>
              <w:jc w:val="center"/>
              <w:textAlignment w:val="bottom"/>
              <w:rPr>
                <w:rFonts w:ascii="宋体" w:hAnsi="宋体"/>
                <w:color w:val="auto"/>
                <w:szCs w:val="21"/>
                <w:highlight w:val="none"/>
              </w:rPr>
            </w:pPr>
            <w:r>
              <w:rPr>
                <w:rFonts w:ascii="宋体" w:hAnsi="宋体"/>
                <w:color w:val="auto"/>
                <w:szCs w:val="21"/>
                <w:highlight w:val="none"/>
              </w:rPr>
              <w:t>7</w:t>
            </w:r>
          </w:p>
        </w:tc>
        <w:tc>
          <w:tcPr>
            <w:tcW w:w="1214" w:type="dxa"/>
            <w:vAlign w:val="center"/>
          </w:tcPr>
          <w:p>
            <w:pPr>
              <w:widowControl/>
              <w:autoSpaceDE w:val="0"/>
              <w:autoSpaceDN w:val="0"/>
              <w:spacing w:line="360" w:lineRule="auto"/>
              <w:jc w:val="center"/>
              <w:textAlignment w:val="bottom"/>
              <w:rPr>
                <w:rFonts w:ascii="宋体" w:hAnsi="宋体"/>
                <w:color w:val="auto"/>
                <w:szCs w:val="21"/>
                <w:highlight w:val="none"/>
              </w:rPr>
            </w:pPr>
          </w:p>
        </w:tc>
        <w:tc>
          <w:tcPr>
            <w:tcW w:w="2832" w:type="dxa"/>
            <w:vAlign w:val="center"/>
          </w:tcPr>
          <w:p>
            <w:pPr>
              <w:widowControl/>
              <w:autoSpaceDE w:val="0"/>
              <w:autoSpaceDN w:val="0"/>
              <w:spacing w:line="360" w:lineRule="auto"/>
              <w:jc w:val="center"/>
              <w:textAlignment w:val="bottom"/>
              <w:rPr>
                <w:rFonts w:ascii="宋体" w:hAnsi="宋体"/>
                <w:color w:val="auto"/>
                <w:szCs w:val="21"/>
                <w:highlight w:val="none"/>
              </w:rPr>
            </w:pPr>
          </w:p>
        </w:tc>
        <w:tc>
          <w:tcPr>
            <w:tcW w:w="1314" w:type="dxa"/>
            <w:vAlign w:val="center"/>
          </w:tcPr>
          <w:p>
            <w:pPr>
              <w:widowControl/>
              <w:autoSpaceDE w:val="0"/>
              <w:autoSpaceDN w:val="0"/>
              <w:spacing w:line="360" w:lineRule="auto"/>
              <w:jc w:val="center"/>
              <w:textAlignment w:val="bottom"/>
              <w:rPr>
                <w:rFonts w:ascii="宋体" w:hAnsi="宋体"/>
                <w:color w:val="auto"/>
                <w:szCs w:val="21"/>
                <w:highlight w:val="none"/>
              </w:rPr>
            </w:pPr>
          </w:p>
        </w:tc>
        <w:tc>
          <w:tcPr>
            <w:tcW w:w="2689" w:type="dxa"/>
            <w:vAlign w:val="center"/>
          </w:tcPr>
          <w:p>
            <w:pPr>
              <w:widowControl/>
              <w:autoSpaceDE w:val="0"/>
              <w:autoSpaceDN w:val="0"/>
              <w:spacing w:line="360" w:lineRule="auto"/>
              <w:jc w:val="center"/>
              <w:textAlignment w:val="bottom"/>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709" w:type="dxa"/>
            <w:vAlign w:val="center"/>
          </w:tcPr>
          <w:p>
            <w:pPr>
              <w:widowControl/>
              <w:autoSpaceDE w:val="0"/>
              <w:autoSpaceDN w:val="0"/>
              <w:spacing w:line="360" w:lineRule="auto"/>
              <w:jc w:val="center"/>
              <w:textAlignment w:val="bottom"/>
              <w:rPr>
                <w:rFonts w:ascii="宋体" w:hAnsi="宋体"/>
                <w:color w:val="auto"/>
                <w:szCs w:val="21"/>
                <w:highlight w:val="none"/>
              </w:rPr>
            </w:pPr>
            <w:r>
              <w:rPr>
                <w:rFonts w:ascii="宋体" w:hAnsi="宋体"/>
                <w:color w:val="auto"/>
                <w:szCs w:val="21"/>
                <w:highlight w:val="none"/>
              </w:rPr>
              <w:t>8</w:t>
            </w:r>
          </w:p>
        </w:tc>
        <w:tc>
          <w:tcPr>
            <w:tcW w:w="1214" w:type="dxa"/>
            <w:vAlign w:val="center"/>
          </w:tcPr>
          <w:p>
            <w:pPr>
              <w:widowControl/>
              <w:autoSpaceDE w:val="0"/>
              <w:autoSpaceDN w:val="0"/>
              <w:spacing w:line="360" w:lineRule="auto"/>
              <w:jc w:val="center"/>
              <w:textAlignment w:val="bottom"/>
              <w:rPr>
                <w:rFonts w:ascii="宋体" w:hAnsi="宋体"/>
                <w:color w:val="auto"/>
                <w:szCs w:val="21"/>
                <w:highlight w:val="none"/>
              </w:rPr>
            </w:pPr>
          </w:p>
        </w:tc>
        <w:tc>
          <w:tcPr>
            <w:tcW w:w="2832" w:type="dxa"/>
            <w:vAlign w:val="center"/>
          </w:tcPr>
          <w:p>
            <w:pPr>
              <w:widowControl/>
              <w:autoSpaceDE w:val="0"/>
              <w:autoSpaceDN w:val="0"/>
              <w:spacing w:line="360" w:lineRule="auto"/>
              <w:jc w:val="center"/>
              <w:textAlignment w:val="bottom"/>
              <w:rPr>
                <w:rFonts w:ascii="宋体" w:hAnsi="宋体"/>
                <w:color w:val="auto"/>
                <w:szCs w:val="21"/>
                <w:highlight w:val="none"/>
              </w:rPr>
            </w:pPr>
          </w:p>
        </w:tc>
        <w:tc>
          <w:tcPr>
            <w:tcW w:w="1314" w:type="dxa"/>
            <w:vAlign w:val="center"/>
          </w:tcPr>
          <w:p>
            <w:pPr>
              <w:widowControl/>
              <w:autoSpaceDE w:val="0"/>
              <w:autoSpaceDN w:val="0"/>
              <w:spacing w:line="360" w:lineRule="auto"/>
              <w:jc w:val="center"/>
              <w:textAlignment w:val="bottom"/>
              <w:rPr>
                <w:rFonts w:ascii="宋体" w:hAnsi="宋体"/>
                <w:color w:val="auto"/>
                <w:szCs w:val="21"/>
                <w:highlight w:val="none"/>
              </w:rPr>
            </w:pPr>
          </w:p>
        </w:tc>
        <w:tc>
          <w:tcPr>
            <w:tcW w:w="2689" w:type="dxa"/>
            <w:vAlign w:val="center"/>
          </w:tcPr>
          <w:p>
            <w:pPr>
              <w:widowControl/>
              <w:autoSpaceDE w:val="0"/>
              <w:autoSpaceDN w:val="0"/>
              <w:spacing w:line="360" w:lineRule="auto"/>
              <w:jc w:val="center"/>
              <w:textAlignment w:val="bottom"/>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709" w:type="dxa"/>
            <w:vAlign w:val="center"/>
          </w:tcPr>
          <w:p>
            <w:pPr>
              <w:widowControl/>
              <w:autoSpaceDE w:val="0"/>
              <w:autoSpaceDN w:val="0"/>
              <w:spacing w:line="360" w:lineRule="auto"/>
              <w:jc w:val="center"/>
              <w:textAlignment w:val="bottom"/>
              <w:rPr>
                <w:rFonts w:ascii="宋体" w:hAnsi="宋体"/>
                <w:color w:val="auto"/>
                <w:szCs w:val="21"/>
                <w:highlight w:val="none"/>
              </w:rPr>
            </w:pPr>
            <w:r>
              <w:rPr>
                <w:rFonts w:ascii="宋体" w:hAnsi="宋体"/>
                <w:color w:val="auto"/>
                <w:szCs w:val="21"/>
                <w:highlight w:val="none"/>
              </w:rPr>
              <w:t>9</w:t>
            </w:r>
          </w:p>
        </w:tc>
        <w:tc>
          <w:tcPr>
            <w:tcW w:w="1214" w:type="dxa"/>
            <w:vAlign w:val="center"/>
          </w:tcPr>
          <w:p>
            <w:pPr>
              <w:widowControl/>
              <w:autoSpaceDE w:val="0"/>
              <w:autoSpaceDN w:val="0"/>
              <w:spacing w:line="360" w:lineRule="auto"/>
              <w:jc w:val="center"/>
              <w:textAlignment w:val="bottom"/>
              <w:rPr>
                <w:rFonts w:ascii="宋体" w:hAnsi="宋体"/>
                <w:color w:val="auto"/>
                <w:szCs w:val="21"/>
                <w:highlight w:val="none"/>
              </w:rPr>
            </w:pPr>
          </w:p>
        </w:tc>
        <w:tc>
          <w:tcPr>
            <w:tcW w:w="2832" w:type="dxa"/>
            <w:vAlign w:val="center"/>
          </w:tcPr>
          <w:p>
            <w:pPr>
              <w:widowControl/>
              <w:autoSpaceDE w:val="0"/>
              <w:autoSpaceDN w:val="0"/>
              <w:spacing w:line="360" w:lineRule="auto"/>
              <w:jc w:val="center"/>
              <w:textAlignment w:val="bottom"/>
              <w:rPr>
                <w:rFonts w:ascii="宋体" w:hAnsi="宋体"/>
                <w:color w:val="auto"/>
                <w:szCs w:val="21"/>
                <w:highlight w:val="none"/>
              </w:rPr>
            </w:pPr>
          </w:p>
        </w:tc>
        <w:tc>
          <w:tcPr>
            <w:tcW w:w="1314" w:type="dxa"/>
            <w:vAlign w:val="center"/>
          </w:tcPr>
          <w:p>
            <w:pPr>
              <w:widowControl/>
              <w:autoSpaceDE w:val="0"/>
              <w:autoSpaceDN w:val="0"/>
              <w:spacing w:line="360" w:lineRule="auto"/>
              <w:jc w:val="center"/>
              <w:textAlignment w:val="bottom"/>
              <w:rPr>
                <w:rFonts w:ascii="宋体" w:hAnsi="宋体"/>
                <w:color w:val="auto"/>
                <w:szCs w:val="21"/>
                <w:highlight w:val="none"/>
              </w:rPr>
            </w:pPr>
          </w:p>
        </w:tc>
        <w:tc>
          <w:tcPr>
            <w:tcW w:w="2689" w:type="dxa"/>
            <w:vAlign w:val="center"/>
          </w:tcPr>
          <w:p>
            <w:pPr>
              <w:widowControl/>
              <w:autoSpaceDE w:val="0"/>
              <w:autoSpaceDN w:val="0"/>
              <w:spacing w:line="360" w:lineRule="auto"/>
              <w:jc w:val="center"/>
              <w:textAlignment w:val="bottom"/>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709" w:type="dxa"/>
            <w:vAlign w:val="center"/>
          </w:tcPr>
          <w:p>
            <w:pPr>
              <w:widowControl/>
              <w:autoSpaceDE w:val="0"/>
              <w:autoSpaceDN w:val="0"/>
              <w:spacing w:line="360" w:lineRule="auto"/>
              <w:jc w:val="center"/>
              <w:textAlignment w:val="bottom"/>
              <w:rPr>
                <w:rFonts w:ascii="宋体" w:hAnsi="宋体"/>
                <w:color w:val="auto"/>
                <w:szCs w:val="21"/>
                <w:highlight w:val="none"/>
              </w:rPr>
            </w:pPr>
            <w:r>
              <w:rPr>
                <w:rFonts w:ascii="宋体" w:hAnsi="宋体"/>
                <w:color w:val="auto"/>
                <w:szCs w:val="21"/>
                <w:highlight w:val="none"/>
              </w:rPr>
              <w:t>10</w:t>
            </w:r>
          </w:p>
        </w:tc>
        <w:tc>
          <w:tcPr>
            <w:tcW w:w="1214" w:type="dxa"/>
            <w:vAlign w:val="center"/>
          </w:tcPr>
          <w:p>
            <w:pPr>
              <w:widowControl/>
              <w:autoSpaceDE w:val="0"/>
              <w:autoSpaceDN w:val="0"/>
              <w:spacing w:line="360" w:lineRule="auto"/>
              <w:jc w:val="center"/>
              <w:textAlignment w:val="bottom"/>
              <w:rPr>
                <w:rFonts w:ascii="宋体" w:hAnsi="宋体"/>
                <w:color w:val="auto"/>
                <w:szCs w:val="21"/>
                <w:highlight w:val="none"/>
              </w:rPr>
            </w:pPr>
          </w:p>
        </w:tc>
        <w:tc>
          <w:tcPr>
            <w:tcW w:w="2832" w:type="dxa"/>
            <w:vAlign w:val="center"/>
          </w:tcPr>
          <w:p>
            <w:pPr>
              <w:widowControl/>
              <w:autoSpaceDE w:val="0"/>
              <w:autoSpaceDN w:val="0"/>
              <w:spacing w:line="360" w:lineRule="auto"/>
              <w:jc w:val="center"/>
              <w:textAlignment w:val="bottom"/>
              <w:rPr>
                <w:rFonts w:ascii="宋体" w:hAnsi="宋体"/>
                <w:color w:val="auto"/>
                <w:szCs w:val="21"/>
                <w:highlight w:val="none"/>
              </w:rPr>
            </w:pPr>
          </w:p>
        </w:tc>
        <w:tc>
          <w:tcPr>
            <w:tcW w:w="1314" w:type="dxa"/>
            <w:vAlign w:val="center"/>
          </w:tcPr>
          <w:p>
            <w:pPr>
              <w:widowControl/>
              <w:autoSpaceDE w:val="0"/>
              <w:autoSpaceDN w:val="0"/>
              <w:spacing w:line="360" w:lineRule="auto"/>
              <w:jc w:val="center"/>
              <w:textAlignment w:val="bottom"/>
              <w:rPr>
                <w:rFonts w:ascii="宋体" w:hAnsi="宋体"/>
                <w:color w:val="auto"/>
                <w:szCs w:val="21"/>
                <w:highlight w:val="none"/>
              </w:rPr>
            </w:pPr>
          </w:p>
        </w:tc>
        <w:tc>
          <w:tcPr>
            <w:tcW w:w="2689" w:type="dxa"/>
            <w:vAlign w:val="center"/>
          </w:tcPr>
          <w:p>
            <w:pPr>
              <w:widowControl/>
              <w:autoSpaceDE w:val="0"/>
              <w:autoSpaceDN w:val="0"/>
              <w:spacing w:line="360" w:lineRule="auto"/>
              <w:jc w:val="center"/>
              <w:textAlignment w:val="bottom"/>
              <w:rPr>
                <w:rFonts w:ascii="宋体" w:hAnsi="宋体"/>
                <w:color w:val="auto"/>
                <w:szCs w:val="21"/>
                <w:highlight w:val="none"/>
              </w:rPr>
            </w:pPr>
          </w:p>
        </w:tc>
      </w:tr>
    </w:tbl>
    <w:p>
      <w:pPr>
        <w:pStyle w:val="21"/>
        <w:adjustRightInd w:val="0"/>
        <w:snapToGrid w:val="0"/>
        <w:spacing w:before="156" w:beforeLines="50" w:line="360" w:lineRule="auto"/>
        <w:rPr>
          <w:rFonts w:hint="eastAsia" w:ascii="宋体" w:hAnsi="宋体" w:cs="宋体"/>
          <w:color w:val="auto"/>
          <w:szCs w:val="21"/>
          <w:highlight w:val="none"/>
        </w:rPr>
      </w:pPr>
      <w:r>
        <w:rPr>
          <w:rFonts w:hAnsi="宋体"/>
          <w:color w:val="auto"/>
          <w:szCs w:val="21"/>
          <w:highlight w:val="none"/>
        </w:rPr>
        <w:t>投标方：</w:t>
      </w:r>
      <w:r>
        <w:rPr>
          <w:rFonts w:hAnsi="宋体"/>
          <w:color w:val="auto"/>
          <w:szCs w:val="21"/>
          <w:highlight w:val="none"/>
          <w:u w:val="single"/>
        </w:rPr>
        <w:t xml:space="preserve">                </w:t>
      </w:r>
      <w:r>
        <w:rPr>
          <w:rFonts w:hAnsi="宋体"/>
          <w:color w:val="auto"/>
          <w:szCs w:val="21"/>
          <w:highlight w:val="none"/>
        </w:rPr>
        <w:t>盖章：</w:t>
      </w:r>
    </w:p>
    <w:sectPr>
      <w:headerReference r:id="rId9" w:type="default"/>
      <w:footerReference r:id="rId10" w:type="default"/>
      <w:pgSz w:w="11906" w:h="16838"/>
      <w:pgMar w:top="1440" w:right="1803" w:bottom="1440" w:left="1803" w:header="964" w:footer="737"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楷体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rPr>
        <w:rStyle w:val="41"/>
      </w:rPr>
    </w:pPr>
    <w:r>
      <w:fldChar w:fldCharType="begin"/>
    </w:r>
    <w:r>
      <w:rPr>
        <w:rStyle w:val="41"/>
      </w:rPr>
      <w:instrText xml:space="preserve">PAGE  </w:instrText>
    </w:r>
    <w:r>
      <w:fldChar w:fldCharType="separate"/>
    </w:r>
    <w:r>
      <w:rPr>
        <w:rStyle w:val="41"/>
      </w:rPr>
      <w:t>2</w:t>
    </w:r>
    <w:r>
      <w:fldChar w:fldCharType="end"/>
    </w:r>
  </w:p>
  <w:p>
    <w:pPr>
      <w:pStyle w:val="136"/>
      <w:ind w:right="360" w:firstLine="360"/>
      <w:rPr>
        <w:rStyle w:val="4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5"/>
      <w:ind w:right="360" w:firstLine="360"/>
      <w:jc w:val="center"/>
      <w:rPr>
        <w:rStyle w:val="41"/>
      </w:rPr>
    </w:pPr>
    <w:r>
      <w:rPr>
        <w:kern w:val="2"/>
        <w:szCs w:val="18"/>
      </w:rPr>
      <w:fldChar w:fldCharType="begin"/>
    </w:r>
    <w:r>
      <w:rPr>
        <w:rStyle w:val="41"/>
        <w:kern w:val="2"/>
        <w:szCs w:val="18"/>
      </w:rPr>
      <w:instrText xml:space="preserve"> PAGE </w:instrText>
    </w:r>
    <w:r>
      <w:rPr>
        <w:kern w:val="2"/>
        <w:szCs w:val="18"/>
      </w:rPr>
      <w:fldChar w:fldCharType="separate"/>
    </w:r>
    <w:r>
      <w:rPr>
        <w:rStyle w:val="41"/>
        <w:kern w:val="2"/>
        <w:szCs w:val="18"/>
      </w:rPr>
      <w:t>4</w:t>
    </w:r>
    <w:r>
      <w:rPr>
        <w:kern w:val="2"/>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ind w:right="360" w:firstLine="360"/>
      <w:jc w:val="right"/>
    </w:pPr>
    <w:r>
      <w:pict>
        <v:shape id="_x0000_s1029" o:spid="_x0000_s1029"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joinstyle="miter"/>
          <v:imagedata o:title=""/>
          <o:lock v:ext="edit"/>
          <v:textbox inset="0mm,0mm,0mm,0mm" style="mso-fit-shape-to-text:t;">
            <w:txbxContent>
              <w:p>
                <w:pPr>
                  <w:snapToGrid w:val="0"/>
                  <w:rPr>
                    <w:rFonts w:hint="eastAsia"/>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 </w:t>
                </w:r>
                <w:r>
                  <w:rPr>
                    <w:sz w:val="18"/>
                  </w:rPr>
                  <w:t>7</w:t>
                </w:r>
                <w:r>
                  <w:rPr>
                    <w:rFonts w:hint="eastAsia"/>
                    <w:sz w:val="18"/>
                  </w:rPr>
                  <w:t xml:space="preserve"> 页</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ind w:firstLine="360" w:firstLineChars="200"/>
      <w:jc w:val="both"/>
    </w:pPr>
    <w:r>
      <w:rPr>
        <w:rFonts w:hint="eastAsia"/>
      </w:rPr>
      <w:t>广州供电局</w:t>
    </w:r>
    <w:r>
      <w:rPr>
        <w:rFonts w:hint="eastAsia"/>
        <w:shd w:val="pct10" w:color="auto" w:fill="FFFFFF"/>
      </w:rPr>
      <w:t>携带型短路接地线</w:t>
    </w:r>
    <w:r>
      <w:rPr>
        <w:rFonts w:hint="eastAsia"/>
      </w:rPr>
      <w:t xml:space="preserve">标准技术标书           第 </w:t>
    </w:r>
    <w:r>
      <w:fldChar w:fldCharType="begin"/>
    </w:r>
    <w:r>
      <w:rPr>
        <w:rStyle w:val="41"/>
      </w:rPr>
      <w:instrText xml:space="preserve"> PAGE </w:instrText>
    </w:r>
    <w:r>
      <w:fldChar w:fldCharType="separate"/>
    </w:r>
    <w:r>
      <w:rPr>
        <w:rStyle w:val="41"/>
      </w:rPr>
      <w:t>I</w:t>
    </w:r>
    <w:r>
      <w:fldChar w:fldCharType="end"/>
    </w:r>
    <w:r>
      <w:rPr>
        <w:rStyle w:val="41"/>
        <w:rFonts w:hint="eastAsia"/>
      </w:rPr>
      <w:t xml:space="preserve"> 页 / 共 19页</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1"/>
      <w:tabs>
        <w:tab w:val="clear" w:pos="1120"/>
      </w:tabs>
      <w:ind w:firstLine="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rPr>
        <w:rFonts w:hint="eastAsia"/>
      </w:rPr>
    </w:pPr>
    <w:r>
      <w:rPr>
        <w:rFonts w:hint="eastAsia"/>
        <w:lang w:val="en-US" w:eastAsia="zh-CN"/>
      </w:rPr>
      <w:t>海南</w:t>
    </w:r>
    <w:r>
      <w:rPr>
        <w:rFonts w:hint="eastAsia"/>
      </w:rPr>
      <w:t>电网有限责任公司绝缘操作</w:t>
    </w:r>
    <w:r>
      <w:rPr>
        <w:rFonts w:hint="eastAsia"/>
        <w:lang w:val="en-US" w:eastAsia="zh-CN"/>
      </w:rPr>
      <w:t>杆</w:t>
    </w:r>
    <w:r>
      <w:rPr>
        <w:rFonts w:hint="eastAsia"/>
      </w:rPr>
      <w:t>技术条件书</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ind w:firstLine="180" w:firstLineChars="100"/>
      <w:rPr>
        <w:rFonts w:hint="eastAsia"/>
      </w:rPr>
    </w:pPr>
    <w:r>
      <w:rPr>
        <w:rFonts w:hint="eastAsia"/>
        <w:lang w:val="en-US" w:eastAsia="zh-CN"/>
      </w:rPr>
      <w:t>海南</w:t>
    </w:r>
    <w:r>
      <w:rPr>
        <w:rFonts w:hint="eastAsia"/>
      </w:rPr>
      <w:t>电网有限责任公司绝缘操作</w:t>
    </w:r>
    <w:r>
      <w:rPr>
        <w:rFonts w:hint="eastAsia"/>
        <w:lang w:val="en-US" w:eastAsia="zh-CN"/>
      </w:rPr>
      <w:t>杆</w:t>
    </w:r>
    <w:r>
      <w:rPr>
        <w:rFonts w:hint="eastAsia"/>
      </w:rPr>
      <w:t>技术条件书</w:t>
    </w: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8"/>
    <w:multiLevelType w:val="multilevel"/>
    <w:tmpl w:val="00000008"/>
    <w:lvl w:ilvl="0" w:tentative="0">
      <w:start w:val="1"/>
      <w:numFmt w:val="decimal"/>
      <w:pStyle w:val="154"/>
      <w:suff w:val="nothing"/>
      <w:lvlText w:val="附　表　%1"/>
      <w:lvlJc w:val="left"/>
      <w:pPr>
        <w:ind w:left="0" w:firstLine="0"/>
      </w:pPr>
      <w:rPr>
        <w:rFonts w:hint="eastAsia" w:ascii="黑体" w:hAnsi="Times New Roman" w:eastAsia="黑体"/>
        <w:b w:val="0"/>
        <w:i w:val="0"/>
        <w:sz w:val="21"/>
      </w:rPr>
    </w:lvl>
    <w:lvl w:ilvl="1" w:tentative="0">
      <w:start w:val="1"/>
      <w:numFmt w:val="decimal"/>
      <w:pStyle w:val="115"/>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14"/>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9"/>
    <w:multiLevelType w:val="multilevel"/>
    <w:tmpl w:val="00000009"/>
    <w:lvl w:ilvl="0" w:tentative="0">
      <w:start w:val="1"/>
      <w:numFmt w:val="none"/>
      <w:pStyle w:val="106"/>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0000000B"/>
    <w:multiLevelType w:val="multilevel"/>
    <w:tmpl w:val="0000000B"/>
    <w:lvl w:ilvl="0" w:tentative="0">
      <w:start w:val="1"/>
      <w:numFmt w:val="none"/>
      <w:pStyle w:val="151"/>
      <w:lvlText w:val="%1示例"/>
      <w:lvlJc w:val="left"/>
      <w:pPr>
        <w:tabs>
          <w:tab w:val="left" w:pos="1120"/>
        </w:tabs>
        <w:ind w:left="0" w:firstLine="400"/>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C"/>
    <w:multiLevelType w:val="multilevel"/>
    <w:tmpl w:val="0000000C"/>
    <w:lvl w:ilvl="0" w:tentative="0">
      <w:start w:val="1"/>
      <w:numFmt w:val="none"/>
      <w:pStyle w:val="162"/>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D"/>
    <w:multiLevelType w:val="multilevel"/>
    <w:tmpl w:val="0000000D"/>
    <w:lvl w:ilvl="0" w:tentative="0">
      <w:start w:val="1"/>
      <w:numFmt w:val="decimal"/>
      <w:suff w:val="space"/>
      <w:lvlText w:val="%1."/>
      <w:lvlJc w:val="left"/>
      <w:pPr>
        <w:ind w:left="525" w:hanging="525"/>
      </w:pPr>
      <w:rPr>
        <w:rFonts w:hint="default"/>
      </w:rPr>
    </w:lvl>
    <w:lvl w:ilvl="1" w:tentative="0">
      <w:start w:val="1"/>
      <w:numFmt w:val="decimal"/>
      <w:lvlText w:val="%1.%2."/>
      <w:lvlJc w:val="left"/>
      <w:pPr>
        <w:tabs>
          <w:tab w:val="left" w:pos="525"/>
        </w:tabs>
        <w:ind w:left="525" w:hanging="525"/>
      </w:pPr>
      <w:rPr>
        <w:rFonts w:hint="default" w:ascii="Times New Roman" w:hAnsi="Times New Roman" w:eastAsia="宋体"/>
      </w:rPr>
    </w:lvl>
    <w:lvl w:ilvl="2" w:tentative="0">
      <w:start w:val="1"/>
      <w:numFmt w:val="decimal"/>
      <w:lvlText w:val="%1.%2.%3."/>
      <w:lvlJc w:val="left"/>
      <w:pPr>
        <w:tabs>
          <w:tab w:val="left" w:pos="0"/>
        </w:tabs>
        <w:ind w:left="0" w:firstLine="0"/>
      </w:pPr>
      <w:rPr>
        <w:rFonts w:hint="default" w:ascii="Times New Roman" w:hAnsi="Times New Roman" w:eastAsia="宋体"/>
      </w:rPr>
    </w:lvl>
    <w:lvl w:ilvl="3" w:tentative="0">
      <w:start w:val="1"/>
      <w:numFmt w:val="lowerLetter"/>
      <w:lvlText w:val="%1.%2.%3.%4."/>
      <w:lvlJc w:val="left"/>
      <w:pPr>
        <w:tabs>
          <w:tab w:val="left" w:pos="1080"/>
        </w:tabs>
        <w:ind w:left="1080" w:hanging="1080"/>
      </w:pPr>
      <w:rPr>
        <w:rFonts w:hint="default"/>
      </w:rPr>
    </w:lvl>
    <w:lvl w:ilvl="4" w:tentative="0">
      <w:start w:val="1"/>
      <w:numFmt w:val="lowerLetter"/>
      <w:pStyle w:val="6"/>
      <w:suff w:val="nothing"/>
      <w:lvlText w:val="%5."/>
      <w:lvlJc w:val="left"/>
      <w:pPr>
        <w:ind w:left="0" w:firstLine="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5">
    <w:nsid w:val="00000010"/>
    <w:multiLevelType w:val="multilevel"/>
    <w:tmpl w:val="00000010"/>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11"/>
      <w:suff w:val="nothing"/>
      <w:lvlText w:val="%1%2.%3　"/>
      <w:lvlJc w:val="left"/>
      <w:pPr>
        <w:ind w:left="0" w:firstLine="0"/>
      </w:pPr>
      <w:rPr>
        <w:rFonts w:hint="eastAsia" w:ascii="黑体" w:hAnsi="Times New Roman" w:eastAsia="黑体"/>
        <w:b w:val="0"/>
        <w:i w:val="0"/>
        <w:sz w:val="21"/>
      </w:rPr>
    </w:lvl>
    <w:lvl w:ilvl="3" w:tentative="0">
      <w:start w:val="1"/>
      <w:numFmt w:val="decimal"/>
      <w:pStyle w:val="175"/>
      <w:suff w:val="nothing"/>
      <w:lvlText w:val="%1%2.%3.%4　"/>
      <w:lvlJc w:val="left"/>
      <w:pPr>
        <w:ind w:left="0" w:firstLine="0"/>
      </w:pPr>
      <w:rPr>
        <w:rFonts w:hint="eastAsia" w:ascii="黑体" w:hAnsi="Times New Roman" w:eastAsia="黑体"/>
        <w:b w:val="0"/>
        <w:i w:val="0"/>
        <w:sz w:val="21"/>
      </w:rPr>
    </w:lvl>
    <w:lvl w:ilvl="4" w:tentative="0">
      <w:start w:val="1"/>
      <w:numFmt w:val="decimal"/>
      <w:pStyle w:val="174"/>
      <w:suff w:val="nothing"/>
      <w:lvlText w:val="%1%2.%3.%4.%5　"/>
      <w:lvlJc w:val="left"/>
      <w:pPr>
        <w:ind w:left="0" w:firstLine="0"/>
      </w:pPr>
      <w:rPr>
        <w:rFonts w:hint="eastAsia" w:ascii="黑体" w:hAnsi="Times New Roman" w:eastAsia="黑体"/>
        <w:b w:val="0"/>
        <w:i w:val="0"/>
        <w:sz w:val="21"/>
      </w:rPr>
    </w:lvl>
    <w:lvl w:ilvl="5" w:tentative="0">
      <w:start w:val="1"/>
      <w:numFmt w:val="decimal"/>
      <w:pStyle w:val="182"/>
      <w:suff w:val="nothing"/>
      <w:lvlText w:val="%1%2.%3.%4.%5.%6　"/>
      <w:lvlJc w:val="left"/>
      <w:pPr>
        <w:ind w:left="0" w:firstLine="0"/>
      </w:pPr>
      <w:rPr>
        <w:rFonts w:hint="eastAsia" w:ascii="黑体" w:hAnsi="Times New Roman" w:eastAsia="黑体"/>
        <w:b w:val="0"/>
        <w:i w:val="0"/>
        <w:sz w:val="21"/>
      </w:rPr>
    </w:lvl>
    <w:lvl w:ilvl="6" w:tentative="0">
      <w:start w:val="1"/>
      <w:numFmt w:val="decimal"/>
      <w:pStyle w:val="140"/>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6">
    <w:nsid w:val="00000011"/>
    <w:multiLevelType w:val="multilevel"/>
    <w:tmpl w:val="00000011"/>
    <w:lvl w:ilvl="0" w:tentative="0">
      <w:start w:val="1"/>
      <w:numFmt w:val="decimal"/>
      <w:pStyle w:val="176"/>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7">
    <w:nsid w:val="00000012"/>
    <w:multiLevelType w:val="multilevel"/>
    <w:tmpl w:val="00000012"/>
    <w:lvl w:ilvl="0" w:tentative="0">
      <w:start w:val="1"/>
      <w:numFmt w:val="decimal"/>
      <w:pStyle w:val="2"/>
      <w:suff w:val="space"/>
      <w:lvlText w:val="%1"/>
      <w:lvlJc w:val="left"/>
      <w:pPr>
        <w:ind w:left="0" w:firstLine="0"/>
      </w:pPr>
      <w:rPr>
        <w:rFonts w:hint="default" w:ascii="Times New Roman" w:hAnsi="Times New Roman" w:eastAsia="宋体"/>
        <w:b/>
        <w:i w:val="0"/>
        <w:color w:val="auto"/>
        <w:sz w:val="21"/>
      </w:rPr>
    </w:lvl>
    <w:lvl w:ilvl="1" w:tentative="0">
      <w:start w:val="2"/>
      <w:numFmt w:val="decimal"/>
      <w:pStyle w:val="3"/>
      <w:suff w:val="space"/>
      <w:lvlText w:val="%1.%2"/>
      <w:lvlJc w:val="left"/>
      <w:pPr>
        <w:ind w:left="0" w:firstLine="0"/>
      </w:pPr>
      <w:rPr>
        <w:rFonts w:hint="default" w:ascii="Times New Roman" w:hAnsi="Times New Roman" w:eastAsia="宋体"/>
        <w:b w:val="0"/>
        <w:i w:val="0"/>
        <w:sz w:val="21"/>
      </w:rPr>
    </w:lvl>
    <w:lvl w:ilvl="2" w:tentative="0">
      <w:start w:val="12"/>
      <w:numFmt w:val="decimal"/>
      <w:pStyle w:val="4"/>
      <w:suff w:val="space"/>
      <w:lvlText w:val="%1.%2.%3 "/>
      <w:lvlJc w:val="left"/>
      <w:pPr>
        <w:ind w:left="284" w:firstLine="0"/>
      </w:pPr>
      <w:rPr>
        <w:rFonts w:hint="eastAsia" w:ascii="黑体" w:hAnsi="黑体" w:eastAsia="黑体" w:cs="Times New Roman"/>
        <w:b w:val="0"/>
        <w:bCs w:val="0"/>
        <w:i w:val="0"/>
        <w:iCs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rPr>
    </w:lvl>
    <w:lvl w:ilvl="3" w:tentative="0">
      <w:start w:val="1"/>
      <w:numFmt w:val="decimal"/>
      <w:suff w:val="space"/>
      <w:lvlText w:val="%1.%2.%3.%4 "/>
      <w:lvlJc w:val="left"/>
      <w:pPr>
        <w:ind w:left="0" w:firstLine="0"/>
      </w:pPr>
      <w:rPr>
        <w:rFonts w:hint="eastAsia" w:ascii="宋体" w:hAnsi="宋体" w:eastAsia="宋体" w:cs="Times New Roman"/>
        <w:b w:val="0"/>
        <w:bCs w:val="0"/>
        <w:i w:val="0"/>
        <w:iCs w:val="0"/>
        <w:caps w:val="0"/>
        <w:smallCaps w:val="0"/>
        <w:strike w:val="0"/>
        <w:dstrike w:val="0"/>
        <w:outline w:val="0"/>
        <w:shadow w:val="0"/>
        <w:emboss w:val="0"/>
        <w:imprint w:val="0"/>
        <w:vanish w:val="0"/>
        <w:color w:val="auto"/>
        <w:spacing w:val="0"/>
        <w:w w:val="100"/>
        <w:kern w:val="2"/>
        <w:position w:val="0"/>
        <w:sz w:val="21"/>
        <w:szCs w:val="21"/>
        <w:u w:val="none"/>
        <w:shd w:val="clear" w:color="auto" w:fill="auto"/>
        <w:vertAlign w:val="baseline"/>
        <w:lang w:val="en-US" w:eastAsia="zh-CN" w:bidi="ar-SA"/>
      </w:rPr>
    </w:lvl>
    <w:lvl w:ilvl="4" w:tentative="0">
      <w:start w:val="1"/>
      <w:numFmt w:val="decimal"/>
      <w:lvlRestart w:val="0"/>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8">
    <w:nsid w:val="00000013"/>
    <w:multiLevelType w:val="multilevel"/>
    <w:tmpl w:val="00000013"/>
    <w:lvl w:ilvl="0" w:tentative="0">
      <w:start w:val="1"/>
      <w:numFmt w:val="none"/>
      <w:pStyle w:val="137"/>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51FE3FF6"/>
    <w:multiLevelType w:val="multilevel"/>
    <w:tmpl w:val="51FE3FF6"/>
    <w:lvl w:ilvl="0" w:tentative="0">
      <w:start w:val="5"/>
      <w:numFmt w:val="decimal"/>
      <w:suff w:val="space"/>
      <w:lvlText w:val="%1"/>
      <w:lvlJc w:val="left"/>
      <w:pPr>
        <w:ind w:left="0" w:firstLine="0"/>
      </w:pPr>
      <w:rPr>
        <w:rFonts w:hint="default" w:ascii="Times New Roman" w:hAnsi="Times New Roman" w:eastAsia="宋体"/>
        <w:b/>
        <w:i w:val="0"/>
        <w:color w:val="auto"/>
        <w:sz w:val="21"/>
      </w:rPr>
    </w:lvl>
    <w:lvl w:ilvl="1" w:tentative="0">
      <w:start w:val="2"/>
      <w:numFmt w:val="decimal"/>
      <w:pStyle w:val="183"/>
      <w:suff w:val="space"/>
      <w:lvlText w:val="%1.%2"/>
      <w:lvlJc w:val="left"/>
      <w:pPr>
        <w:ind w:left="0" w:firstLine="0"/>
      </w:pPr>
      <w:rPr>
        <w:rFonts w:hint="default" w:ascii="Times New Roman" w:hAnsi="Times New Roman" w:eastAsia="宋体"/>
        <w:b w:val="0"/>
        <w:i w:val="0"/>
        <w:sz w:val="21"/>
      </w:rPr>
    </w:lvl>
    <w:lvl w:ilvl="2" w:tentative="0">
      <w:start w:val="12"/>
      <w:numFmt w:val="decimal"/>
      <w:suff w:val="space"/>
      <w:lvlText w:val="%1.%2.%3 "/>
      <w:lvlJc w:val="left"/>
      <w:pPr>
        <w:ind w:left="284" w:firstLine="0"/>
      </w:pPr>
      <w:rPr>
        <w:rFonts w:hint="eastAsia" w:ascii="黑体" w:hAnsi="黑体" w:eastAsia="黑体" w:cs="Times New Roman"/>
        <w:b w:val="0"/>
        <w:bCs w:val="0"/>
        <w:i w:val="0"/>
        <w:iCs w:val="0"/>
        <w:caps w:val="0"/>
        <w:smallCaps w:val="0"/>
        <w:strike w:val="0"/>
        <w:dstrike w:val="0"/>
        <w:outline w:val="0"/>
        <w:shadow w:val="0"/>
        <w:emboss w:val="0"/>
        <w:imprint w:val="0"/>
        <w:vanish w:val="0"/>
        <w:color w:val="auto"/>
        <w:spacing w:val="0"/>
        <w:w w:val="100"/>
        <w:kern w:val="2"/>
        <w:position w:val="0"/>
        <w:sz w:val="21"/>
        <w:u w:val="none"/>
        <w:vertAlign w:val="baseline"/>
      </w:rPr>
    </w:lvl>
    <w:lvl w:ilvl="3" w:tentative="0">
      <w:start w:val="1"/>
      <w:numFmt w:val="decimal"/>
      <w:suff w:val="space"/>
      <w:lvlText w:val="%1.%2.%3.%4 "/>
      <w:lvlJc w:val="left"/>
      <w:pPr>
        <w:ind w:left="0" w:firstLine="0"/>
      </w:pPr>
      <w:rPr>
        <w:rFonts w:hint="eastAsia" w:ascii="宋体" w:hAnsi="宋体" w:eastAsia="宋体" w:cs="Times New Roman"/>
        <w:b w:val="0"/>
        <w:bCs w:val="0"/>
        <w:i w:val="0"/>
        <w:iCs w:val="0"/>
        <w:caps w:val="0"/>
        <w:smallCaps w:val="0"/>
        <w:strike w:val="0"/>
        <w:dstrike w:val="0"/>
        <w:outline w:val="0"/>
        <w:shadow w:val="0"/>
        <w:emboss w:val="0"/>
        <w:imprint w:val="0"/>
        <w:vanish w:val="0"/>
        <w:color w:val="auto"/>
        <w:spacing w:val="0"/>
        <w:w w:val="100"/>
        <w:kern w:val="2"/>
        <w:position w:val="0"/>
        <w:sz w:val="21"/>
        <w:szCs w:val="21"/>
        <w:u w:val="none"/>
        <w:vertAlign w:val="baseline"/>
      </w:rPr>
    </w:lvl>
    <w:lvl w:ilvl="4" w:tentative="0">
      <w:start w:val="1"/>
      <w:numFmt w:val="decimal"/>
      <w:lvlRestart w:val="0"/>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num w:numId="1">
    <w:abstractNumId w:val="7"/>
  </w:num>
  <w:num w:numId="2">
    <w:abstractNumId w:val="4"/>
  </w:num>
  <w:num w:numId="3">
    <w:abstractNumId w:val="1"/>
  </w:num>
  <w:num w:numId="4">
    <w:abstractNumId w:val="5"/>
  </w:num>
  <w:num w:numId="5">
    <w:abstractNumId w:val="0"/>
  </w:num>
  <w:num w:numId="6">
    <w:abstractNumId w:val="8"/>
  </w:num>
  <w:num w:numId="7">
    <w:abstractNumId w:val="2"/>
  </w:num>
  <w:num w:numId="8">
    <w:abstractNumId w:val="3"/>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nforcement="0"/>
  <w:defaultTabStop w:val="420"/>
  <w:drawingGridHorizontalSpacing w:val="105"/>
  <w:drawingGridVerticalSpacing w:val="156"/>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jk1ZDc1MGMxNTNkYzJmZGY3M2IzNjJkZDY2NWZmOTEifQ=="/>
    <w:docVar w:name="FLIR_DOCUMENT_ID" w:val="d9dd0e68-34a3-4346-a733-25dfc3578652"/>
  </w:docVars>
  <w:rsids>
    <w:rsidRoot w:val="00172A27"/>
    <w:rsid w:val="0006572E"/>
    <w:rsid w:val="00066878"/>
    <w:rsid w:val="00082F56"/>
    <w:rsid w:val="00083488"/>
    <w:rsid w:val="000B4D2E"/>
    <w:rsid w:val="000E4D9B"/>
    <w:rsid w:val="000F4051"/>
    <w:rsid w:val="000F5E7F"/>
    <w:rsid w:val="00106EAF"/>
    <w:rsid w:val="00122B10"/>
    <w:rsid w:val="00123A6E"/>
    <w:rsid w:val="00124376"/>
    <w:rsid w:val="00130641"/>
    <w:rsid w:val="00153288"/>
    <w:rsid w:val="001C48FE"/>
    <w:rsid w:val="001C5B6E"/>
    <w:rsid w:val="001D1827"/>
    <w:rsid w:val="002009AC"/>
    <w:rsid w:val="0020602E"/>
    <w:rsid w:val="002851A1"/>
    <w:rsid w:val="00294E21"/>
    <w:rsid w:val="002952C9"/>
    <w:rsid w:val="002A6622"/>
    <w:rsid w:val="002E6933"/>
    <w:rsid w:val="002F49BB"/>
    <w:rsid w:val="003023DC"/>
    <w:rsid w:val="00307A5C"/>
    <w:rsid w:val="00311262"/>
    <w:rsid w:val="00344603"/>
    <w:rsid w:val="00360630"/>
    <w:rsid w:val="00361E6D"/>
    <w:rsid w:val="003A0E08"/>
    <w:rsid w:val="003D0A14"/>
    <w:rsid w:val="003D7E37"/>
    <w:rsid w:val="003E588A"/>
    <w:rsid w:val="00426081"/>
    <w:rsid w:val="00440941"/>
    <w:rsid w:val="004523C8"/>
    <w:rsid w:val="004545EF"/>
    <w:rsid w:val="004A744F"/>
    <w:rsid w:val="004C08DF"/>
    <w:rsid w:val="004D2883"/>
    <w:rsid w:val="004E7C81"/>
    <w:rsid w:val="004F6BFC"/>
    <w:rsid w:val="00515E26"/>
    <w:rsid w:val="00587D20"/>
    <w:rsid w:val="005A78BD"/>
    <w:rsid w:val="005B088B"/>
    <w:rsid w:val="005C3C97"/>
    <w:rsid w:val="005D1041"/>
    <w:rsid w:val="00615A8E"/>
    <w:rsid w:val="006270B8"/>
    <w:rsid w:val="00697655"/>
    <w:rsid w:val="006E10D7"/>
    <w:rsid w:val="006F6B34"/>
    <w:rsid w:val="0070596A"/>
    <w:rsid w:val="007108DF"/>
    <w:rsid w:val="00716762"/>
    <w:rsid w:val="007C7F56"/>
    <w:rsid w:val="00821147"/>
    <w:rsid w:val="0082434F"/>
    <w:rsid w:val="00833A19"/>
    <w:rsid w:val="00856183"/>
    <w:rsid w:val="00872C51"/>
    <w:rsid w:val="00876971"/>
    <w:rsid w:val="00897DB1"/>
    <w:rsid w:val="008A1DD1"/>
    <w:rsid w:val="008B4865"/>
    <w:rsid w:val="008C34B6"/>
    <w:rsid w:val="008D2E10"/>
    <w:rsid w:val="008E66BC"/>
    <w:rsid w:val="009012C5"/>
    <w:rsid w:val="00943E12"/>
    <w:rsid w:val="009972DF"/>
    <w:rsid w:val="009B3B76"/>
    <w:rsid w:val="009E709F"/>
    <w:rsid w:val="00A11EBC"/>
    <w:rsid w:val="00A377F0"/>
    <w:rsid w:val="00A73915"/>
    <w:rsid w:val="00A94276"/>
    <w:rsid w:val="00AA1FDB"/>
    <w:rsid w:val="00AB5048"/>
    <w:rsid w:val="00AE2966"/>
    <w:rsid w:val="00B0069D"/>
    <w:rsid w:val="00B04356"/>
    <w:rsid w:val="00B1122D"/>
    <w:rsid w:val="00B115DB"/>
    <w:rsid w:val="00B257B2"/>
    <w:rsid w:val="00B35726"/>
    <w:rsid w:val="00B64897"/>
    <w:rsid w:val="00B67452"/>
    <w:rsid w:val="00BC758E"/>
    <w:rsid w:val="00BF41F0"/>
    <w:rsid w:val="00C1612F"/>
    <w:rsid w:val="00C425E3"/>
    <w:rsid w:val="00C551D7"/>
    <w:rsid w:val="00C6465E"/>
    <w:rsid w:val="00C76251"/>
    <w:rsid w:val="00CF5E29"/>
    <w:rsid w:val="00D26362"/>
    <w:rsid w:val="00DB4153"/>
    <w:rsid w:val="00E039A6"/>
    <w:rsid w:val="00E079E3"/>
    <w:rsid w:val="00E1499A"/>
    <w:rsid w:val="00E14C30"/>
    <w:rsid w:val="00E16310"/>
    <w:rsid w:val="00E21233"/>
    <w:rsid w:val="00E239B9"/>
    <w:rsid w:val="00E85DF4"/>
    <w:rsid w:val="00E9551C"/>
    <w:rsid w:val="00E95575"/>
    <w:rsid w:val="00EA2DAB"/>
    <w:rsid w:val="00ED6071"/>
    <w:rsid w:val="00F32B69"/>
    <w:rsid w:val="00F33246"/>
    <w:rsid w:val="00F4164A"/>
    <w:rsid w:val="00F4410C"/>
    <w:rsid w:val="00F5361E"/>
    <w:rsid w:val="00F91DFD"/>
    <w:rsid w:val="00FB3927"/>
    <w:rsid w:val="00FB4323"/>
    <w:rsid w:val="01666069"/>
    <w:rsid w:val="01E14A38"/>
    <w:rsid w:val="02BE1F00"/>
    <w:rsid w:val="030F38CF"/>
    <w:rsid w:val="03B16320"/>
    <w:rsid w:val="03C21516"/>
    <w:rsid w:val="04446C59"/>
    <w:rsid w:val="04810E77"/>
    <w:rsid w:val="062F71B0"/>
    <w:rsid w:val="08123F24"/>
    <w:rsid w:val="0892584E"/>
    <w:rsid w:val="08ED13A8"/>
    <w:rsid w:val="0A886EDC"/>
    <w:rsid w:val="0AAF4A50"/>
    <w:rsid w:val="0B473318"/>
    <w:rsid w:val="0BFF60BB"/>
    <w:rsid w:val="0CB16C26"/>
    <w:rsid w:val="0D033AD7"/>
    <w:rsid w:val="0D154EA8"/>
    <w:rsid w:val="0D190870"/>
    <w:rsid w:val="0D4D0C19"/>
    <w:rsid w:val="104F0DFD"/>
    <w:rsid w:val="12C30BED"/>
    <w:rsid w:val="141B306B"/>
    <w:rsid w:val="14537793"/>
    <w:rsid w:val="14C802F8"/>
    <w:rsid w:val="15041EF2"/>
    <w:rsid w:val="155B3641"/>
    <w:rsid w:val="168219AE"/>
    <w:rsid w:val="16D40369"/>
    <w:rsid w:val="172E7B7B"/>
    <w:rsid w:val="17E90135"/>
    <w:rsid w:val="182B1603"/>
    <w:rsid w:val="18902CE9"/>
    <w:rsid w:val="19B94AA5"/>
    <w:rsid w:val="1A0C7662"/>
    <w:rsid w:val="1A694281"/>
    <w:rsid w:val="1B4A3E79"/>
    <w:rsid w:val="1C9B1AA4"/>
    <w:rsid w:val="1CA955C6"/>
    <w:rsid w:val="1CF158AA"/>
    <w:rsid w:val="1D1204D0"/>
    <w:rsid w:val="1D120F54"/>
    <w:rsid w:val="1D1E20BB"/>
    <w:rsid w:val="1D695DF6"/>
    <w:rsid w:val="1E0141A1"/>
    <w:rsid w:val="1E54488E"/>
    <w:rsid w:val="1EB93468"/>
    <w:rsid w:val="1EDF3DF0"/>
    <w:rsid w:val="20743196"/>
    <w:rsid w:val="21187848"/>
    <w:rsid w:val="214B3112"/>
    <w:rsid w:val="21C806DA"/>
    <w:rsid w:val="23413B1D"/>
    <w:rsid w:val="243A704A"/>
    <w:rsid w:val="247C4E45"/>
    <w:rsid w:val="250D37F3"/>
    <w:rsid w:val="25891872"/>
    <w:rsid w:val="25BB529D"/>
    <w:rsid w:val="26775B6F"/>
    <w:rsid w:val="291E76CA"/>
    <w:rsid w:val="2A581E61"/>
    <w:rsid w:val="2C1A7F6B"/>
    <w:rsid w:val="2CC45BB4"/>
    <w:rsid w:val="2DC754CA"/>
    <w:rsid w:val="2F9822DA"/>
    <w:rsid w:val="30DE0A94"/>
    <w:rsid w:val="31DE6427"/>
    <w:rsid w:val="33C22AD3"/>
    <w:rsid w:val="351F17F5"/>
    <w:rsid w:val="35B30245"/>
    <w:rsid w:val="38E91185"/>
    <w:rsid w:val="39536F7B"/>
    <w:rsid w:val="39E90A30"/>
    <w:rsid w:val="3A77570F"/>
    <w:rsid w:val="3ABF2CAE"/>
    <w:rsid w:val="3AC742C6"/>
    <w:rsid w:val="3C6C532A"/>
    <w:rsid w:val="3CC83625"/>
    <w:rsid w:val="3E624E9C"/>
    <w:rsid w:val="3EF66924"/>
    <w:rsid w:val="40652A52"/>
    <w:rsid w:val="42764F6C"/>
    <w:rsid w:val="43DE5648"/>
    <w:rsid w:val="450C37E1"/>
    <w:rsid w:val="456B0E5B"/>
    <w:rsid w:val="45D23E13"/>
    <w:rsid w:val="45F77734"/>
    <w:rsid w:val="46745ABF"/>
    <w:rsid w:val="467E7382"/>
    <w:rsid w:val="46F7503D"/>
    <w:rsid w:val="472468C3"/>
    <w:rsid w:val="476873C0"/>
    <w:rsid w:val="47C912B0"/>
    <w:rsid w:val="48F8654C"/>
    <w:rsid w:val="4CBB5F06"/>
    <w:rsid w:val="4CFB58C1"/>
    <w:rsid w:val="4D333233"/>
    <w:rsid w:val="4E914B08"/>
    <w:rsid w:val="4FF20507"/>
    <w:rsid w:val="51464ED8"/>
    <w:rsid w:val="51B447BD"/>
    <w:rsid w:val="530D7023"/>
    <w:rsid w:val="54080CC3"/>
    <w:rsid w:val="546A0AFF"/>
    <w:rsid w:val="547649CA"/>
    <w:rsid w:val="56B42168"/>
    <w:rsid w:val="56CB654F"/>
    <w:rsid w:val="56DA7C6D"/>
    <w:rsid w:val="57614FD7"/>
    <w:rsid w:val="58726012"/>
    <w:rsid w:val="590463BA"/>
    <w:rsid w:val="593A67B2"/>
    <w:rsid w:val="59B6493E"/>
    <w:rsid w:val="5A606E2C"/>
    <w:rsid w:val="5A9E7956"/>
    <w:rsid w:val="5B15157F"/>
    <w:rsid w:val="5C1F7F36"/>
    <w:rsid w:val="5E711903"/>
    <w:rsid w:val="5E8303FB"/>
    <w:rsid w:val="5ED708B8"/>
    <w:rsid w:val="601F322E"/>
    <w:rsid w:val="6044257D"/>
    <w:rsid w:val="619D762A"/>
    <w:rsid w:val="61C2466C"/>
    <w:rsid w:val="62754E09"/>
    <w:rsid w:val="62C74E41"/>
    <w:rsid w:val="633E10AB"/>
    <w:rsid w:val="64496E0E"/>
    <w:rsid w:val="65315F2C"/>
    <w:rsid w:val="66A552F1"/>
    <w:rsid w:val="66EC3434"/>
    <w:rsid w:val="68791D90"/>
    <w:rsid w:val="6953779A"/>
    <w:rsid w:val="6A8B35E3"/>
    <w:rsid w:val="6B092A0F"/>
    <w:rsid w:val="6B6415FF"/>
    <w:rsid w:val="6BA72837"/>
    <w:rsid w:val="6BB22E4D"/>
    <w:rsid w:val="6C301A25"/>
    <w:rsid w:val="6DD36A51"/>
    <w:rsid w:val="6F2E1E25"/>
    <w:rsid w:val="70C047B8"/>
    <w:rsid w:val="737C6E89"/>
    <w:rsid w:val="73D60D8A"/>
    <w:rsid w:val="74342EF5"/>
    <w:rsid w:val="748E3AE3"/>
    <w:rsid w:val="74986D24"/>
    <w:rsid w:val="758D54ED"/>
    <w:rsid w:val="773D3837"/>
    <w:rsid w:val="775134F4"/>
    <w:rsid w:val="781A0EFF"/>
    <w:rsid w:val="7AC2652D"/>
    <w:rsid w:val="7B126E9F"/>
    <w:rsid w:val="7B642F91"/>
    <w:rsid w:val="7C0B2A0D"/>
    <w:rsid w:val="7E125FC0"/>
    <w:rsid w:val="7F3733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qFormat="1" w:unhideWhenUsed="0" w:uiPriority="0" w:semiHidden="0"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5"/>
    <w:qFormat/>
    <w:uiPriority w:val="0"/>
    <w:pPr>
      <w:keepNext/>
      <w:keepLines/>
      <w:numPr>
        <w:ilvl w:val="0"/>
        <w:numId w:val="1"/>
      </w:numPr>
      <w:snapToGrid w:val="0"/>
      <w:spacing w:before="312" w:beforeLines="100" w:line="360" w:lineRule="auto"/>
      <w:outlineLvl w:val="0"/>
    </w:pPr>
    <w:rPr>
      <w:rFonts w:ascii="宋体"/>
      <w:b/>
      <w:bCs/>
      <w:kern w:val="44"/>
      <w:szCs w:val="21"/>
    </w:rPr>
  </w:style>
  <w:style w:type="paragraph" w:styleId="3">
    <w:name w:val="heading 2"/>
    <w:basedOn w:val="1"/>
    <w:next w:val="1"/>
    <w:link w:val="56"/>
    <w:qFormat/>
    <w:uiPriority w:val="0"/>
    <w:pPr>
      <w:keepLines/>
      <w:numPr>
        <w:ilvl w:val="1"/>
        <w:numId w:val="1"/>
      </w:numPr>
      <w:adjustRightInd w:val="0"/>
      <w:snapToGrid w:val="0"/>
      <w:spacing w:line="360" w:lineRule="auto"/>
      <w:outlineLvl w:val="1"/>
    </w:pPr>
    <w:rPr>
      <w:rFonts w:ascii="宋体"/>
      <w:bCs/>
      <w:szCs w:val="21"/>
    </w:rPr>
  </w:style>
  <w:style w:type="paragraph" w:styleId="4">
    <w:name w:val="heading 3"/>
    <w:basedOn w:val="1"/>
    <w:next w:val="1"/>
    <w:link w:val="57"/>
    <w:qFormat/>
    <w:uiPriority w:val="0"/>
    <w:pPr>
      <w:numPr>
        <w:ilvl w:val="2"/>
        <w:numId w:val="1"/>
      </w:numPr>
      <w:tabs>
        <w:tab w:val="left" w:pos="1560"/>
      </w:tabs>
      <w:snapToGrid w:val="0"/>
      <w:spacing w:line="360" w:lineRule="auto"/>
      <w:outlineLvl w:val="2"/>
    </w:pPr>
    <w:rPr>
      <w:rFonts w:ascii="宋体"/>
      <w:bCs/>
      <w:szCs w:val="21"/>
    </w:rPr>
  </w:style>
  <w:style w:type="paragraph" w:styleId="5">
    <w:name w:val="heading 4"/>
    <w:basedOn w:val="1"/>
    <w:next w:val="1"/>
    <w:link w:val="58"/>
    <w:qFormat/>
    <w:uiPriority w:val="0"/>
    <w:pPr>
      <w:spacing w:line="360" w:lineRule="auto"/>
      <w:outlineLvl w:val="3"/>
    </w:pPr>
    <w:rPr>
      <w:rFonts w:ascii="宋体"/>
      <w:bCs/>
      <w:szCs w:val="21"/>
    </w:rPr>
  </w:style>
  <w:style w:type="paragraph" w:styleId="6">
    <w:name w:val="heading 5"/>
    <w:basedOn w:val="1"/>
    <w:next w:val="1"/>
    <w:link w:val="59"/>
    <w:qFormat/>
    <w:uiPriority w:val="0"/>
    <w:pPr>
      <w:keepNext/>
      <w:keepLines/>
      <w:numPr>
        <w:ilvl w:val="4"/>
        <w:numId w:val="2"/>
      </w:numPr>
      <w:adjustRightInd w:val="0"/>
      <w:spacing w:line="360" w:lineRule="auto"/>
      <w:ind w:right="100" w:rightChars="100"/>
      <w:textAlignment w:val="baseline"/>
      <w:outlineLvl w:val="4"/>
    </w:pPr>
    <w:rPr>
      <w:rFonts w:cs="宋体"/>
      <w:bCs/>
      <w:kern w:val="0"/>
      <w:szCs w:val="21"/>
    </w:rPr>
  </w:style>
  <w:style w:type="paragraph" w:styleId="7">
    <w:name w:val="heading 6"/>
    <w:basedOn w:val="1"/>
    <w:next w:val="1"/>
    <w:link w:val="60"/>
    <w:qFormat/>
    <w:uiPriority w:val="0"/>
    <w:pPr>
      <w:keepNext/>
      <w:keepLines/>
      <w:spacing w:before="240" w:after="64" w:line="317" w:lineRule="auto"/>
      <w:outlineLvl w:val="5"/>
    </w:pPr>
    <w:rPr>
      <w:rFonts w:ascii="Arial" w:hAnsi="Arial" w:eastAsia="黑体"/>
      <w:b/>
      <w:bCs/>
      <w:sz w:val="24"/>
    </w:rPr>
  </w:style>
  <w:style w:type="paragraph" w:styleId="8">
    <w:name w:val="heading 7"/>
    <w:basedOn w:val="1"/>
    <w:next w:val="1"/>
    <w:link w:val="61"/>
    <w:qFormat/>
    <w:uiPriority w:val="0"/>
    <w:pPr>
      <w:keepNext/>
      <w:keepLines/>
      <w:spacing w:before="240" w:after="64" w:line="317" w:lineRule="auto"/>
      <w:outlineLvl w:val="6"/>
    </w:pPr>
    <w:rPr>
      <w:b/>
      <w:bCs/>
      <w:sz w:val="24"/>
    </w:rPr>
  </w:style>
  <w:style w:type="paragraph" w:styleId="9">
    <w:name w:val="heading 8"/>
    <w:basedOn w:val="1"/>
    <w:next w:val="1"/>
    <w:link w:val="62"/>
    <w:qFormat/>
    <w:uiPriority w:val="0"/>
    <w:pPr>
      <w:keepNext/>
      <w:keepLines/>
      <w:spacing w:before="240" w:after="64" w:line="317" w:lineRule="auto"/>
      <w:outlineLvl w:val="7"/>
    </w:pPr>
    <w:rPr>
      <w:rFonts w:ascii="Arial" w:hAnsi="Arial" w:eastAsia="黑体"/>
      <w:sz w:val="24"/>
    </w:rPr>
  </w:style>
  <w:style w:type="paragraph" w:styleId="10">
    <w:name w:val="heading 9"/>
    <w:basedOn w:val="1"/>
    <w:next w:val="1"/>
    <w:link w:val="63"/>
    <w:qFormat/>
    <w:uiPriority w:val="0"/>
    <w:pPr>
      <w:keepNext/>
      <w:keepLines/>
      <w:spacing w:before="240" w:after="64" w:line="317" w:lineRule="auto"/>
      <w:outlineLvl w:val="8"/>
    </w:pPr>
    <w:rPr>
      <w:rFonts w:ascii="Arial" w:hAnsi="Arial" w:eastAsia="黑体"/>
      <w:szCs w:val="21"/>
    </w:rPr>
  </w:style>
  <w:style w:type="character" w:default="1" w:styleId="40">
    <w:name w:val="Default Paragraph Font"/>
    <w:qFormat/>
    <w:uiPriority w:val="0"/>
  </w:style>
  <w:style w:type="table" w:default="1" w:styleId="39">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rPr>
      <w:rFonts w:ascii="Calibri" w:hAnsi="Calibri"/>
      <w:szCs w:val="22"/>
    </w:rPr>
  </w:style>
  <w:style w:type="paragraph" w:styleId="12">
    <w:name w:val="Normal Indent"/>
    <w:basedOn w:val="1"/>
    <w:link w:val="64"/>
    <w:qFormat/>
    <w:uiPriority w:val="0"/>
    <w:pPr>
      <w:spacing w:line="360" w:lineRule="auto"/>
      <w:ind w:firstLine="420" w:firstLineChars="200"/>
    </w:pPr>
  </w:style>
  <w:style w:type="paragraph" w:styleId="13">
    <w:name w:val="caption"/>
    <w:basedOn w:val="1"/>
    <w:next w:val="1"/>
    <w:qFormat/>
    <w:uiPriority w:val="0"/>
    <w:rPr>
      <w:rFonts w:ascii="Cambria" w:hAnsi="Cambria" w:eastAsia="黑体"/>
      <w:sz w:val="20"/>
      <w:szCs w:val="20"/>
    </w:rPr>
  </w:style>
  <w:style w:type="paragraph" w:styleId="14">
    <w:name w:val="Document Map"/>
    <w:basedOn w:val="1"/>
    <w:link w:val="65"/>
    <w:qFormat/>
    <w:uiPriority w:val="0"/>
    <w:rPr>
      <w:rFonts w:ascii="宋体"/>
      <w:sz w:val="18"/>
      <w:szCs w:val="18"/>
    </w:rPr>
  </w:style>
  <w:style w:type="paragraph" w:styleId="15">
    <w:name w:val="annotation text"/>
    <w:basedOn w:val="1"/>
    <w:link w:val="66"/>
    <w:qFormat/>
    <w:uiPriority w:val="0"/>
    <w:pPr>
      <w:jc w:val="left"/>
    </w:pPr>
  </w:style>
  <w:style w:type="paragraph" w:styleId="16">
    <w:name w:val="Body Text"/>
    <w:basedOn w:val="17"/>
    <w:next w:val="17"/>
    <w:qFormat/>
    <w:uiPriority w:val="0"/>
    <w:rPr>
      <w:rFonts w:ascii="Times New Roman" w:hAnsi="Times New Roman"/>
      <w:kern w:val="0"/>
      <w:sz w:val="44"/>
      <w:szCs w:val="24"/>
    </w:rPr>
  </w:style>
  <w:style w:type="paragraph" w:styleId="17">
    <w:name w:val="Title"/>
    <w:basedOn w:val="1"/>
    <w:next w:val="1"/>
    <w:link w:val="54"/>
    <w:qFormat/>
    <w:uiPriority w:val="0"/>
    <w:pPr>
      <w:spacing w:before="240" w:after="60"/>
      <w:jc w:val="center"/>
      <w:outlineLvl w:val="0"/>
    </w:pPr>
    <w:rPr>
      <w:rFonts w:ascii="Arial" w:hAnsi="Arial" w:cs="Arial"/>
      <w:b/>
      <w:bCs/>
      <w:sz w:val="32"/>
      <w:szCs w:val="32"/>
    </w:rPr>
  </w:style>
  <w:style w:type="paragraph" w:styleId="18">
    <w:name w:val="HTML Address"/>
    <w:basedOn w:val="1"/>
    <w:link w:val="67"/>
    <w:qFormat/>
    <w:uiPriority w:val="0"/>
    <w:rPr>
      <w:i/>
      <w:iCs/>
    </w:rPr>
  </w:style>
  <w:style w:type="paragraph" w:styleId="19">
    <w:name w:val="toc 5"/>
    <w:basedOn w:val="1"/>
    <w:next w:val="1"/>
    <w:qFormat/>
    <w:uiPriority w:val="0"/>
    <w:pPr>
      <w:ind w:left="1680" w:leftChars="800"/>
    </w:pPr>
    <w:rPr>
      <w:rFonts w:ascii="Calibri" w:hAnsi="Calibri"/>
      <w:szCs w:val="22"/>
    </w:rPr>
  </w:style>
  <w:style w:type="paragraph" w:styleId="20">
    <w:name w:val="toc 3"/>
    <w:basedOn w:val="1"/>
    <w:next w:val="1"/>
    <w:qFormat/>
    <w:uiPriority w:val="0"/>
    <w:pPr>
      <w:tabs>
        <w:tab w:val="left" w:pos="1620"/>
        <w:tab w:val="right" w:leader="dot" w:pos="8296"/>
      </w:tabs>
    </w:pPr>
  </w:style>
  <w:style w:type="paragraph" w:styleId="21">
    <w:name w:val="Plain Text"/>
    <w:basedOn w:val="1"/>
    <w:link w:val="68"/>
    <w:qFormat/>
    <w:uiPriority w:val="0"/>
    <w:rPr>
      <w:rFonts w:ascii="宋体" w:hAnsi="Courier New"/>
    </w:rPr>
  </w:style>
  <w:style w:type="paragraph" w:styleId="22">
    <w:name w:val="toc 8"/>
    <w:basedOn w:val="1"/>
    <w:next w:val="1"/>
    <w:qFormat/>
    <w:uiPriority w:val="0"/>
    <w:pPr>
      <w:ind w:left="2940" w:leftChars="1400"/>
    </w:pPr>
    <w:rPr>
      <w:rFonts w:ascii="Calibri" w:hAnsi="Calibri"/>
      <w:szCs w:val="22"/>
    </w:rPr>
  </w:style>
  <w:style w:type="paragraph" w:styleId="23">
    <w:name w:val="Date"/>
    <w:basedOn w:val="1"/>
    <w:next w:val="1"/>
    <w:link w:val="69"/>
    <w:qFormat/>
    <w:uiPriority w:val="0"/>
    <w:pPr>
      <w:adjustRightInd w:val="0"/>
      <w:spacing w:line="300" w:lineRule="auto"/>
      <w:textAlignment w:val="baseline"/>
    </w:pPr>
    <w:rPr>
      <w:rFonts w:ascii="仿宋_GB2312" w:eastAsia="仿宋_GB2312"/>
      <w:kern w:val="0"/>
      <w:sz w:val="24"/>
      <w:szCs w:val="20"/>
    </w:rPr>
  </w:style>
  <w:style w:type="paragraph" w:styleId="24">
    <w:name w:val="Body Text Indent 2"/>
    <w:basedOn w:val="1"/>
    <w:link w:val="70"/>
    <w:qFormat/>
    <w:uiPriority w:val="0"/>
    <w:pPr>
      <w:adjustRightInd w:val="0"/>
      <w:spacing w:before="120" w:line="300" w:lineRule="auto"/>
      <w:ind w:firstLine="480"/>
      <w:jc w:val="left"/>
      <w:textAlignment w:val="baseline"/>
    </w:pPr>
    <w:rPr>
      <w:rFonts w:eastAsia="仿宋_GB2312"/>
      <w:kern w:val="0"/>
      <w:sz w:val="28"/>
      <w:szCs w:val="20"/>
    </w:rPr>
  </w:style>
  <w:style w:type="paragraph" w:styleId="25">
    <w:name w:val="Balloon Text"/>
    <w:basedOn w:val="1"/>
    <w:link w:val="71"/>
    <w:qFormat/>
    <w:uiPriority w:val="0"/>
    <w:rPr>
      <w:sz w:val="18"/>
      <w:szCs w:val="18"/>
    </w:rPr>
  </w:style>
  <w:style w:type="paragraph" w:styleId="26">
    <w:name w:val="footer"/>
    <w:basedOn w:val="1"/>
    <w:link w:val="72"/>
    <w:qFormat/>
    <w:uiPriority w:val="0"/>
    <w:pPr>
      <w:tabs>
        <w:tab w:val="center" w:pos="4153"/>
        <w:tab w:val="right" w:pos="8306"/>
      </w:tabs>
      <w:snapToGrid w:val="0"/>
      <w:jc w:val="center"/>
    </w:pPr>
    <w:rPr>
      <w:sz w:val="18"/>
      <w:szCs w:val="18"/>
    </w:rPr>
  </w:style>
  <w:style w:type="paragraph" w:styleId="27">
    <w:name w:val="header"/>
    <w:basedOn w:val="1"/>
    <w:link w:val="73"/>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spacing w:before="120" w:after="120"/>
      <w:jc w:val="left"/>
    </w:pPr>
    <w:rPr>
      <w:b/>
      <w:bCs/>
      <w:caps/>
      <w:sz w:val="20"/>
      <w:szCs w:val="20"/>
    </w:rPr>
  </w:style>
  <w:style w:type="paragraph" w:styleId="29">
    <w:name w:val="toc 4"/>
    <w:basedOn w:val="1"/>
    <w:next w:val="1"/>
    <w:qFormat/>
    <w:uiPriority w:val="0"/>
    <w:pPr>
      <w:ind w:left="1260" w:leftChars="600"/>
    </w:pPr>
  </w:style>
  <w:style w:type="paragraph" w:styleId="30">
    <w:name w:val="footnote text"/>
    <w:basedOn w:val="1"/>
    <w:link w:val="74"/>
    <w:qFormat/>
    <w:uiPriority w:val="0"/>
    <w:pPr>
      <w:snapToGrid w:val="0"/>
      <w:jc w:val="left"/>
    </w:pPr>
    <w:rPr>
      <w:sz w:val="18"/>
      <w:szCs w:val="18"/>
    </w:rPr>
  </w:style>
  <w:style w:type="paragraph" w:styleId="31">
    <w:name w:val="toc 6"/>
    <w:basedOn w:val="1"/>
    <w:next w:val="1"/>
    <w:qFormat/>
    <w:uiPriority w:val="0"/>
    <w:pPr>
      <w:ind w:left="2100" w:leftChars="1000"/>
    </w:pPr>
    <w:rPr>
      <w:rFonts w:ascii="Calibri" w:hAnsi="Calibri"/>
      <w:szCs w:val="22"/>
    </w:rPr>
  </w:style>
  <w:style w:type="paragraph" w:styleId="32">
    <w:name w:val="Body Text Indent 3"/>
    <w:basedOn w:val="1"/>
    <w:link w:val="75"/>
    <w:qFormat/>
    <w:uiPriority w:val="0"/>
    <w:pPr>
      <w:spacing w:after="120"/>
      <w:ind w:left="420" w:leftChars="200"/>
    </w:pPr>
    <w:rPr>
      <w:sz w:val="16"/>
      <w:szCs w:val="16"/>
    </w:rPr>
  </w:style>
  <w:style w:type="paragraph" w:styleId="33">
    <w:name w:val="toc 2"/>
    <w:basedOn w:val="1"/>
    <w:next w:val="1"/>
    <w:qFormat/>
    <w:uiPriority w:val="39"/>
    <w:pPr>
      <w:tabs>
        <w:tab w:val="left" w:pos="900"/>
        <w:tab w:val="right" w:leader="dot" w:pos="8296"/>
      </w:tabs>
      <w:ind w:left="420" w:leftChars="200"/>
    </w:pPr>
  </w:style>
  <w:style w:type="paragraph" w:styleId="34">
    <w:name w:val="toc 9"/>
    <w:basedOn w:val="1"/>
    <w:next w:val="1"/>
    <w:qFormat/>
    <w:uiPriority w:val="0"/>
    <w:pPr>
      <w:ind w:left="3360" w:leftChars="1600"/>
    </w:pPr>
    <w:rPr>
      <w:rFonts w:ascii="Calibri" w:hAnsi="Calibri"/>
      <w:szCs w:val="22"/>
    </w:rPr>
  </w:style>
  <w:style w:type="paragraph" w:styleId="35">
    <w:name w:val="List 4"/>
    <w:basedOn w:val="1"/>
    <w:qFormat/>
    <w:uiPriority w:val="0"/>
    <w:pPr>
      <w:ind w:left="100" w:leftChars="600" w:hanging="200" w:hangingChars="200"/>
    </w:pPr>
  </w:style>
  <w:style w:type="paragraph" w:styleId="36">
    <w:name w:val="HTML Preformatted"/>
    <w:basedOn w:val="1"/>
    <w:link w:val="76"/>
    <w:qFormat/>
    <w:uiPriority w:val="0"/>
    <w:rPr>
      <w:rFonts w:ascii="Courier New" w:hAnsi="Courier New" w:cs="Courier New"/>
      <w:sz w:val="20"/>
      <w:szCs w:val="20"/>
    </w:rPr>
  </w:style>
  <w:style w:type="paragraph" w:styleId="37">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38">
    <w:name w:val="annotation subject"/>
    <w:basedOn w:val="15"/>
    <w:next w:val="15"/>
    <w:link w:val="77"/>
    <w:qFormat/>
    <w:uiPriority w:val="0"/>
    <w:rPr>
      <w:b/>
      <w:bCs/>
    </w:rPr>
  </w:style>
  <w:style w:type="character" w:styleId="41">
    <w:name w:val="page number"/>
    <w:basedOn w:val="40"/>
    <w:qFormat/>
    <w:uiPriority w:val="0"/>
  </w:style>
  <w:style w:type="character" w:styleId="42">
    <w:name w:val="FollowedHyperlink"/>
    <w:qFormat/>
    <w:uiPriority w:val="0"/>
    <w:rPr>
      <w:color w:val="800080"/>
      <w:u w:val="single"/>
    </w:rPr>
  </w:style>
  <w:style w:type="character" w:styleId="43">
    <w:name w:val="Emphasis"/>
    <w:qFormat/>
    <w:uiPriority w:val="0"/>
    <w:rPr>
      <w:color w:val="CC0000"/>
    </w:rPr>
  </w:style>
  <w:style w:type="character" w:styleId="44">
    <w:name w:val="HTML Definition"/>
    <w:qFormat/>
    <w:uiPriority w:val="0"/>
    <w:rPr>
      <w:i/>
      <w:iCs/>
    </w:rPr>
  </w:style>
  <w:style w:type="character" w:styleId="45">
    <w:name w:val="HTML Typewriter"/>
    <w:qFormat/>
    <w:uiPriority w:val="0"/>
    <w:rPr>
      <w:rFonts w:ascii="Courier New" w:hAnsi="Courier New"/>
      <w:sz w:val="20"/>
      <w:szCs w:val="20"/>
    </w:rPr>
  </w:style>
  <w:style w:type="character" w:styleId="46">
    <w:name w:val="HTML Acronym"/>
    <w:qFormat/>
    <w:uiPriority w:val="0"/>
  </w:style>
  <w:style w:type="character" w:styleId="47">
    <w:name w:val="HTML Variable"/>
    <w:qFormat/>
    <w:uiPriority w:val="0"/>
    <w:rPr>
      <w:i/>
      <w:iCs/>
    </w:rPr>
  </w:style>
  <w:style w:type="character" w:styleId="48">
    <w:name w:val="Hyperlink"/>
    <w:qFormat/>
    <w:uiPriority w:val="99"/>
    <w:rPr>
      <w:color w:val="0000FF"/>
      <w:u w:val="single"/>
    </w:rPr>
  </w:style>
  <w:style w:type="character" w:styleId="49">
    <w:name w:val="HTML Code"/>
    <w:qFormat/>
    <w:uiPriority w:val="0"/>
    <w:rPr>
      <w:rFonts w:ascii="Courier New" w:hAnsi="Courier New"/>
      <w:sz w:val="20"/>
      <w:szCs w:val="20"/>
    </w:rPr>
  </w:style>
  <w:style w:type="character" w:styleId="50">
    <w:name w:val="annotation reference"/>
    <w:qFormat/>
    <w:uiPriority w:val="0"/>
    <w:rPr>
      <w:sz w:val="21"/>
      <w:szCs w:val="21"/>
    </w:rPr>
  </w:style>
  <w:style w:type="character" w:styleId="51">
    <w:name w:val="HTML Cite"/>
    <w:qFormat/>
    <w:uiPriority w:val="0"/>
    <w:rPr>
      <w:i/>
      <w:iCs/>
    </w:rPr>
  </w:style>
  <w:style w:type="character" w:styleId="52">
    <w:name w:val="HTML Keyboard"/>
    <w:qFormat/>
    <w:uiPriority w:val="0"/>
    <w:rPr>
      <w:rFonts w:ascii="Courier New" w:hAnsi="Courier New"/>
      <w:sz w:val="20"/>
      <w:szCs w:val="20"/>
    </w:rPr>
  </w:style>
  <w:style w:type="character" w:styleId="53">
    <w:name w:val="HTML Sample"/>
    <w:qFormat/>
    <w:uiPriority w:val="0"/>
    <w:rPr>
      <w:rFonts w:ascii="Courier New" w:hAnsi="Courier New"/>
    </w:rPr>
  </w:style>
  <w:style w:type="character" w:customStyle="1" w:styleId="54">
    <w:name w:val="标题 字符"/>
    <w:link w:val="17"/>
    <w:qFormat/>
    <w:uiPriority w:val="0"/>
    <w:rPr>
      <w:rFonts w:ascii="Arial" w:hAnsi="Arial" w:eastAsia="宋体" w:cs="Arial"/>
      <w:b/>
      <w:bCs/>
      <w:sz w:val="32"/>
      <w:szCs w:val="32"/>
    </w:rPr>
  </w:style>
  <w:style w:type="character" w:customStyle="1" w:styleId="55">
    <w:name w:val="标题 1 字符"/>
    <w:link w:val="2"/>
    <w:qFormat/>
    <w:uiPriority w:val="0"/>
    <w:rPr>
      <w:rFonts w:ascii="宋体" w:hAnsi="Times New Roman"/>
      <w:b/>
      <w:bCs/>
      <w:kern w:val="44"/>
      <w:sz w:val="21"/>
      <w:szCs w:val="21"/>
    </w:rPr>
  </w:style>
  <w:style w:type="character" w:customStyle="1" w:styleId="56">
    <w:name w:val="标题 2 字符"/>
    <w:link w:val="3"/>
    <w:qFormat/>
    <w:uiPriority w:val="0"/>
    <w:rPr>
      <w:rFonts w:ascii="宋体" w:hAnsi="Times New Roman"/>
      <w:bCs/>
      <w:kern w:val="2"/>
      <w:sz w:val="21"/>
      <w:szCs w:val="21"/>
    </w:rPr>
  </w:style>
  <w:style w:type="character" w:customStyle="1" w:styleId="57">
    <w:name w:val="标题 3 字符"/>
    <w:link w:val="4"/>
    <w:qFormat/>
    <w:uiPriority w:val="0"/>
    <w:rPr>
      <w:rFonts w:ascii="宋体" w:hAnsi="Times New Roman"/>
      <w:bCs/>
      <w:kern w:val="2"/>
      <w:sz w:val="21"/>
      <w:szCs w:val="21"/>
    </w:rPr>
  </w:style>
  <w:style w:type="character" w:customStyle="1" w:styleId="58">
    <w:name w:val="标题 4 字符"/>
    <w:link w:val="5"/>
    <w:qFormat/>
    <w:uiPriority w:val="0"/>
    <w:rPr>
      <w:rFonts w:ascii="宋体" w:hAnsi="Times New Roman" w:eastAsia="宋体" w:cs="Times New Roman"/>
      <w:bCs/>
      <w:szCs w:val="21"/>
    </w:rPr>
  </w:style>
  <w:style w:type="character" w:customStyle="1" w:styleId="59">
    <w:name w:val="标题 5 字符"/>
    <w:link w:val="6"/>
    <w:qFormat/>
    <w:uiPriority w:val="0"/>
    <w:rPr>
      <w:rFonts w:ascii="Times New Roman" w:hAnsi="Times New Roman" w:eastAsia="宋体" w:cs="宋体"/>
      <w:bCs/>
      <w:kern w:val="0"/>
      <w:szCs w:val="21"/>
    </w:rPr>
  </w:style>
  <w:style w:type="character" w:customStyle="1" w:styleId="60">
    <w:name w:val="标题 6 字符"/>
    <w:link w:val="7"/>
    <w:qFormat/>
    <w:uiPriority w:val="0"/>
    <w:rPr>
      <w:rFonts w:ascii="Arial" w:hAnsi="Arial" w:eastAsia="黑体" w:cs="Times New Roman"/>
      <w:b/>
      <w:bCs/>
      <w:sz w:val="24"/>
      <w:szCs w:val="24"/>
    </w:rPr>
  </w:style>
  <w:style w:type="character" w:customStyle="1" w:styleId="61">
    <w:name w:val="标题 7 字符"/>
    <w:link w:val="8"/>
    <w:qFormat/>
    <w:uiPriority w:val="0"/>
    <w:rPr>
      <w:rFonts w:ascii="Times New Roman" w:hAnsi="Times New Roman" w:eastAsia="宋体" w:cs="Times New Roman"/>
      <w:b/>
      <w:bCs/>
      <w:sz w:val="24"/>
      <w:szCs w:val="24"/>
    </w:rPr>
  </w:style>
  <w:style w:type="character" w:customStyle="1" w:styleId="62">
    <w:name w:val="标题 8 字符"/>
    <w:link w:val="9"/>
    <w:qFormat/>
    <w:uiPriority w:val="0"/>
    <w:rPr>
      <w:rFonts w:ascii="Arial" w:hAnsi="Arial" w:eastAsia="黑体" w:cs="Times New Roman"/>
      <w:sz w:val="24"/>
      <w:szCs w:val="24"/>
    </w:rPr>
  </w:style>
  <w:style w:type="character" w:customStyle="1" w:styleId="63">
    <w:name w:val="标题 9 字符"/>
    <w:link w:val="10"/>
    <w:qFormat/>
    <w:uiPriority w:val="0"/>
    <w:rPr>
      <w:rFonts w:ascii="Arial" w:hAnsi="Arial" w:eastAsia="黑体" w:cs="Times New Roman"/>
      <w:szCs w:val="21"/>
    </w:rPr>
  </w:style>
  <w:style w:type="character" w:customStyle="1" w:styleId="64">
    <w:name w:val="正文缩进 字符"/>
    <w:link w:val="12"/>
    <w:qFormat/>
    <w:uiPriority w:val="0"/>
    <w:rPr>
      <w:rFonts w:ascii="Times New Roman" w:hAnsi="Times New Roman" w:eastAsia="宋体" w:cs="Times New Roman"/>
      <w:szCs w:val="24"/>
    </w:rPr>
  </w:style>
  <w:style w:type="character" w:customStyle="1" w:styleId="65">
    <w:name w:val="文档结构图 字符"/>
    <w:link w:val="14"/>
    <w:qFormat/>
    <w:uiPriority w:val="0"/>
    <w:rPr>
      <w:rFonts w:ascii="宋体" w:hAnsi="Times New Roman" w:eastAsia="宋体" w:cs="Times New Roman"/>
      <w:sz w:val="18"/>
      <w:szCs w:val="18"/>
    </w:rPr>
  </w:style>
  <w:style w:type="character" w:customStyle="1" w:styleId="66">
    <w:name w:val="批注文字 字符"/>
    <w:link w:val="15"/>
    <w:qFormat/>
    <w:uiPriority w:val="0"/>
    <w:rPr>
      <w:rFonts w:ascii="Times New Roman" w:hAnsi="Times New Roman" w:eastAsia="宋体" w:cs="Times New Roman"/>
      <w:szCs w:val="24"/>
    </w:rPr>
  </w:style>
  <w:style w:type="character" w:customStyle="1" w:styleId="67">
    <w:name w:val="HTML 地址 字符"/>
    <w:link w:val="18"/>
    <w:qFormat/>
    <w:uiPriority w:val="0"/>
    <w:rPr>
      <w:rFonts w:ascii="Times New Roman" w:hAnsi="Times New Roman" w:eastAsia="宋体" w:cs="Times New Roman"/>
      <w:i/>
      <w:iCs/>
      <w:szCs w:val="24"/>
    </w:rPr>
  </w:style>
  <w:style w:type="character" w:customStyle="1" w:styleId="68">
    <w:name w:val="纯文本 字符"/>
    <w:link w:val="21"/>
    <w:qFormat/>
    <w:uiPriority w:val="0"/>
    <w:rPr>
      <w:rFonts w:ascii="宋体" w:hAnsi="Courier New" w:eastAsia="宋体" w:cs="Times New Roman"/>
      <w:szCs w:val="24"/>
    </w:rPr>
  </w:style>
  <w:style w:type="character" w:customStyle="1" w:styleId="69">
    <w:name w:val="日期 字符"/>
    <w:link w:val="23"/>
    <w:qFormat/>
    <w:uiPriority w:val="0"/>
    <w:rPr>
      <w:rFonts w:ascii="仿宋_GB2312" w:hAnsi="Times New Roman" w:eastAsia="仿宋_GB2312" w:cs="Times New Roman"/>
      <w:kern w:val="0"/>
      <w:sz w:val="24"/>
      <w:szCs w:val="20"/>
    </w:rPr>
  </w:style>
  <w:style w:type="character" w:customStyle="1" w:styleId="70">
    <w:name w:val="正文文本缩进 2 字符"/>
    <w:link w:val="24"/>
    <w:qFormat/>
    <w:uiPriority w:val="0"/>
    <w:rPr>
      <w:rFonts w:ascii="Times New Roman" w:hAnsi="Times New Roman" w:eastAsia="仿宋_GB2312" w:cs="Times New Roman"/>
      <w:kern w:val="0"/>
      <w:sz w:val="28"/>
      <w:szCs w:val="20"/>
    </w:rPr>
  </w:style>
  <w:style w:type="character" w:customStyle="1" w:styleId="71">
    <w:name w:val="批注框文本 字符"/>
    <w:link w:val="25"/>
    <w:qFormat/>
    <w:uiPriority w:val="0"/>
    <w:rPr>
      <w:rFonts w:ascii="Times New Roman" w:hAnsi="Times New Roman" w:eastAsia="宋体" w:cs="Times New Roman"/>
      <w:sz w:val="18"/>
      <w:szCs w:val="18"/>
    </w:rPr>
  </w:style>
  <w:style w:type="character" w:customStyle="1" w:styleId="72">
    <w:name w:val="页脚 字符"/>
    <w:link w:val="26"/>
    <w:qFormat/>
    <w:uiPriority w:val="0"/>
    <w:rPr>
      <w:rFonts w:ascii="Times New Roman" w:hAnsi="Times New Roman" w:eastAsia="宋体" w:cs="Times New Roman"/>
      <w:sz w:val="18"/>
      <w:szCs w:val="18"/>
    </w:rPr>
  </w:style>
  <w:style w:type="character" w:customStyle="1" w:styleId="73">
    <w:name w:val="页眉 字符"/>
    <w:link w:val="27"/>
    <w:qFormat/>
    <w:uiPriority w:val="0"/>
    <w:rPr>
      <w:rFonts w:ascii="Times New Roman" w:hAnsi="Times New Roman" w:eastAsia="宋体" w:cs="Times New Roman"/>
      <w:sz w:val="18"/>
      <w:szCs w:val="18"/>
    </w:rPr>
  </w:style>
  <w:style w:type="character" w:customStyle="1" w:styleId="74">
    <w:name w:val="脚注文本 字符"/>
    <w:link w:val="30"/>
    <w:qFormat/>
    <w:uiPriority w:val="0"/>
    <w:rPr>
      <w:rFonts w:ascii="Times New Roman" w:hAnsi="Times New Roman" w:eastAsia="宋体" w:cs="Times New Roman"/>
      <w:sz w:val="18"/>
      <w:szCs w:val="18"/>
    </w:rPr>
  </w:style>
  <w:style w:type="character" w:customStyle="1" w:styleId="75">
    <w:name w:val="正文文本缩进 3 字符"/>
    <w:link w:val="32"/>
    <w:qFormat/>
    <w:uiPriority w:val="0"/>
    <w:rPr>
      <w:rFonts w:ascii="Times New Roman" w:hAnsi="Times New Roman" w:eastAsia="宋体" w:cs="Times New Roman"/>
      <w:sz w:val="16"/>
      <w:szCs w:val="16"/>
    </w:rPr>
  </w:style>
  <w:style w:type="character" w:customStyle="1" w:styleId="76">
    <w:name w:val="HTML 预设格式 字符"/>
    <w:link w:val="36"/>
    <w:qFormat/>
    <w:uiPriority w:val="0"/>
    <w:rPr>
      <w:rFonts w:ascii="Courier New" w:hAnsi="Courier New" w:eastAsia="宋体" w:cs="Courier New"/>
      <w:sz w:val="20"/>
      <w:szCs w:val="20"/>
    </w:rPr>
  </w:style>
  <w:style w:type="character" w:customStyle="1" w:styleId="77">
    <w:name w:val="批注主题 字符"/>
    <w:link w:val="38"/>
    <w:qFormat/>
    <w:uiPriority w:val="0"/>
    <w:rPr>
      <w:rFonts w:ascii="Times New Roman" w:hAnsi="Times New Roman" w:eastAsia="宋体" w:cs="Times New Roman"/>
      <w:b/>
      <w:bCs/>
      <w:szCs w:val="24"/>
    </w:rPr>
  </w:style>
  <w:style w:type="character" w:customStyle="1" w:styleId="78">
    <w:name w:val="首行缩进 Char"/>
    <w:link w:val="79"/>
    <w:qFormat/>
    <w:uiPriority w:val="0"/>
    <w:rPr>
      <w:rFonts w:eastAsia="方正书宋简体" w:cs="宋体"/>
    </w:rPr>
  </w:style>
  <w:style w:type="paragraph" w:customStyle="1" w:styleId="79">
    <w:name w:val="首行缩进"/>
    <w:basedOn w:val="1"/>
    <w:link w:val="78"/>
    <w:qFormat/>
    <w:uiPriority w:val="0"/>
    <w:pPr>
      <w:spacing w:line="300" w:lineRule="auto"/>
      <w:ind w:firstLine="420" w:firstLineChars="200"/>
    </w:pPr>
    <w:rPr>
      <w:rFonts w:eastAsia="方正书宋简体" w:cs="宋体"/>
    </w:rPr>
  </w:style>
  <w:style w:type="character" w:customStyle="1" w:styleId="80">
    <w:name w:val="EmailStyle1391"/>
    <w:qFormat/>
    <w:uiPriority w:val="0"/>
    <w:rPr>
      <w:rFonts w:ascii="Arial" w:hAnsi="Arial" w:eastAsia="宋体" w:cs="Arial"/>
      <w:color w:val="auto"/>
      <w:sz w:val="20"/>
    </w:rPr>
  </w:style>
  <w:style w:type="character" w:customStyle="1" w:styleId="81">
    <w:name w:val="三级条标题 Char"/>
    <w:link w:val="82"/>
    <w:qFormat/>
    <w:uiPriority w:val="0"/>
  </w:style>
  <w:style w:type="paragraph" w:customStyle="1" w:styleId="82">
    <w:name w:val="三级条标题"/>
    <w:basedOn w:val="83"/>
    <w:next w:val="84"/>
    <w:link w:val="81"/>
    <w:qFormat/>
    <w:uiPriority w:val="0"/>
    <w:pPr>
      <w:tabs>
        <w:tab w:val="left" w:pos="360"/>
      </w:tabs>
      <w:ind w:left="-180"/>
      <w:outlineLvl w:val="4"/>
    </w:pPr>
  </w:style>
  <w:style w:type="paragraph" w:customStyle="1" w:styleId="83">
    <w:name w:val="二级条标题"/>
    <w:basedOn w:val="1"/>
    <w:next w:val="84"/>
    <w:link w:val="85"/>
    <w:qFormat/>
    <w:uiPriority w:val="0"/>
    <w:pPr>
      <w:widowControl/>
      <w:outlineLvl w:val="3"/>
    </w:pPr>
    <w:rPr>
      <w:rFonts w:ascii="黑体" w:eastAsia="黑体"/>
      <w:kern w:val="0"/>
      <w:szCs w:val="20"/>
    </w:rPr>
  </w:style>
  <w:style w:type="paragraph" w:customStyle="1" w:styleId="84">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85">
    <w:name w:val="二级条标题 Char"/>
    <w:link w:val="83"/>
    <w:qFormat/>
    <w:uiPriority w:val="0"/>
    <w:rPr>
      <w:rFonts w:ascii="黑体" w:hAnsi="Times New Roman" w:eastAsia="黑体" w:cs="Times New Roman"/>
      <w:kern w:val="0"/>
      <w:szCs w:val="20"/>
    </w:rPr>
  </w:style>
  <w:style w:type="character" w:customStyle="1" w:styleId="86">
    <w:name w:val="发布"/>
    <w:qFormat/>
    <w:uiPriority w:val="0"/>
    <w:rPr>
      <w:rFonts w:ascii="黑体" w:eastAsia="黑体"/>
      <w:spacing w:val="22"/>
      <w:w w:val="100"/>
      <w:position w:val="3"/>
      <w:sz w:val="28"/>
    </w:rPr>
  </w:style>
  <w:style w:type="character" w:customStyle="1" w:styleId="87">
    <w:name w:val="一级条标题 Char"/>
    <w:link w:val="88"/>
    <w:qFormat/>
    <w:uiPriority w:val="0"/>
    <w:rPr>
      <w:rFonts w:ascii="黑体" w:hAnsi="Times New Roman" w:eastAsia="黑体" w:cs="Times New Roman"/>
      <w:kern w:val="0"/>
      <w:szCs w:val="20"/>
    </w:rPr>
  </w:style>
  <w:style w:type="paragraph" w:customStyle="1" w:styleId="88">
    <w:name w:val="一级条标题"/>
    <w:basedOn w:val="89"/>
    <w:next w:val="84"/>
    <w:link w:val="87"/>
    <w:qFormat/>
    <w:uiPriority w:val="0"/>
    <w:pPr>
      <w:outlineLvl w:val="2"/>
    </w:pPr>
  </w:style>
  <w:style w:type="paragraph" w:customStyle="1" w:styleId="89">
    <w:name w:val="章标题"/>
    <w:next w:val="84"/>
    <w:link w:val="90"/>
    <w:qFormat/>
    <w:uiPriority w:val="0"/>
    <w:pPr>
      <w:spacing w:before="156" w:beforeLines="50" w:after="156" w:afterLines="50"/>
      <w:jc w:val="both"/>
      <w:outlineLvl w:val="1"/>
    </w:pPr>
    <w:rPr>
      <w:rFonts w:ascii="黑体" w:hAnsi="Times New Roman" w:eastAsia="黑体" w:cs="Times New Roman"/>
      <w:sz w:val="21"/>
      <w:lang w:val="en-US" w:eastAsia="zh-CN" w:bidi="ar-SA"/>
    </w:rPr>
  </w:style>
  <w:style w:type="character" w:customStyle="1" w:styleId="90">
    <w:name w:val="章标题 Char"/>
    <w:link w:val="89"/>
    <w:qFormat/>
    <w:uiPriority w:val="0"/>
    <w:rPr>
      <w:rFonts w:ascii="黑体" w:hAnsi="Times New Roman" w:eastAsia="黑体"/>
      <w:sz w:val="21"/>
      <w:lang w:val="en-US" w:eastAsia="zh-CN" w:bidi="ar-SA"/>
    </w:rPr>
  </w:style>
  <w:style w:type="character" w:customStyle="1" w:styleId="91">
    <w:name w:val="样式 标题 3 + 宋体 Char"/>
    <w:link w:val="92"/>
    <w:qFormat/>
    <w:uiPriority w:val="0"/>
    <w:rPr>
      <w:rFonts w:ascii="宋体" w:hAnsi="宋体" w:eastAsia="宋体" w:cs="Times New Roman"/>
      <w:szCs w:val="21"/>
    </w:rPr>
  </w:style>
  <w:style w:type="paragraph" w:customStyle="1" w:styleId="92">
    <w:name w:val="样式 标题 3 + 宋体"/>
    <w:basedOn w:val="4"/>
    <w:link w:val="91"/>
    <w:qFormat/>
    <w:uiPriority w:val="0"/>
    <w:rPr>
      <w:rFonts w:hAnsi="宋体"/>
    </w:rPr>
  </w:style>
  <w:style w:type="character" w:customStyle="1" w:styleId="93">
    <w:name w:val="EmailStyle1381"/>
    <w:qFormat/>
    <w:uiPriority w:val="0"/>
    <w:rPr>
      <w:rFonts w:ascii="Arial" w:hAnsi="Arial" w:eastAsia="宋体" w:cs="Arial"/>
      <w:color w:val="auto"/>
      <w:sz w:val="20"/>
    </w:rPr>
  </w:style>
  <w:style w:type="character" w:customStyle="1" w:styleId="94">
    <w:name w:val="表内居中小五 Char"/>
    <w:link w:val="95"/>
    <w:qFormat/>
    <w:uiPriority w:val="0"/>
    <w:rPr>
      <w:rFonts w:cs="宋体"/>
      <w:sz w:val="18"/>
      <w:szCs w:val="18"/>
    </w:rPr>
  </w:style>
  <w:style w:type="paragraph" w:customStyle="1" w:styleId="95">
    <w:name w:val="表内居中小五"/>
    <w:basedOn w:val="1"/>
    <w:link w:val="94"/>
    <w:qFormat/>
    <w:uiPriority w:val="0"/>
    <w:pPr>
      <w:jc w:val="center"/>
    </w:pPr>
    <w:rPr>
      <w:rFonts w:cs="宋体"/>
      <w:sz w:val="18"/>
      <w:szCs w:val="18"/>
    </w:rPr>
  </w:style>
  <w:style w:type="character" w:customStyle="1" w:styleId="96">
    <w:name w:val="样式 标题 4 + (符号) 宋体 Char"/>
    <w:link w:val="97"/>
    <w:qFormat/>
    <w:uiPriority w:val="0"/>
  </w:style>
  <w:style w:type="paragraph" w:customStyle="1" w:styleId="97">
    <w:name w:val="样式 标题 4 + (符号) 宋体"/>
    <w:basedOn w:val="5"/>
    <w:link w:val="96"/>
    <w:qFormat/>
    <w:uiPriority w:val="0"/>
    <w:pPr>
      <w:adjustRightInd w:val="0"/>
      <w:snapToGrid w:val="0"/>
    </w:pPr>
  </w:style>
  <w:style w:type="character" w:customStyle="1" w:styleId="98">
    <w:name w:val="表内居两端对齐 Char"/>
    <w:link w:val="99"/>
    <w:qFormat/>
    <w:uiPriority w:val="0"/>
  </w:style>
  <w:style w:type="paragraph" w:customStyle="1" w:styleId="99">
    <w:name w:val="表内居两端对齐"/>
    <w:basedOn w:val="95"/>
    <w:link w:val="98"/>
    <w:qFormat/>
    <w:uiPriority w:val="0"/>
    <w:pPr>
      <w:jc w:val="both"/>
    </w:pPr>
  </w:style>
  <w:style w:type="character" w:customStyle="1" w:styleId="100">
    <w:name w:val="t_tag"/>
    <w:qFormat/>
    <w:uiPriority w:val="0"/>
  </w:style>
  <w:style w:type="character" w:customStyle="1" w:styleId="101">
    <w:name w:val="unnamed11"/>
    <w:qFormat/>
    <w:uiPriority w:val="0"/>
    <w:rPr>
      <w:spacing w:val="12"/>
      <w:sz w:val="22"/>
      <w:szCs w:val="22"/>
    </w:rPr>
  </w:style>
  <w:style w:type="paragraph" w:customStyle="1" w:styleId="102">
    <w:name w:val="其他发布部门"/>
    <w:basedOn w:val="1"/>
    <w:qFormat/>
    <w:uiPriority w:val="0"/>
    <w:pPr>
      <w:widowControl/>
      <w:spacing w:line="0" w:lineRule="atLeast"/>
      <w:jc w:val="center"/>
    </w:pPr>
    <w:rPr>
      <w:rFonts w:ascii="黑体" w:eastAsia="黑体"/>
      <w:spacing w:val="20"/>
      <w:w w:val="135"/>
      <w:kern w:val="0"/>
      <w:sz w:val="36"/>
      <w:szCs w:val="20"/>
    </w:rPr>
  </w:style>
  <w:style w:type="paragraph" w:customStyle="1" w:styleId="103">
    <w:name w:val="表格标题正常_制度头表格"/>
    <w:qFormat/>
    <w:uiPriority w:val="0"/>
    <w:pPr>
      <w:jc w:val="center"/>
    </w:pPr>
    <w:rPr>
      <w:rFonts w:ascii="Times New Roman" w:hAnsi="Times New Roman" w:eastAsia="宋体" w:cs="Times New Roman"/>
      <w:sz w:val="21"/>
      <w:lang w:val="en-US" w:eastAsia="zh-CN" w:bidi="ar-SA"/>
    </w:rPr>
  </w:style>
  <w:style w:type="paragraph" w:customStyle="1" w:styleId="104">
    <w:name w:val="附录图标题"/>
    <w:next w:val="84"/>
    <w:qFormat/>
    <w:uiPriority w:val="0"/>
    <w:pPr>
      <w:jc w:val="center"/>
    </w:pPr>
    <w:rPr>
      <w:rFonts w:ascii="黑体" w:hAnsi="Times New Roman" w:eastAsia="黑体" w:cs="Times New Roman"/>
      <w:sz w:val="21"/>
      <w:lang w:val="en-US" w:eastAsia="zh-CN" w:bidi="ar-SA"/>
    </w:rPr>
  </w:style>
  <w:style w:type="paragraph" w:customStyle="1" w:styleId="105">
    <w:name w:val="Char Char Char Char Char Char Char Char Char Char Char Char1"/>
    <w:basedOn w:val="1"/>
    <w:qFormat/>
    <w:uiPriority w:val="0"/>
    <w:pPr>
      <w:spacing w:line="360" w:lineRule="auto"/>
    </w:pPr>
    <w:rPr>
      <w:rFonts w:ascii="Tahoma" w:hAnsi="Tahoma"/>
      <w:sz w:val="24"/>
      <w:szCs w:val="20"/>
    </w:rPr>
  </w:style>
  <w:style w:type="paragraph" w:customStyle="1" w:styleId="106">
    <w:name w:val="列项·"/>
    <w:qFormat/>
    <w:uiPriority w:val="0"/>
    <w:pPr>
      <w:numPr>
        <w:ilvl w:val="0"/>
        <w:numId w:val="3"/>
      </w:numPr>
      <w:tabs>
        <w:tab w:val="left" w:pos="360"/>
        <w:tab w:val="left" w:pos="840"/>
        <w:tab w:val="clear" w:pos="1140"/>
      </w:tabs>
      <w:ind w:left="0" w:firstLine="0"/>
      <w:jc w:val="both"/>
    </w:pPr>
    <w:rPr>
      <w:rFonts w:ascii="宋体" w:hAnsi="Times New Roman" w:eastAsia="宋体" w:cs="Times New Roman"/>
      <w:sz w:val="21"/>
      <w:lang w:val="en-US" w:eastAsia="zh-CN" w:bidi="ar-SA"/>
    </w:rPr>
  </w:style>
  <w:style w:type="paragraph" w:customStyle="1" w:styleId="107">
    <w:name w:val="封面标准代替信息"/>
    <w:basedOn w:val="108"/>
    <w:qFormat/>
    <w:uiPriority w:val="0"/>
    <w:pPr>
      <w:spacing w:before="57"/>
    </w:pPr>
    <w:rPr>
      <w:rFonts w:ascii="宋体"/>
      <w:sz w:val="21"/>
    </w:rPr>
  </w:style>
  <w:style w:type="paragraph" w:customStyle="1" w:styleId="108">
    <w:name w:val="封面标准号2"/>
    <w:basedOn w:val="109"/>
    <w:qFormat/>
    <w:uiPriority w:val="0"/>
    <w:pPr>
      <w:adjustRightInd w:val="0"/>
      <w:spacing w:before="357" w:line="280" w:lineRule="exact"/>
    </w:pPr>
  </w:style>
  <w:style w:type="paragraph" w:customStyle="1" w:styleId="109">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10">
    <w:name w:val="数字编号列项（二级）"/>
    <w:qFormat/>
    <w:uiPriority w:val="0"/>
    <w:pPr>
      <w:jc w:val="both"/>
    </w:pPr>
    <w:rPr>
      <w:rFonts w:ascii="宋体" w:hAnsi="Times New Roman" w:eastAsia="宋体" w:cs="Times New Roman"/>
      <w:sz w:val="21"/>
      <w:lang w:val="en-US" w:eastAsia="zh-CN" w:bidi="ar-SA"/>
    </w:rPr>
  </w:style>
  <w:style w:type="paragraph" w:customStyle="1" w:styleId="111">
    <w:name w:val="一级无标题条"/>
    <w:basedOn w:val="1"/>
    <w:qFormat/>
    <w:uiPriority w:val="0"/>
    <w:pPr>
      <w:numPr>
        <w:ilvl w:val="2"/>
        <w:numId w:val="4"/>
      </w:numPr>
    </w:pPr>
  </w:style>
  <w:style w:type="paragraph" w:customStyle="1" w:styleId="112">
    <w:name w:val="Revision"/>
    <w:qFormat/>
    <w:uiPriority w:val="0"/>
    <w:rPr>
      <w:rFonts w:ascii="Times New Roman" w:hAnsi="Times New Roman" w:eastAsia="宋体" w:cs="Times New Roman"/>
      <w:kern w:val="2"/>
      <w:sz w:val="21"/>
      <w:szCs w:val="24"/>
      <w:lang w:val="en-US" w:eastAsia="zh-CN" w:bidi="ar-SA"/>
    </w:rPr>
  </w:style>
  <w:style w:type="paragraph" w:customStyle="1" w:styleId="113">
    <w:name w:val="附录二级条标题"/>
    <w:basedOn w:val="114"/>
    <w:next w:val="84"/>
    <w:qFormat/>
    <w:uiPriority w:val="0"/>
    <w:pPr>
      <w:autoSpaceDN w:val="0"/>
      <w:outlineLvl w:val="3"/>
    </w:pPr>
  </w:style>
  <w:style w:type="paragraph" w:customStyle="1" w:styleId="114">
    <w:name w:val="附录一级条标题"/>
    <w:basedOn w:val="115"/>
    <w:next w:val="84"/>
    <w:qFormat/>
    <w:uiPriority w:val="0"/>
    <w:pPr>
      <w:numPr>
        <w:ilvl w:val="2"/>
      </w:numPr>
    </w:pPr>
  </w:style>
  <w:style w:type="paragraph" w:customStyle="1" w:styleId="115">
    <w:name w:val="附录章标题"/>
    <w:next w:val="84"/>
    <w:qFormat/>
    <w:uiPriority w:val="0"/>
    <w:pPr>
      <w:numPr>
        <w:ilvl w:val="1"/>
        <w:numId w:val="5"/>
      </w:numPr>
      <w:wordWrap w:val="0"/>
      <w:overflowPunct w:val="0"/>
      <w:autoSpaceDE w:val="0"/>
      <w:spacing w:before="156" w:beforeLines="50" w:after="156"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16">
    <w:name w:val="实施日期"/>
    <w:basedOn w:val="117"/>
    <w:qFormat/>
    <w:uiPriority w:val="0"/>
    <w:pPr>
      <w:jc w:val="right"/>
    </w:pPr>
  </w:style>
  <w:style w:type="paragraph" w:customStyle="1" w:styleId="117">
    <w:name w:val="发布日期"/>
    <w:qFormat/>
    <w:uiPriority w:val="0"/>
    <w:rPr>
      <w:rFonts w:ascii="Times New Roman" w:hAnsi="Times New Roman" w:eastAsia="黑体" w:cs="Times New Roman"/>
      <w:sz w:val="28"/>
      <w:lang w:val="en-US" w:eastAsia="zh-CN" w:bidi="ar-SA"/>
    </w:rPr>
  </w:style>
  <w:style w:type="paragraph" w:customStyle="1" w:styleId="118">
    <w:name w:val="条文脚注"/>
    <w:basedOn w:val="30"/>
    <w:qFormat/>
    <w:uiPriority w:val="0"/>
    <w:pPr>
      <w:ind w:left="780" w:leftChars="200" w:hanging="360" w:hangingChars="200"/>
      <w:jc w:val="both"/>
    </w:pPr>
    <w:rPr>
      <w:rFonts w:ascii="宋体"/>
    </w:rPr>
  </w:style>
  <w:style w:type="paragraph" w:customStyle="1" w:styleId="119">
    <w:name w:val="CM10"/>
    <w:basedOn w:val="120"/>
    <w:next w:val="120"/>
    <w:qFormat/>
    <w:uiPriority w:val="0"/>
    <w:pPr>
      <w:spacing w:line="468" w:lineRule="atLeast"/>
    </w:pPr>
    <w:rPr>
      <w:rFonts w:ascii="黑体" w:eastAsia="黑体" w:cs="Times New Roman"/>
      <w:color w:val="auto"/>
    </w:rPr>
  </w:style>
  <w:style w:type="paragraph" w:customStyle="1" w:styleId="12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21">
    <w:name w:val="表格空行_制度头表格"/>
    <w:basedOn w:val="103"/>
    <w:qFormat/>
    <w:uiPriority w:val="0"/>
    <w:pPr>
      <w:tabs>
        <w:tab w:val="left" w:pos="2960"/>
      </w:tabs>
      <w:jc w:val="both"/>
    </w:pPr>
    <w:rPr>
      <w:rFonts w:eastAsia="黑体"/>
      <w:sz w:val="11"/>
      <w:szCs w:val="30"/>
    </w:rPr>
  </w:style>
  <w:style w:type="paragraph" w:customStyle="1" w:styleId="122">
    <w:name w:val="五级条标题"/>
    <w:basedOn w:val="1"/>
    <w:next w:val="84"/>
    <w:qFormat/>
    <w:uiPriority w:val="0"/>
    <w:pPr>
      <w:widowControl/>
      <w:outlineLvl w:val="6"/>
    </w:pPr>
    <w:rPr>
      <w:rFonts w:ascii="黑体" w:eastAsia="黑体"/>
      <w:kern w:val="0"/>
      <w:szCs w:val="20"/>
    </w:rPr>
  </w:style>
  <w:style w:type="paragraph" w:customStyle="1" w:styleId="123">
    <w:name w:val="表格标题粗体_制度头表格"/>
    <w:qFormat/>
    <w:uiPriority w:val="0"/>
    <w:pPr>
      <w:jc w:val="center"/>
    </w:pPr>
    <w:rPr>
      <w:rFonts w:ascii="Times New Roman" w:hAnsi="Times New Roman" w:eastAsia="宋体" w:cs="Times New Roman"/>
      <w:b/>
      <w:sz w:val="21"/>
      <w:szCs w:val="21"/>
      <w:lang w:val="en-US" w:eastAsia="zh-CN" w:bidi="ar-SA"/>
    </w:rPr>
  </w:style>
  <w:style w:type="paragraph" w:customStyle="1" w:styleId="124">
    <w:name w:val="四级条标题"/>
    <w:basedOn w:val="82"/>
    <w:next w:val="84"/>
    <w:qFormat/>
    <w:uiPriority w:val="0"/>
    <w:pPr>
      <w:tabs>
        <w:tab w:val="clear" w:pos="360"/>
      </w:tabs>
      <w:ind w:left="0"/>
      <w:outlineLvl w:val="5"/>
    </w:pPr>
  </w:style>
  <w:style w:type="paragraph" w:customStyle="1" w:styleId="125">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126">
    <w:name w:val="结束线"/>
    <w:basedOn w:val="1"/>
    <w:qFormat/>
    <w:uiPriority w:val="0"/>
    <w:pPr>
      <w:widowControl/>
      <w:ind w:left="600" w:leftChars="200" w:hanging="180" w:hangingChars="100"/>
      <w:jc w:val="center"/>
    </w:pPr>
    <w:rPr>
      <w:rFonts w:ascii="宋体"/>
      <w:kern w:val="0"/>
      <w:sz w:val="18"/>
      <w:szCs w:val="20"/>
    </w:rPr>
  </w:style>
  <w:style w:type="paragraph" w:customStyle="1" w:styleId="127">
    <w:name w:val="CM5"/>
    <w:basedOn w:val="120"/>
    <w:next w:val="120"/>
    <w:qFormat/>
    <w:uiPriority w:val="0"/>
    <w:pPr>
      <w:spacing w:line="471" w:lineRule="atLeast"/>
    </w:pPr>
    <w:rPr>
      <w:rFonts w:ascii="黑体" w:eastAsia="黑体" w:cs="Times New Roman"/>
      <w:color w:val="auto"/>
    </w:rPr>
  </w:style>
  <w:style w:type="paragraph" w:customStyle="1" w:styleId="128">
    <w:name w:val="CM22"/>
    <w:basedOn w:val="120"/>
    <w:next w:val="120"/>
    <w:qFormat/>
    <w:uiPriority w:val="0"/>
    <w:pPr>
      <w:spacing w:line="468" w:lineRule="atLeast"/>
    </w:pPr>
    <w:rPr>
      <w:rFonts w:ascii="黑体" w:eastAsia="黑体" w:cs="Times New Roman"/>
      <w:color w:val="auto"/>
    </w:rPr>
  </w:style>
  <w:style w:type="paragraph" w:customStyle="1" w:styleId="129">
    <w:name w:val="封面正文"/>
    <w:qFormat/>
    <w:uiPriority w:val="0"/>
    <w:pPr>
      <w:jc w:val="both"/>
    </w:pPr>
    <w:rPr>
      <w:rFonts w:ascii="Times New Roman" w:hAnsi="Times New Roman" w:eastAsia="宋体" w:cs="Times New Roman"/>
      <w:lang w:val="en-US" w:eastAsia="zh-CN" w:bidi="ar-SA"/>
    </w:rPr>
  </w:style>
  <w:style w:type="paragraph" w:customStyle="1" w:styleId="130">
    <w:name w:val="正文表标题"/>
    <w:next w:val="84"/>
    <w:qFormat/>
    <w:uiPriority w:val="0"/>
    <w:pPr>
      <w:tabs>
        <w:tab w:val="left" w:pos="360"/>
        <w:tab w:val="left" w:pos="678"/>
      </w:tabs>
      <w:ind w:left="678" w:hanging="468"/>
      <w:jc w:val="center"/>
    </w:pPr>
    <w:rPr>
      <w:rFonts w:ascii="黑体" w:hAnsi="Times New Roman" w:eastAsia="黑体" w:cs="Times New Roman"/>
      <w:sz w:val="21"/>
      <w:lang w:val="en-US" w:eastAsia="zh-CN" w:bidi="ar-SA"/>
    </w:rPr>
  </w:style>
  <w:style w:type="paragraph" w:customStyle="1" w:styleId="131">
    <w:name w:val="默认段落字体 Para Char"/>
    <w:basedOn w:val="1"/>
    <w:qFormat/>
    <w:uiPriority w:val="0"/>
    <w:pPr>
      <w:keepNext/>
      <w:keepLines/>
      <w:spacing w:line="360" w:lineRule="auto"/>
    </w:pPr>
    <w:rPr>
      <w:rFonts w:ascii="楷体_GB2312" w:eastAsia="楷体_GB2312"/>
      <w:sz w:val="28"/>
      <w:szCs w:val="28"/>
    </w:rPr>
  </w:style>
  <w:style w:type="paragraph" w:customStyle="1" w:styleId="132">
    <w:name w:val="附录五级条标题"/>
    <w:basedOn w:val="133"/>
    <w:next w:val="84"/>
    <w:qFormat/>
    <w:uiPriority w:val="0"/>
    <w:pPr>
      <w:outlineLvl w:val="6"/>
    </w:pPr>
  </w:style>
  <w:style w:type="paragraph" w:customStyle="1" w:styleId="133">
    <w:name w:val="附录四级条标题"/>
    <w:basedOn w:val="134"/>
    <w:next w:val="84"/>
    <w:qFormat/>
    <w:uiPriority w:val="0"/>
    <w:pPr>
      <w:outlineLvl w:val="5"/>
    </w:pPr>
  </w:style>
  <w:style w:type="paragraph" w:customStyle="1" w:styleId="134">
    <w:name w:val="附录三级条标题"/>
    <w:basedOn w:val="113"/>
    <w:next w:val="84"/>
    <w:qFormat/>
    <w:uiPriority w:val="0"/>
    <w:pPr>
      <w:outlineLvl w:val="4"/>
    </w:pPr>
  </w:style>
  <w:style w:type="paragraph" w:customStyle="1" w:styleId="135">
    <w:name w:val="表格内容靠左正常_制度头表格"/>
    <w:qFormat/>
    <w:uiPriority w:val="0"/>
    <w:rPr>
      <w:rFonts w:ascii="Times New Roman" w:hAnsi="Times New Roman" w:eastAsia="宋体" w:cs="Times New Roman"/>
      <w:sz w:val="21"/>
      <w:szCs w:val="21"/>
      <w:lang w:val="en-US" w:eastAsia="zh-CN" w:bidi="ar-SA"/>
    </w:rPr>
  </w:style>
  <w:style w:type="paragraph" w:customStyle="1" w:styleId="136">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37">
    <w:name w:val="注×："/>
    <w:qFormat/>
    <w:uiPriority w:val="0"/>
    <w:pPr>
      <w:widowControl w:val="0"/>
      <w:numPr>
        <w:ilvl w:val="0"/>
        <w:numId w:val="6"/>
      </w:numPr>
      <w:tabs>
        <w:tab w:val="left" w:pos="360"/>
        <w:tab w:val="left" w:pos="630"/>
        <w:tab w:val="clear" w:pos="900"/>
      </w:tabs>
      <w:autoSpaceDE w:val="0"/>
      <w:autoSpaceDN w:val="0"/>
      <w:ind w:left="0" w:firstLine="0"/>
      <w:jc w:val="both"/>
    </w:pPr>
    <w:rPr>
      <w:rFonts w:ascii="宋体" w:hAnsi="Times New Roman" w:eastAsia="宋体" w:cs="Times New Roman"/>
      <w:sz w:val="18"/>
      <w:lang w:val="en-US" w:eastAsia="zh-CN" w:bidi="ar-SA"/>
    </w:rPr>
  </w:style>
  <w:style w:type="paragraph" w:customStyle="1" w:styleId="138">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39">
    <w:name w:val="CM17"/>
    <w:basedOn w:val="120"/>
    <w:next w:val="120"/>
    <w:qFormat/>
    <w:uiPriority w:val="0"/>
    <w:pPr>
      <w:spacing w:line="468" w:lineRule="atLeast"/>
    </w:pPr>
    <w:rPr>
      <w:rFonts w:ascii="黑体" w:eastAsia="黑体" w:cs="Times New Roman"/>
      <w:color w:val="auto"/>
    </w:rPr>
  </w:style>
  <w:style w:type="paragraph" w:customStyle="1" w:styleId="140">
    <w:name w:val="五级无标题条"/>
    <w:basedOn w:val="1"/>
    <w:qFormat/>
    <w:uiPriority w:val="0"/>
    <w:pPr>
      <w:numPr>
        <w:ilvl w:val="6"/>
        <w:numId w:val="4"/>
      </w:numPr>
    </w:pPr>
  </w:style>
  <w:style w:type="paragraph" w:customStyle="1" w:styleId="141">
    <w:name w:val="标准书眉一"/>
    <w:qFormat/>
    <w:uiPriority w:val="0"/>
    <w:pPr>
      <w:tabs>
        <w:tab w:val="left" w:pos="1120"/>
      </w:tabs>
      <w:ind w:firstLine="400"/>
      <w:jc w:val="both"/>
    </w:pPr>
    <w:rPr>
      <w:rFonts w:ascii="Times New Roman" w:hAnsi="Times New Roman" w:eastAsia="宋体" w:cs="Times New Roman"/>
      <w:lang w:val="en-US" w:eastAsia="zh-CN" w:bidi="ar-SA"/>
    </w:rPr>
  </w:style>
  <w:style w:type="paragraph" w:customStyle="1" w:styleId="142">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43">
    <w:name w:val="CM3"/>
    <w:basedOn w:val="120"/>
    <w:next w:val="120"/>
    <w:qFormat/>
    <w:uiPriority w:val="0"/>
    <w:pPr>
      <w:spacing w:line="468" w:lineRule="atLeast"/>
    </w:pPr>
    <w:rPr>
      <w:rFonts w:ascii="黑体" w:eastAsia="黑体" w:cs="Times New Roman"/>
      <w:color w:val="auto"/>
    </w:rPr>
  </w:style>
  <w:style w:type="paragraph" w:customStyle="1" w:styleId="144">
    <w:name w:val="Char Char Char Char Char Char Char Char Char Char Char Char"/>
    <w:basedOn w:val="1"/>
    <w:qFormat/>
    <w:uiPriority w:val="0"/>
    <w:pPr>
      <w:spacing w:line="360" w:lineRule="auto"/>
    </w:pPr>
    <w:rPr>
      <w:rFonts w:ascii="Tahoma" w:hAnsi="Tahoma"/>
      <w:sz w:val="24"/>
      <w:szCs w:val="20"/>
    </w:rPr>
  </w:style>
  <w:style w:type="paragraph" w:customStyle="1" w:styleId="145">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46">
    <w:name w:val="附录表标题"/>
    <w:next w:val="84"/>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147">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48">
    <w:name w:val="CM9"/>
    <w:basedOn w:val="120"/>
    <w:next w:val="120"/>
    <w:qFormat/>
    <w:uiPriority w:val="0"/>
    <w:pPr>
      <w:spacing w:line="468" w:lineRule="atLeast"/>
    </w:pPr>
    <w:rPr>
      <w:rFonts w:ascii="黑体" w:eastAsia="黑体" w:cs="Times New Roman"/>
      <w:color w:val="auto"/>
    </w:rPr>
  </w:style>
  <w:style w:type="paragraph" w:customStyle="1" w:styleId="149">
    <w:name w:val="CM33"/>
    <w:basedOn w:val="120"/>
    <w:next w:val="120"/>
    <w:qFormat/>
    <w:uiPriority w:val="0"/>
    <w:pPr>
      <w:spacing w:after="205"/>
    </w:pPr>
    <w:rPr>
      <w:rFonts w:ascii="黑体" w:eastAsia="黑体" w:cs="Times New Roman"/>
      <w:color w:val="auto"/>
    </w:rPr>
  </w:style>
  <w:style w:type="paragraph" w:customStyle="1" w:styleId="150">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51">
    <w:name w:val="示例"/>
    <w:next w:val="84"/>
    <w:qFormat/>
    <w:uiPriority w:val="0"/>
    <w:pPr>
      <w:numPr>
        <w:ilvl w:val="0"/>
        <w:numId w:val="7"/>
      </w:numPr>
      <w:tabs>
        <w:tab w:val="left" w:pos="360"/>
        <w:tab w:val="clear" w:pos="1120"/>
      </w:tabs>
      <w:ind w:firstLine="0"/>
      <w:jc w:val="both"/>
    </w:pPr>
    <w:rPr>
      <w:rFonts w:ascii="宋体" w:hAnsi="Times New Roman" w:eastAsia="宋体" w:cs="Times New Roman"/>
      <w:sz w:val="18"/>
      <w:lang w:val="en-US" w:eastAsia="zh-CN" w:bidi="ar-SA"/>
    </w:rPr>
  </w:style>
  <w:style w:type="paragraph" w:customStyle="1" w:styleId="152">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53">
    <w:name w:val="图表脚注"/>
    <w:next w:val="84"/>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154">
    <w:name w:val="附录标识"/>
    <w:basedOn w:val="155"/>
    <w:qFormat/>
    <w:uiPriority w:val="0"/>
    <w:pPr>
      <w:numPr>
        <w:ilvl w:val="0"/>
        <w:numId w:val="5"/>
      </w:numPr>
      <w:ind w:left="720" w:hanging="720"/>
    </w:pPr>
  </w:style>
  <w:style w:type="paragraph" w:customStyle="1" w:styleId="155">
    <w:name w:val="前言、引言标题"/>
    <w:next w:val="1"/>
    <w:qFormat/>
    <w:uiPriority w:val="0"/>
    <w:pPr>
      <w:shd w:val="clear" w:color="FFFFFF" w:fill="FFFFFF"/>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156">
    <w:name w:val="TOC Heading"/>
    <w:basedOn w:val="2"/>
    <w:next w:val="1"/>
    <w:qFormat/>
    <w:uiPriority w:val="0"/>
    <w:pPr>
      <w:widowControl/>
      <w:numPr>
        <w:numId w:val="0"/>
      </w:numPr>
      <w:snapToGrid/>
      <w:spacing w:line="276" w:lineRule="auto"/>
      <w:jc w:val="left"/>
      <w:outlineLvl w:val="9"/>
    </w:pPr>
    <w:rPr>
      <w:rFonts w:ascii="Cambria" w:hAnsi="Cambria"/>
      <w:color w:val="365F91"/>
      <w:kern w:val="0"/>
      <w:sz w:val="28"/>
      <w:szCs w:val="28"/>
    </w:rPr>
  </w:style>
  <w:style w:type="paragraph" w:styleId="157">
    <w:name w:val="List Paragraph"/>
    <w:basedOn w:val="1"/>
    <w:qFormat/>
    <w:uiPriority w:val="0"/>
    <w:pPr>
      <w:ind w:firstLine="420" w:firstLineChars="200"/>
    </w:pPr>
  </w:style>
  <w:style w:type="paragraph" w:customStyle="1" w:styleId="158">
    <w:name w:val="前言首行"/>
    <w:basedOn w:val="1"/>
    <w:qFormat/>
    <w:uiPriority w:val="0"/>
    <w:pPr>
      <w:spacing w:after="120"/>
      <w:jc w:val="center"/>
    </w:pPr>
    <w:rPr>
      <w:rFonts w:eastAsia="黑体" w:cs="宋体"/>
      <w:b/>
      <w:bCs/>
      <w:sz w:val="32"/>
      <w:szCs w:val="20"/>
    </w:rPr>
  </w:style>
  <w:style w:type="paragraph" w:customStyle="1" w:styleId="159">
    <w:name w:val="CM23"/>
    <w:basedOn w:val="120"/>
    <w:next w:val="120"/>
    <w:qFormat/>
    <w:uiPriority w:val="0"/>
    <w:pPr>
      <w:spacing w:line="468" w:lineRule="atLeast"/>
    </w:pPr>
    <w:rPr>
      <w:rFonts w:ascii="黑体" w:eastAsia="黑体" w:cs="Times New Roman"/>
      <w:color w:val="auto"/>
    </w:rPr>
  </w:style>
  <w:style w:type="paragraph" w:customStyle="1" w:styleId="160">
    <w:name w:val="标准书眉_偶数页"/>
    <w:basedOn w:val="161"/>
    <w:next w:val="1"/>
    <w:qFormat/>
    <w:uiPriority w:val="0"/>
    <w:pPr>
      <w:tabs>
        <w:tab w:val="center" w:pos="4154"/>
        <w:tab w:val="right" w:pos="8306"/>
      </w:tabs>
      <w:jc w:val="left"/>
    </w:pPr>
  </w:style>
  <w:style w:type="paragraph" w:customStyle="1" w:styleId="161">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62">
    <w:name w:val="列项——"/>
    <w:qFormat/>
    <w:uiPriority w:val="0"/>
    <w:pPr>
      <w:widowControl w:val="0"/>
      <w:numPr>
        <w:ilvl w:val="0"/>
        <w:numId w:val="8"/>
      </w:numPr>
      <w:tabs>
        <w:tab w:val="left" w:pos="360"/>
        <w:tab w:val="clear" w:pos="1140"/>
      </w:tabs>
      <w:ind w:left="0" w:firstLine="0"/>
      <w:jc w:val="both"/>
    </w:pPr>
    <w:rPr>
      <w:rFonts w:ascii="宋体" w:hAnsi="Times New Roman" w:eastAsia="宋体" w:cs="Times New Roman"/>
      <w:sz w:val="21"/>
      <w:lang w:val="en-US" w:eastAsia="zh-CN" w:bidi="ar-SA"/>
    </w:rPr>
  </w:style>
  <w:style w:type="paragraph" w:customStyle="1" w:styleId="163">
    <w:name w:val="发布部门"/>
    <w:next w:val="84"/>
    <w:qFormat/>
    <w:uiPriority w:val="0"/>
    <w:pPr>
      <w:jc w:val="center"/>
    </w:pPr>
    <w:rPr>
      <w:rFonts w:ascii="宋体" w:hAnsi="Times New Roman" w:eastAsia="宋体" w:cs="Times New Roman"/>
      <w:b/>
      <w:spacing w:val="20"/>
      <w:w w:val="135"/>
      <w:sz w:val="36"/>
      <w:lang w:val="en-US" w:eastAsia="zh-CN" w:bidi="ar-SA"/>
    </w:rPr>
  </w:style>
  <w:style w:type="paragraph" w:customStyle="1" w:styleId="164">
    <w:name w:val="样式1"/>
    <w:basedOn w:val="5"/>
    <w:qFormat/>
    <w:uiPriority w:val="0"/>
    <w:pPr>
      <w:tabs>
        <w:tab w:val="left" w:pos="360"/>
      </w:tabs>
    </w:pPr>
    <w:rPr>
      <w:rFonts w:hAnsi="宋体"/>
      <w:bCs w:val="0"/>
    </w:rPr>
  </w:style>
  <w:style w:type="paragraph" w:customStyle="1" w:styleId="165">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66">
    <w:name w:val="注："/>
    <w:next w:val="84"/>
    <w:qFormat/>
    <w:uiPriority w:val="0"/>
    <w:pPr>
      <w:widowControl w:val="0"/>
      <w:tabs>
        <w:tab w:val="left" w:pos="360"/>
      </w:tabs>
      <w:autoSpaceDE w:val="0"/>
      <w:autoSpaceDN w:val="0"/>
      <w:jc w:val="both"/>
    </w:pPr>
    <w:rPr>
      <w:rFonts w:ascii="宋体" w:hAnsi="Times New Roman" w:eastAsia="宋体" w:cs="Times New Roman"/>
      <w:sz w:val="18"/>
      <w:lang w:val="en-US" w:eastAsia="zh-CN" w:bidi="ar-SA"/>
    </w:rPr>
  </w:style>
  <w:style w:type="paragraph" w:customStyle="1" w:styleId="167">
    <w:name w:val="表格内容靠左粗体_制度头表格"/>
    <w:basedOn w:val="168"/>
    <w:qFormat/>
    <w:uiPriority w:val="0"/>
    <w:pPr>
      <w:jc w:val="both"/>
    </w:pPr>
    <w:rPr>
      <w:b/>
      <w:bCs/>
      <w:sz w:val="21"/>
    </w:rPr>
  </w:style>
  <w:style w:type="paragraph" w:customStyle="1" w:styleId="168">
    <w:name w:val="表格内容居中正常_制度头表格"/>
    <w:qFormat/>
    <w:uiPriority w:val="0"/>
    <w:pPr>
      <w:jc w:val="center"/>
    </w:pPr>
    <w:rPr>
      <w:rFonts w:ascii="Times New Roman" w:hAnsi="Times New Roman" w:eastAsia="宋体" w:cs="Times New Roman"/>
      <w:szCs w:val="21"/>
      <w:lang w:val="en-US" w:eastAsia="zh-CN" w:bidi="ar-SA"/>
    </w:rPr>
  </w:style>
  <w:style w:type="paragraph" w:customStyle="1" w:styleId="169">
    <w:name w:val="Char"/>
    <w:basedOn w:val="1"/>
    <w:qFormat/>
    <w:uiPriority w:val="0"/>
    <w:pPr>
      <w:spacing w:line="360" w:lineRule="auto"/>
    </w:pPr>
    <w:rPr>
      <w:rFonts w:ascii="Tahoma" w:hAnsi="Tahoma"/>
      <w:sz w:val="24"/>
      <w:szCs w:val="20"/>
    </w:rPr>
  </w:style>
  <w:style w:type="paragraph" w:customStyle="1" w:styleId="170">
    <w:name w:val="无标题条"/>
    <w:next w:val="84"/>
    <w:qFormat/>
    <w:uiPriority w:val="0"/>
    <w:pPr>
      <w:jc w:val="both"/>
    </w:pPr>
    <w:rPr>
      <w:rFonts w:ascii="Times New Roman" w:hAnsi="Times New Roman" w:eastAsia="宋体" w:cs="Times New Roman"/>
      <w:sz w:val="21"/>
      <w:lang w:val="en-US" w:eastAsia="zh-CN" w:bidi="ar-SA"/>
    </w:rPr>
  </w:style>
  <w:style w:type="paragraph" w:customStyle="1" w:styleId="171">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172">
    <w:name w:val="样式 标题 5 + 右侧:  1 字符"/>
    <w:basedOn w:val="6"/>
    <w:qFormat/>
    <w:uiPriority w:val="0"/>
    <w:pPr>
      <w:ind w:right="210"/>
    </w:pPr>
    <w:rPr>
      <w:bCs w:val="0"/>
      <w:szCs w:val="20"/>
    </w:rPr>
  </w:style>
  <w:style w:type="paragraph" w:customStyle="1" w:styleId="173">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74">
    <w:name w:val="三级无标题条"/>
    <w:basedOn w:val="1"/>
    <w:qFormat/>
    <w:uiPriority w:val="0"/>
    <w:pPr>
      <w:numPr>
        <w:ilvl w:val="4"/>
        <w:numId w:val="4"/>
      </w:numPr>
    </w:pPr>
  </w:style>
  <w:style w:type="paragraph" w:customStyle="1" w:styleId="175">
    <w:name w:val="二级无标题条"/>
    <w:basedOn w:val="1"/>
    <w:qFormat/>
    <w:uiPriority w:val="0"/>
    <w:pPr>
      <w:numPr>
        <w:ilvl w:val="3"/>
        <w:numId w:val="4"/>
      </w:numPr>
    </w:pPr>
  </w:style>
  <w:style w:type="paragraph" w:customStyle="1" w:styleId="176">
    <w:name w:val="正文图标题"/>
    <w:next w:val="84"/>
    <w:qFormat/>
    <w:uiPriority w:val="0"/>
    <w:pPr>
      <w:numPr>
        <w:ilvl w:val="0"/>
        <w:numId w:val="9"/>
      </w:numPr>
      <w:tabs>
        <w:tab w:val="left" w:pos="360"/>
      </w:tabs>
      <w:jc w:val="center"/>
    </w:pPr>
    <w:rPr>
      <w:rFonts w:ascii="黑体" w:hAnsi="Times New Roman" w:eastAsia="黑体" w:cs="Times New Roman"/>
      <w:sz w:val="21"/>
      <w:lang w:val="en-US" w:eastAsia="zh-CN" w:bidi="ar-SA"/>
    </w:rPr>
  </w:style>
  <w:style w:type="paragraph" w:customStyle="1" w:styleId="177">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78">
    <w:name w:val="Char Char1 Char"/>
    <w:basedOn w:val="1"/>
    <w:qFormat/>
    <w:uiPriority w:val="0"/>
  </w:style>
  <w:style w:type="paragraph" w:customStyle="1" w:styleId="179">
    <w:name w:val="参考文献、索引标题"/>
    <w:basedOn w:val="1"/>
    <w:next w:val="1"/>
    <w:qFormat/>
    <w:uiPriority w:val="0"/>
    <w:pPr>
      <w:widowControl/>
      <w:shd w:val="clear" w:color="FFFFFF" w:fill="FFFFFF"/>
      <w:spacing w:before="640" w:after="200"/>
      <w:jc w:val="center"/>
      <w:outlineLvl w:val="0"/>
    </w:pPr>
    <w:rPr>
      <w:rFonts w:ascii="黑体" w:eastAsia="黑体"/>
      <w:kern w:val="0"/>
      <w:szCs w:val="20"/>
    </w:rPr>
  </w:style>
  <w:style w:type="paragraph" w:customStyle="1" w:styleId="180">
    <w:name w:val="目次、标准名称标题"/>
    <w:basedOn w:val="155"/>
    <w:next w:val="84"/>
    <w:qFormat/>
    <w:uiPriority w:val="0"/>
    <w:pPr>
      <w:tabs>
        <w:tab w:val="left" w:pos="1140"/>
      </w:tabs>
      <w:spacing w:line="460" w:lineRule="exact"/>
      <w:ind w:left="0" w:firstLine="0"/>
    </w:pPr>
  </w:style>
  <w:style w:type="paragraph" w:customStyle="1" w:styleId="181">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182">
    <w:name w:val="四级无标题条"/>
    <w:basedOn w:val="1"/>
    <w:qFormat/>
    <w:uiPriority w:val="0"/>
    <w:pPr>
      <w:numPr>
        <w:ilvl w:val="5"/>
        <w:numId w:val="4"/>
      </w:numPr>
    </w:pPr>
  </w:style>
  <w:style w:type="paragraph" w:customStyle="1" w:styleId="183">
    <w:name w:val="yq标题2"/>
    <w:basedOn w:val="3"/>
    <w:qFormat/>
    <w:uiPriority w:val="0"/>
    <w:pPr>
      <w:numPr>
        <w:numId w:val="10"/>
      </w:numPr>
      <w:ind w:hangingChars="270"/>
    </w:pPr>
  </w:style>
  <w:style w:type="character" w:customStyle="1" w:styleId="184">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9"/>
    <customShpInfo spid="_x0000_s2052"/>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C37277C-3F9E-4A94-9456-51D2AE3CE5A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Pages>
  <Words>3863</Words>
  <Characters>4486</Characters>
  <Lines>39</Lines>
  <Paragraphs>11</Paragraphs>
  <TotalTime>0</TotalTime>
  <ScaleCrop>false</ScaleCrop>
  <LinksUpToDate>false</LinksUpToDate>
  <CharactersWithSpaces>4624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2023-08-15T04:53:00Z</dcterms:created>
  <dc:creator>微软中国</dc:creator>
  <cp:lastModifiedBy>王立嘉</cp:lastModifiedBy>
  <cp:lastPrinted>2011-11-02T07:43:00Z</cp:lastPrinted>
  <dcterms:modified xsi:type="dcterms:W3CDTF">2025-08-22T09:15:49Z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22A954FE201B4E3F9429A5BF62A686B8</vt:lpwstr>
  </property>
  <property fmtid="{D5CDD505-2E9C-101B-9397-08002B2CF9AE}" pid="4" name="KSOTemplateDocerSaveRecord">
    <vt:lpwstr>eyJoZGlkIjoiZmU1YmE3OWQ2ZDA1MjY5NjA2YzEwODMwNzY4MzZhYmMiLCJ1c2VySWQiOiI4NzA3MzY0NjQifQ==</vt:lpwstr>
  </property>
</Properties>
</file>