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70" w:lineRule="exact"/>
        <w:jc w:val="center"/>
        <w:rPr>
          <w:rFonts w:hint="eastAsia" w:ascii="华文细黑" w:hAnsi="华文细黑" w:eastAsia="华文细黑"/>
          <w:b/>
          <w:bCs/>
          <w:sz w:val="32"/>
          <w:szCs w:val="32"/>
        </w:rPr>
      </w:pPr>
      <w:r>
        <w:rPr>
          <w:rFonts w:hint="eastAsia" w:ascii="华文细黑" w:hAnsi="华文细黑" w:eastAsia="华文细黑"/>
          <w:b/>
          <w:bCs/>
          <w:sz w:val="32"/>
          <w:szCs w:val="32"/>
        </w:rPr>
        <w:t xml:space="preserve">官方解读版本 </w:t>
      </w:r>
      <w:r>
        <w:rPr>
          <w:rFonts w:ascii="华文细黑" w:hAnsi="华文细黑" w:eastAsia="华文细黑"/>
          <w:b/>
          <w:bCs/>
          <w:sz w:val="32"/>
          <w:szCs w:val="32"/>
        </w:rPr>
        <w:t xml:space="preserve"> </w:t>
      </w:r>
      <w:r>
        <w:rPr>
          <w:rFonts w:hint="eastAsia" w:ascii="华文细黑" w:hAnsi="华文细黑" w:eastAsia="华文细黑"/>
          <w:b/>
          <w:bCs/>
          <w:sz w:val="32"/>
          <w:szCs w:val="32"/>
        </w:rPr>
        <w:t>权威准确实用</w:t>
      </w:r>
    </w:p>
    <w:p>
      <w:pPr>
        <w:spacing w:line="470" w:lineRule="exact"/>
        <w:jc w:val="center"/>
        <w:rPr>
          <w:rFonts w:hint="eastAsia" w:ascii="华文细黑" w:hAnsi="华文细黑" w:eastAsia="华文细黑"/>
          <w:b/>
          <w:bCs/>
          <w:sz w:val="32"/>
          <w:szCs w:val="32"/>
        </w:rPr>
      </w:pPr>
    </w:p>
    <w:p>
      <w:pPr>
        <w:jc w:val="center"/>
        <w:rPr>
          <w:rFonts w:hint="eastAsia" w:ascii="方正小标宋简体" w:hAnsi="方正小标宋简体" w:eastAsia="方正小标宋简体"/>
          <w:b/>
          <w:sz w:val="52"/>
          <w:szCs w:val="52"/>
        </w:rPr>
      </w:pPr>
      <w:bookmarkStart w:id="0" w:name="_Hlk57475296"/>
      <w:r>
        <w:rPr>
          <w:rFonts w:hint="eastAsia" w:ascii="方正小标宋简体" w:hAnsi="方正小标宋简体" w:eastAsia="方正小标宋简体"/>
          <w:b/>
          <w:sz w:val="52"/>
          <w:szCs w:val="52"/>
        </w:rPr>
        <w:t>反洗钱法学习宣贯系列</w:t>
      </w:r>
      <w:bookmarkEnd w:id="0"/>
      <w:r>
        <w:rPr>
          <w:rFonts w:hint="eastAsia" w:ascii="方正小标宋简体" w:hAnsi="方正小标宋简体" w:eastAsia="方正小标宋简体"/>
          <w:b/>
          <w:sz w:val="52"/>
          <w:szCs w:val="52"/>
        </w:rPr>
        <w:t>参考资料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2024年11月8日，十四届全国人大常委会第十二次会议修订通过了反洗钱法</w:t>
      </w:r>
      <w:r>
        <w:rPr>
          <w:rFonts w:hint="eastAsia"/>
          <w:sz w:val="24"/>
          <w:szCs w:val="24"/>
        </w:rPr>
        <w:t>，并</w:t>
      </w:r>
      <w:r>
        <w:rPr>
          <w:rFonts w:hint="eastAsia" w:ascii="宋体" w:hAnsi="宋体"/>
          <w:sz w:val="24"/>
          <w:szCs w:val="24"/>
        </w:rPr>
        <w:t>于2025年1月1日正</w:t>
      </w:r>
      <w:r>
        <w:rPr>
          <w:rFonts w:hint="eastAsia"/>
          <w:sz w:val="24"/>
          <w:szCs w:val="24"/>
        </w:rPr>
        <w:t>式施行。党中央高度重视反洗钱和金融法治建设工作。党的二十大报告指出，要加强和完善现代金融监管，守住不发生系统性风险底线，强化经济、金融等安全保障体系建设。习近平总书记强调，要及时推进金融重点领域和新兴领域立法，抓紧修订反洗钱法等法律，使所有资金流动都置于金融监管机构的监督视野之内。新修订的反洗钱法坚持问题导向，系统完善反洗钱制度措施，平衡反洗钱工作与保障个人和组织合法权益的关系，有利于提高反洗钱工作的法治化水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为了配合对新修订的</w:t>
      </w:r>
      <w:bookmarkStart w:id="1" w:name="_Hlk184320777"/>
      <w:r>
        <w:rPr>
          <w:rFonts w:hint="eastAsia"/>
          <w:sz w:val="24"/>
          <w:szCs w:val="24"/>
        </w:rPr>
        <w:t>反洗钱法</w:t>
      </w:r>
      <w:bookmarkEnd w:id="1"/>
      <w:r>
        <w:rPr>
          <w:rFonts w:hint="eastAsia"/>
          <w:sz w:val="24"/>
          <w:szCs w:val="24"/>
        </w:rPr>
        <w:t>的学习、宣传，帮助广大读者准确理解法律规定，保证法律顺利贯彻落实，</w:t>
      </w:r>
      <w:r>
        <w:rPr>
          <w:rFonts w:hint="eastAsia"/>
          <w:b/>
          <w:bCs/>
          <w:sz w:val="24"/>
          <w:szCs w:val="24"/>
        </w:rPr>
        <w:t>全国人大常委会法工委、中国人民银行</w:t>
      </w:r>
      <w:r>
        <w:rPr>
          <w:rFonts w:hint="eastAsia"/>
          <w:sz w:val="24"/>
          <w:szCs w:val="24"/>
        </w:rPr>
        <w:t>参与立法工作的同志共同编写了反洗钱法学习宣贯系列参考资料。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方正小标宋简体" w:hAnsi="仿宋" w:eastAsia="方正小标宋简体"/>
          <w:bCs/>
          <w:sz w:val="24"/>
          <w:szCs w:val="24"/>
        </w:rPr>
      </w:pPr>
      <w:r>
        <w:rPr>
          <w:rFonts w:hint="eastAsia" w:ascii="方正小标宋简体" w:hAnsi="仿宋" w:eastAsia="方正小标宋简体"/>
          <w:bCs/>
          <w:sz w:val="24"/>
          <w:szCs w:val="24"/>
        </w:rPr>
        <w:t>一、</w:t>
      </w:r>
      <w:bookmarkStart w:id="2" w:name="_Hlk74164229"/>
      <w:r>
        <w:rPr>
          <w:rFonts w:hint="eastAsia" w:ascii="方正小标宋简体" w:hAnsi="仿宋" w:eastAsia="方正小标宋简体"/>
          <w:bCs/>
          <w:sz w:val="24"/>
          <w:szCs w:val="24"/>
        </w:rPr>
        <w:t>《中华人民共和国反洗钱法》</w:t>
      </w:r>
      <w:bookmarkEnd w:id="2"/>
      <w:r>
        <w:rPr>
          <w:rFonts w:hint="eastAsia" w:ascii="方正小标宋简体" w:hAnsi="仿宋" w:eastAsia="方正小标宋简体"/>
          <w:bCs/>
          <w:sz w:val="24"/>
          <w:szCs w:val="24"/>
        </w:rPr>
        <w:t>释义与适用（图书，88元/册）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/>
          <w:kern w:val="0"/>
          <w:sz w:val="24"/>
          <w:szCs w:val="24"/>
        </w:rPr>
      </w:pPr>
      <w:r>
        <w:rPr>
          <w:rFonts w:hint="eastAsia" w:ascii="仿宋" w:hAnsi="仿宋" w:eastAsia="仿宋"/>
          <w:kern w:val="0"/>
          <w:sz w:val="24"/>
          <w:szCs w:val="24"/>
        </w:rPr>
        <w:t>本书分为导读、释义和附录三大部分，对相关规定的条文主旨、立法背景、法律内涵、实践中应注意的问题等作了详细阐释，力求准确、简要、通俗易懂地阐释法律的精神和内容，是学习和贯彻反洗钱法的最佳参考读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方正小标宋简体" w:hAnsi="仿宋" w:eastAsia="方正小标宋简体"/>
          <w:bCs/>
          <w:sz w:val="24"/>
          <w:szCs w:val="24"/>
        </w:rPr>
      </w:pPr>
      <w:r>
        <w:rPr>
          <w:rFonts w:hint="eastAsia" w:ascii="方正小标宋简体" w:hAnsi="仿宋" w:eastAsia="方正小标宋简体"/>
          <w:bCs/>
          <w:sz w:val="24"/>
          <w:szCs w:val="24"/>
        </w:rPr>
        <w:t>二、《中华人民共和国反洗钱法》宣传挂图（全套</w:t>
      </w:r>
      <w:r>
        <w:rPr>
          <w:rFonts w:hint="eastAsia" w:ascii="方正小标宋简体" w:hAnsi="仿宋" w:eastAsia="方正小标宋简体"/>
          <w:bCs/>
          <w:sz w:val="24"/>
          <w:szCs w:val="24"/>
          <w:lang w:val="en-US" w:eastAsia="zh-CN"/>
        </w:rPr>
        <w:t>八</w:t>
      </w:r>
      <w:r>
        <w:rPr>
          <w:rFonts w:hint="eastAsia" w:ascii="方正小标宋简体" w:hAnsi="仿宋" w:eastAsia="方正小标宋简体"/>
          <w:bCs/>
          <w:sz w:val="24"/>
          <w:szCs w:val="24"/>
        </w:rPr>
        <w:t>幅，98元/套）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/>
          <w:bCs/>
          <w:sz w:val="24"/>
          <w:szCs w:val="24"/>
        </w:rPr>
      </w:pPr>
      <w:r>
        <w:rPr>
          <w:rFonts w:hint="eastAsia" w:ascii="仿宋" w:hAnsi="仿宋" w:eastAsia="仿宋"/>
          <w:bCs/>
          <w:sz w:val="24"/>
          <w:szCs w:val="24"/>
        </w:rPr>
        <w:t>宣传挂图以广大读者喜闻乐见的漫画形式和通俗易懂的语言，阐释了反洗钱法的核心内容，有助于迅速理解这部法律的立法精神。宣传挂图张贴于宣传栏和群众聚集等场所，清晰醒目，能够起到良好的普法宣传效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方正小标宋简体" w:hAnsi="仿宋" w:eastAsia="方正小标宋简体"/>
          <w:bCs/>
          <w:sz w:val="24"/>
          <w:szCs w:val="24"/>
        </w:rPr>
      </w:pPr>
      <w:r>
        <w:rPr>
          <w:rFonts w:hint="eastAsia" w:ascii="方正小标宋简体" w:hAnsi="仿宋" w:eastAsia="方正小标宋简体"/>
          <w:bCs/>
          <w:sz w:val="24"/>
          <w:szCs w:val="24"/>
        </w:rPr>
        <w:t>三、《中华人民共和国</w:t>
      </w:r>
      <w:bookmarkStart w:id="3" w:name="_Hlk184321425"/>
      <w:r>
        <w:rPr>
          <w:rFonts w:hint="eastAsia" w:ascii="方正小标宋简体" w:hAnsi="仿宋" w:eastAsia="方正小标宋简体"/>
          <w:bCs/>
          <w:sz w:val="24"/>
          <w:szCs w:val="24"/>
        </w:rPr>
        <w:t>反洗钱法</w:t>
      </w:r>
      <w:bookmarkEnd w:id="3"/>
      <w:r>
        <w:rPr>
          <w:rFonts w:hint="eastAsia" w:ascii="方正小标宋简体" w:hAnsi="仿宋" w:eastAsia="方正小标宋简体"/>
          <w:bCs/>
          <w:sz w:val="24"/>
          <w:szCs w:val="24"/>
        </w:rPr>
        <w:t>》宣传图册（折页，1.5元/份）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/>
          <w:bCs/>
          <w:sz w:val="24"/>
          <w:szCs w:val="24"/>
        </w:rPr>
      </w:pPr>
      <w:r>
        <w:rPr>
          <w:rFonts w:hint="eastAsia" w:ascii="仿宋" w:hAnsi="仿宋" w:eastAsia="仿宋"/>
          <w:bCs/>
          <w:sz w:val="24"/>
          <w:szCs w:val="24"/>
        </w:rPr>
        <w:t>法律的生命在于实施，普法宣传是推动法律有效实施的“最后一公里”，有鉴于此，宣传图册以折页方式向社会公众宣传反洗钱法的主要内容。折页便于发放和阅读，能够实现普法宣传效果的最大化。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/>
          <w:bCs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/>
          <w:bCs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ascii="华文中宋" w:hAnsi="华文中宋" w:eastAsia="华文中宋" w:cs="方正大标宋_GBK"/>
          <w:b/>
          <w:sz w:val="44"/>
          <w:szCs w:val="44"/>
        </w:rPr>
      </w:pPr>
      <w:r>
        <w:rPr>
          <w:rFonts w:hint="eastAsia" w:ascii="华文中宋" w:hAnsi="华文中宋" w:eastAsia="华文中宋" w:cs="方正大标宋_GBK"/>
          <w:b/>
          <w:sz w:val="44"/>
          <w:szCs w:val="44"/>
        </w:rPr>
        <w:t>订购回执单</w:t>
      </w:r>
    </w:p>
    <w:tbl>
      <w:tblPr>
        <w:tblStyle w:val="2"/>
        <w:tblpPr w:leftFromText="180" w:rightFromText="180" w:vertAnchor="text" w:horzAnchor="page" w:tblpXSpec="center" w:tblpY="28"/>
        <w:tblOverlap w:val="never"/>
        <w:tblW w:w="1036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91"/>
        <w:gridCol w:w="251"/>
        <w:gridCol w:w="1629"/>
        <w:gridCol w:w="1755"/>
        <w:gridCol w:w="1472"/>
        <w:gridCol w:w="152"/>
        <w:gridCol w:w="598"/>
        <w:gridCol w:w="1018"/>
        <w:gridCol w:w="13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0366" w:type="dxa"/>
            <w:gridSpan w:val="9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ind w:firstLine="480" w:firstLineChars="200"/>
              <w:jc w:val="left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shd w:val="clear" w:color="auto" w:fill="FFFFFF"/>
              </w:rPr>
              <w:t>请将所需的书籍及册数填写在《订购回执单》上，并传真或发送电子邮件至我社，可书到后再汇款（发票抬头填写“订购单位”栏，名称须准确）！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21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订购单位</w:t>
            </w:r>
          </w:p>
        </w:tc>
        <w:tc>
          <w:tcPr>
            <w:tcW w:w="3635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624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联系人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姓名、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手机</w:t>
            </w:r>
          </w:p>
        </w:tc>
        <w:tc>
          <w:tcPr>
            <w:tcW w:w="2916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  <w:jc w:val="center"/>
        </w:trPr>
        <w:tc>
          <w:tcPr>
            <w:tcW w:w="21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统一社会信用代码（纳税人识别号）</w:t>
            </w:r>
          </w:p>
        </w:tc>
        <w:tc>
          <w:tcPr>
            <w:tcW w:w="3635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</w:p>
        </w:tc>
        <w:tc>
          <w:tcPr>
            <w:tcW w:w="1624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left"/>
              <w:textAlignment w:val="auto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电子邮箱（接收电子发票）</w:t>
            </w:r>
          </w:p>
        </w:tc>
        <w:tc>
          <w:tcPr>
            <w:tcW w:w="2916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  <w:jc w:val="center"/>
        </w:trPr>
        <w:tc>
          <w:tcPr>
            <w:tcW w:w="21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详细地址</w:t>
            </w:r>
          </w:p>
        </w:tc>
        <w:tc>
          <w:tcPr>
            <w:tcW w:w="8175" w:type="dxa"/>
            <w:gridSpan w:val="8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ind w:firstLine="480" w:firstLineChars="200"/>
              <w:jc w:val="left"/>
              <w:textAlignment w:val="auto"/>
              <w:rPr>
                <w:rFonts w:hint="eastAsia" w:ascii="黑体" w:hAnsi="黑体" w:eastAsia="黑体" w:cs="黑体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u w:val="none"/>
                <w:lang w:eastAsia="zh-CN"/>
              </w:rPr>
              <w:t>省</w:t>
            </w:r>
            <w:r>
              <w:rPr>
                <w:rFonts w:hint="eastAsia" w:ascii="黑体" w:hAnsi="黑体" w:eastAsia="黑体" w:cs="黑体"/>
                <w:sz w:val="24"/>
                <w:szCs w:val="24"/>
                <w:u w:val="none"/>
                <w:lang w:val="en-US" w:eastAsia="zh-CN"/>
              </w:rPr>
              <w:t xml:space="preserve">      市（州）     区（县）      街道               （路号）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71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书名</w:t>
            </w:r>
          </w:p>
        </w:tc>
        <w:tc>
          <w:tcPr>
            <w:tcW w:w="322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default" w:ascii="宋体" w:hAnsi="宋体" w:eastAsia="宋体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szCs w:val="24"/>
                <w:lang w:eastAsia="zh-CN"/>
              </w:rPr>
              <w:t>作者</w:t>
            </w:r>
            <w:r>
              <w:rPr>
                <w:rFonts w:hint="eastAsia" w:ascii="宋体" w:hAnsi="宋体"/>
                <w:b/>
                <w:sz w:val="24"/>
                <w:szCs w:val="24"/>
                <w:lang w:val="en-US" w:eastAsia="zh-CN"/>
              </w:rPr>
              <w:t>单位</w:t>
            </w:r>
          </w:p>
        </w:tc>
        <w:tc>
          <w:tcPr>
            <w:tcW w:w="75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eastAsia" w:ascii="宋体" w:hAnsi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定价(元)</w:t>
            </w:r>
          </w:p>
        </w:tc>
        <w:tc>
          <w:tcPr>
            <w:tcW w:w="101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订数（册）</w:t>
            </w:r>
          </w:p>
        </w:tc>
        <w:tc>
          <w:tcPr>
            <w:tcW w:w="13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金额（元）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71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tabs>
                <w:tab w:val="left" w:pos="1306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4"/>
              </w:rPr>
              <w:t>《中华人民共和国反洗钱法》</w:t>
            </w:r>
          </w:p>
          <w:p>
            <w:pPr>
              <w:keepNext w:val="0"/>
              <w:keepLines w:val="0"/>
              <w:pageBreakBefore w:val="0"/>
              <w:tabs>
                <w:tab w:val="left" w:pos="1306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4"/>
              </w:rPr>
              <w:t>释义与适用</w:t>
            </w:r>
          </w:p>
        </w:tc>
        <w:tc>
          <w:tcPr>
            <w:tcW w:w="322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Style w:val="12"/>
                <w:rFonts w:hint="eastAsia" w:ascii="黑体" w:hAnsi="黑体" w:eastAsia="黑体" w:cs="黑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Style w:val="12"/>
                <w:rFonts w:hint="eastAsia" w:ascii="黑体" w:hAnsi="黑体" w:eastAsia="黑体" w:cs="黑体"/>
                <w:b w:val="0"/>
                <w:bCs/>
                <w:sz w:val="24"/>
                <w:szCs w:val="24"/>
                <w:lang w:val="en-US" w:eastAsia="zh-CN"/>
              </w:rPr>
              <w:t>全国人大常委会法工委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Style w:val="12"/>
                <w:rFonts w:hint="eastAsia" w:ascii="黑体" w:hAnsi="黑体" w:eastAsia="黑体" w:cs="黑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Style w:val="12"/>
                <w:rFonts w:hint="eastAsia" w:ascii="黑体" w:hAnsi="黑体" w:eastAsia="黑体" w:cs="黑体"/>
                <w:b w:val="0"/>
                <w:bCs/>
                <w:sz w:val="24"/>
                <w:szCs w:val="24"/>
                <w:lang w:val="en-US" w:eastAsia="zh-CN"/>
              </w:rPr>
              <w:t>中国人民银行</w:t>
            </w:r>
          </w:p>
        </w:tc>
        <w:tc>
          <w:tcPr>
            <w:tcW w:w="75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4"/>
                <w:shd w:val="clear" w:color="auto" w:fill="FFFFFF"/>
                <w:lang w:val="en-US" w:eastAsia="zh-CN"/>
              </w:rPr>
              <w:t>88</w:t>
            </w:r>
          </w:p>
        </w:tc>
        <w:tc>
          <w:tcPr>
            <w:tcW w:w="101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13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default" w:ascii="宋体" w:hAnsi="宋体" w:eastAsia="宋体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71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tabs>
                <w:tab w:val="left" w:pos="1306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4"/>
              </w:rPr>
              <w:t>《中华人民共和国反洗钱法》</w:t>
            </w:r>
          </w:p>
          <w:p>
            <w:pPr>
              <w:keepNext w:val="0"/>
              <w:keepLines w:val="0"/>
              <w:pageBreakBefore w:val="0"/>
              <w:tabs>
                <w:tab w:val="left" w:pos="1306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4"/>
              </w:rPr>
              <w:t>宣传挂图</w:t>
            </w:r>
          </w:p>
        </w:tc>
        <w:tc>
          <w:tcPr>
            <w:tcW w:w="322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Style w:val="12"/>
                <w:rFonts w:hint="eastAsia" w:ascii="黑体" w:hAnsi="黑体" w:eastAsia="黑体" w:cs="黑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Style w:val="12"/>
                <w:rFonts w:hint="eastAsia" w:ascii="黑体" w:hAnsi="黑体" w:eastAsia="黑体" w:cs="黑体"/>
                <w:b w:val="0"/>
                <w:bCs/>
                <w:sz w:val="24"/>
                <w:szCs w:val="24"/>
                <w:lang w:val="en-US" w:eastAsia="zh-CN"/>
              </w:rPr>
              <w:t>全国人大常委会法工委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Style w:val="12"/>
                <w:rFonts w:hint="eastAsia" w:ascii="黑体" w:hAnsi="黑体" w:eastAsia="黑体" w:cs="黑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Style w:val="12"/>
                <w:rFonts w:hint="eastAsia" w:ascii="黑体" w:hAnsi="黑体" w:eastAsia="黑体" w:cs="黑体"/>
                <w:b w:val="0"/>
                <w:bCs/>
                <w:sz w:val="24"/>
                <w:szCs w:val="24"/>
                <w:lang w:val="en-US" w:eastAsia="zh-CN"/>
              </w:rPr>
              <w:t>中国人民银行</w:t>
            </w:r>
          </w:p>
        </w:tc>
        <w:tc>
          <w:tcPr>
            <w:tcW w:w="75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4"/>
                <w:shd w:val="clear" w:color="auto" w:fill="FFFFFF"/>
                <w:lang w:val="en-US" w:eastAsia="zh-CN"/>
              </w:rPr>
              <w:t>98</w:t>
            </w:r>
          </w:p>
        </w:tc>
        <w:tc>
          <w:tcPr>
            <w:tcW w:w="101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13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default" w:ascii="宋体" w:hAnsi="宋体" w:eastAsia="宋体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71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tabs>
                <w:tab w:val="left" w:pos="1306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4"/>
              </w:rPr>
              <w:t>《中华人民共和国</w:t>
            </w: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4"/>
                <w:lang w:val="en-US" w:eastAsia="zh-CN"/>
              </w:rPr>
              <w:t>反洗钱</w:t>
            </w: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4"/>
              </w:rPr>
              <w:t>法》</w:t>
            </w:r>
          </w:p>
          <w:p>
            <w:pPr>
              <w:keepNext w:val="0"/>
              <w:keepLines w:val="0"/>
              <w:pageBreakBefore w:val="0"/>
              <w:tabs>
                <w:tab w:val="left" w:pos="1306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4"/>
                <w:lang w:val="en-US" w:eastAsia="zh-CN"/>
              </w:rPr>
              <w:t>宣传折页</w:t>
            </w:r>
          </w:p>
        </w:tc>
        <w:tc>
          <w:tcPr>
            <w:tcW w:w="322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Style w:val="12"/>
                <w:rFonts w:hint="eastAsia" w:ascii="黑体" w:hAnsi="黑体" w:eastAsia="黑体" w:cs="黑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Style w:val="12"/>
                <w:rFonts w:hint="eastAsia" w:ascii="黑体" w:hAnsi="黑体" w:eastAsia="黑体" w:cs="黑体"/>
                <w:b w:val="0"/>
                <w:bCs/>
                <w:sz w:val="24"/>
                <w:szCs w:val="24"/>
                <w:lang w:val="en-US" w:eastAsia="zh-CN"/>
              </w:rPr>
              <w:t>全国人大常委会法工委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Style w:val="12"/>
                <w:rFonts w:hint="eastAsia" w:ascii="黑体" w:hAnsi="黑体" w:eastAsia="黑体" w:cs="黑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Style w:val="12"/>
                <w:rFonts w:hint="eastAsia" w:ascii="黑体" w:hAnsi="黑体" w:eastAsia="黑体" w:cs="黑体"/>
                <w:b w:val="0"/>
                <w:bCs/>
                <w:sz w:val="24"/>
                <w:szCs w:val="24"/>
                <w:lang w:val="en-US" w:eastAsia="zh-CN"/>
              </w:rPr>
              <w:t>中国人民银行</w:t>
            </w:r>
          </w:p>
        </w:tc>
        <w:tc>
          <w:tcPr>
            <w:tcW w:w="75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4"/>
                <w:shd w:val="clear" w:color="auto" w:fill="FFFFFF"/>
                <w:lang w:val="en-US" w:eastAsia="zh-CN"/>
              </w:rPr>
              <w:t>1.5</w:t>
            </w:r>
          </w:p>
        </w:tc>
        <w:tc>
          <w:tcPr>
            <w:tcW w:w="101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13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default" w:ascii="宋体" w:hAnsi="宋体" w:eastAsia="宋体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71" w:type="dxa"/>
            <w:gridSpan w:val="3"/>
            <w:shd w:val="clear" w:color="auto" w:fill="auto"/>
            <w:noWrap w:val="0"/>
            <w:vAlign w:val="center"/>
          </w:tcPr>
          <w:p>
            <w:pPr>
              <w:pStyle w:val="13"/>
              <w:spacing w:before="196" w:line="219" w:lineRule="auto"/>
              <w:jc w:val="center"/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《中华人民共和国反电信网络诈骗法》释义与适用</w:t>
            </w:r>
          </w:p>
        </w:tc>
        <w:tc>
          <w:tcPr>
            <w:tcW w:w="3227" w:type="dxa"/>
            <w:gridSpan w:val="2"/>
            <w:shd w:val="clear" w:color="auto" w:fill="auto"/>
            <w:noWrap w:val="0"/>
            <w:vAlign w:val="center"/>
          </w:tcPr>
          <w:p>
            <w:pPr>
              <w:pStyle w:val="13"/>
              <w:spacing w:before="24" w:line="225" w:lineRule="auto"/>
              <w:ind w:right="188" w:rightChars="0"/>
              <w:jc w:val="center"/>
              <w:rPr>
                <w:rFonts w:hint="eastAsia" w:ascii="仿宋" w:hAnsi="仿宋" w:eastAsia="仿宋" w:cs="仿宋"/>
                <w:spacing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全国人大常委会法工委、公安部、工业和信息化部、中国人民银行</w:t>
            </w:r>
          </w:p>
        </w:tc>
        <w:tc>
          <w:tcPr>
            <w:tcW w:w="750" w:type="dxa"/>
            <w:gridSpan w:val="2"/>
            <w:shd w:val="clear" w:color="auto" w:fill="auto"/>
            <w:noWrap w:val="0"/>
            <w:vAlign w:val="center"/>
          </w:tcPr>
          <w:p>
            <w:pPr>
              <w:pStyle w:val="13"/>
              <w:spacing w:before="257" w:line="183" w:lineRule="auto"/>
              <w:jc w:val="center"/>
              <w:rPr>
                <w:rFonts w:hint="default" w:ascii="仿宋" w:hAnsi="仿宋" w:eastAsia="仿宋" w:cs="仿宋"/>
                <w:spacing w:val="-3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3"/>
                <w:sz w:val="24"/>
                <w:szCs w:val="24"/>
                <w:lang w:val="en-US" w:eastAsia="zh-CN"/>
              </w:rPr>
              <w:t>68</w:t>
            </w:r>
          </w:p>
        </w:tc>
        <w:tc>
          <w:tcPr>
            <w:tcW w:w="101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13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default" w:ascii="宋体" w:hAnsi="宋体" w:eastAsia="宋体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71" w:type="dxa"/>
            <w:gridSpan w:val="3"/>
            <w:shd w:val="clear" w:color="auto" w:fill="auto"/>
            <w:noWrap w:val="0"/>
            <w:vAlign w:val="center"/>
          </w:tcPr>
          <w:p>
            <w:pPr>
              <w:tabs>
                <w:tab w:val="left" w:pos="1306"/>
              </w:tabs>
              <w:spacing w:line="240" w:lineRule="atLeast"/>
              <w:jc w:val="center"/>
              <w:rPr>
                <w:rFonts w:hint="eastAsia" w:ascii="仿宋" w:hAnsi="仿宋" w:eastAsia="仿宋" w:cs="仿宋"/>
                <w:bCs/>
                <w:kern w:val="2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《中华人民共和国刑法》释义与适用（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2024最新版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）</w:t>
            </w:r>
          </w:p>
        </w:tc>
        <w:tc>
          <w:tcPr>
            <w:tcW w:w="3227" w:type="dxa"/>
            <w:gridSpan w:val="2"/>
            <w:shd w:val="clear" w:color="auto" w:fill="auto"/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仿宋" w:hAnsi="仿宋" w:eastAsia="仿宋" w:cs="仿宋"/>
                <w:bCs/>
                <w:kern w:val="2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Style w:val="12"/>
                <w:rFonts w:hint="eastAsia" w:ascii="仿宋" w:hAnsi="仿宋" w:eastAsia="仿宋" w:cs="仿宋"/>
                <w:bCs/>
                <w:sz w:val="24"/>
                <w:szCs w:val="24"/>
              </w:rPr>
              <w:t>全国人大常委会法工委</w:t>
            </w:r>
          </w:p>
        </w:tc>
        <w:tc>
          <w:tcPr>
            <w:tcW w:w="750" w:type="dxa"/>
            <w:gridSpan w:val="2"/>
            <w:shd w:val="clear" w:color="auto" w:fill="auto"/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仿宋" w:hAnsi="仿宋" w:eastAsia="仿宋" w:cs="仿宋"/>
                <w:bCs/>
                <w:kern w:val="2"/>
                <w:sz w:val="24"/>
                <w:szCs w:val="24"/>
                <w:shd w:val="clear" w:color="auto" w:fill="FFFFFF"/>
                <w:lang w:val="en-US" w:eastAsia="zh-CN" w:bidi="ar-SA"/>
                <w14:ligatures w14:val="none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shd w:val="clear" w:color="auto" w:fill="FFFFFF"/>
              </w:rPr>
              <w:t>286</w:t>
            </w:r>
          </w:p>
        </w:tc>
        <w:tc>
          <w:tcPr>
            <w:tcW w:w="101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13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default" w:ascii="宋体" w:hAnsi="宋体" w:eastAsia="宋体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71" w:type="dxa"/>
            <w:gridSpan w:val="3"/>
            <w:shd w:val="clear" w:color="auto" w:fill="auto"/>
            <w:noWrap w:val="0"/>
            <w:vAlign w:val="center"/>
          </w:tcPr>
          <w:p>
            <w:pPr>
              <w:pStyle w:val="13"/>
              <w:spacing w:before="196" w:line="219" w:lineRule="auto"/>
              <w:jc w:val="center"/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《中华人民共和国反有组织犯罪法》释义与适用</w:t>
            </w: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ab/>
            </w:r>
          </w:p>
        </w:tc>
        <w:tc>
          <w:tcPr>
            <w:tcW w:w="3227" w:type="dxa"/>
            <w:gridSpan w:val="2"/>
            <w:shd w:val="clear" w:color="auto" w:fill="auto"/>
            <w:noWrap w:val="0"/>
            <w:vAlign w:val="center"/>
          </w:tcPr>
          <w:p>
            <w:pPr>
              <w:pStyle w:val="13"/>
              <w:spacing w:before="24" w:line="225" w:lineRule="auto"/>
              <w:ind w:right="188" w:rightChars="0"/>
              <w:jc w:val="center"/>
              <w:rPr>
                <w:rFonts w:hint="eastAsia" w:ascii="仿宋" w:hAnsi="仿宋" w:eastAsia="仿宋" w:cs="仿宋"/>
                <w:spacing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中央政法委、全国人大常委会法工委、公安部</w:t>
            </w:r>
          </w:p>
        </w:tc>
        <w:tc>
          <w:tcPr>
            <w:tcW w:w="750" w:type="dxa"/>
            <w:gridSpan w:val="2"/>
            <w:shd w:val="clear" w:color="auto" w:fill="auto"/>
            <w:noWrap w:val="0"/>
            <w:vAlign w:val="center"/>
          </w:tcPr>
          <w:p>
            <w:pPr>
              <w:pStyle w:val="13"/>
              <w:spacing w:before="257" w:line="183" w:lineRule="auto"/>
              <w:jc w:val="center"/>
              <w:rPr>
                <w:rFonts w:hint="default" w:ascii="仿宋" w:hAnsi="仿宋" w:eastAsia="仿宋" w:cs="仿宋"/>
                <w:spacing w:val="-3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3"/>
                <w:sz w:val="24"/>
                <w:szCs w:val="24"/>
                <w:lang w:val="en-US" w:eastAsia="zh-CN"/>
              </w:rPr>
              <w:t>68</w:t>
            </w:r>
          </w:p>
        </w:tc>
        <w:tc>
          <w:tcPr>
            <w:tcW w:w="101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13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default" w:ascii="宋体" w:hAnsi="宋体" w:eastAsia="宋体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71" w:type="dxa"/>
            <w:gridSpan w:val="3"/>
            <w:shd w:val="clear" w:color="auto" w:fill="auto"/>
            <w:noWrap w:val="0"/>
            <w:vAlign w:val="center"/>
          </w:tcPr>
          <w:p>
            <w:pPr>
              <w:pStyle w:val="13"/>
              <w:spacing w:before="196" w:line="219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en-US" w:bidi="ar-SA"/>
                <w14:ligatures w14:val="none"/>
              </w:rPr>
            </w:pP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《中华人民共和国行政</w:t>
            </w: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  <w:lang w:val="en-US" w:eastAsia="zh-CN"/>
              </w:rPr>
              <w:t>处罚</w:t>
            </w: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法》释义</w:t>
            </w:r>
          </w:p>
        </w:tc>
        <w:tc>
          <w:tcPr>
            <w:tcW w:w="3227" w:type="dxa"/>
            <w:gridSpan w:val="2"/>
            <w:shd w:val="clear" w:color="auto" w:fill="auto"/>
            <w:noWrap w:val="0"/>
            <w:vAlign w:val="center"/>
          </w:tcPr>
          <w:p>
            <w:pPr>
              <w:pStyle w:val="13"/>
              <w:spacing w:before="24" w:line="225" w:lineRule="auto"/>
              <w:ind w:right="188" w:rightChars="0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hint="eastAsia" w:ascii="仿宋" w:hAnsi="仿宋" w:eastAsia="仿宋" w:cs="仿宋"/>
                <w:spacing w:val="1"/>
                <w:sz w:val="24"/>
                <w:szCs w:val="24"/>
              </w:rPr>
              <w:t>全国人大常委会法工</w:t>
            </w:r>
            <w:r>
              <w:rPr>
                <w:rFonts w:hint="eastAsia" w:ascii="仿宋" w:hAnsi="仿宋" w:eastAsia="仿宋" w:cs="仿宋"/>
                <w:spacing w:val="2"/>
                <w:sz w:val="24"/>
                <w:szCs w:val="24"/>
              </w:rPr>
              <w:t>委</w:t>
            </w:r>
          </w:p>
        </w:tc>
        <w:tc>
          <w:tcPr>
            <w:tcW w:w="750" w:type="dxa"/>
            <w:gridSpan w:val="2"/>
            <w:shd w:val="clear" w:color="auto" w:fill="auto"/>
            <w:noWrap w:val="0"/>
            <w:vAlign w:val="center"/>
          </w:tcPr>
          <w:p>
            <w:pPr>
              <w:pStyle w:val="13"/>
              <w:spacing w:before="257" w:line="183" w:lineRule="auto"/>
              <w:jc w:val="center"/>
              <w:rPr>
                <w:rFonts w:hint="default" w:ascii="仿宋" w:hAnsi="仿宋" w:eastAsia="仿宋" w:cs="仿宋"/>
                <w:spacing w:val="-3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3"/>
                <w:sz w:val="24"/>
                <w:szCs w:val="24"/>
                <w:lang w:val="en-US" w:eastAsia="zh-CN"/>
              </w:rPr>
              <w:t>48</w:t>
            </w:r>
          </w:p>
        </w:tc>
        <w:tc>
          <w:tcPr>
            <w:tcW w:w="101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13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default" w:ascii="宋体" w:hAnsi="宋体" w:eastAsia="宋体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71" w:type="dxa"/>
            <w:gridSpan w:val="3"/>
            <w:shd w:val="clear" w:color="auto" w:fill="auto"/>
            <w:noWrap w:val="0"/>
            <w:vAlign w:val="center"/>
          </w:tcPr>
          <w:p>
            <w:pPr>
              <w:pStyle w:val="13"/>
              <w:spacing w:before="196" w:line="219" w:lineRule="auto"/>
              <w:jc w:val="center"/>
              <w:rPr>
                <w:rFonts w:hint="default" w:ascii="仿宋" w:hAnsi="仿宋" w:eastAsia="仿宋" w:cs="仿宋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《中华人民共和国行政</w:t>
            </w: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  <w:lang w:val="en-US" w:eastAsia="zh-CN"/>
              </w:rPr>
              <w:t>处罚</w:t>
            </w: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法》</w:t>
            </w: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  <w:lang w:val="en-US" w:eastAsia="zh-CN"/>
              </w:rPr>
              <w:t>实用问答</w:t>
            </w:r>
          </w:p>
        </w:tc>
        <w:tc>
          <w:tcPr>
            <w:tcW w:w="3227" w:type="dxa"/>
            <w:gridSpan w:val="2"/>
            <w:shd w:val="clear" w:color="auto" w:fill="auto"/>
            <w:noWrap w:val="0"/>
            <w:vAlign w:val="center"/>
          </w:tcPr>
          <w:p>
            <w:pPr>
              <w:pStyle w:val="13"/>
              <w:spacing w:before="24" w:line="225" w:lineRule="auto"/>
              <w:ind w:right="188" w:rightChars="0"/>
              <w:jc w:val="center"/>
              <w:rPr>
                <w:rFonts w:hint="eastAsia" w:ascii="仿宋" w:hAnsi="仿宋" w:eastAsia="仿宋" w:cs="仿宋"/>
                <w:spacing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1"/>
                <w:sz w:val="24"/>
                <w:szCs w:val="24"/>
              </w:rPr>
              <w:t>全国人大常委会法工</w:t>
            </w:r>
            <w:r>
              <w:rPr>
                <w:rFonts w:hint="eastAsia" w:ascii="仿宋" w:hAnsi="仿宋" w:eastAsia="仿宋" w:cs="仿宋"/>
                <w:spacing w:val="2"/>
                <w:sz w:val="24"/>
                <w:szCs w:val="24"/>
              </w:rPr>
              <w:t>委</w:t>
            </w:r>
          </w:p>
          <w:p>
            <w:pPr>
              <w:pStyle w:val="13"/>
              <w:spacing w:before="24" w:line="225" w:lineRule="auto"/>
              <w:ind w:right="188" w:rightChars="0"/>
              <w:jc w:val="center"/>
              <w:rPr>
                <w:rFonts w:hint="eastAsia" w:ascii="仿宋" w:hAnsi="仿宋" w:eastAsia="仿宋" w:cs="仿宋"/>
                <w:spacing w:val="1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2"/>
                <w:sz w:val="24"/>
                <w:szCs w:val="24"/>
              </w:rPr>
              <w:t>司法部</w:t>
            </w:r>
          </w:p>
        </w:tc>
        <w:tc>
          <w:tcPr>
            <w:tcW w:w="750" w:type="dxa"/>
            <w:gridSpan w:val="2"/>
            <w:shd w:val="clear" w:color="auto" w:fill="auto"/>
            <w:noWrap w:val="0"/>
            <w:vAlign w:val="center"/>
          </w:tcPr>
          <w:p>
            <w:pPr>
              <w:pStyle w:val="13"/>
              <w:spacing w:before="257" w:line="183" w:lineRule="auto"/>
              <w:jc w:val="center"/>
              <w:rPr>
                <w:rFonts w:hint="default" w:ascii="仿宋" w:hAnsi="仿宋" w:eastAsia="仿宋" w:cs="仿宋"/>
                <w:spacing w:val="-3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3"/>
                <w:sz w:val="24"/>
                <w:szCs w:val="24"/>
                <w:lang w:val="en-US" w:eastAsia="zh-CN"/>
              </w:rPr>
              <w:t>38</w:t>
            </w:r>
          </w:p>
        </w:tc>
        <w:tc>
          <w:tcPr>
            <w:tcW w:w="101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13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default" w:ascii="宋体" w:hAnsi="宋体" w:eastAsia="宋体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71" w:type="dxa"/>
            <w:gridSpan w:val="3"/>
            <w:shd w:val="clear" w:color="auto" w:fill="auto"/>
            <w:noWrap w:val="0"/>
            <w:vAlign w:val="center"/>
          </w:tcPr>
          <w:p>
            <w:pPr>
              <w:pStyle w:val="13"/>
              <w:spacing w:before="196" w:line="219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en-US" w:bidi="ar-SA"/>
                <w14:ligatures w14:val="none"/>
              </w:rPr>
            </w:pP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《中华人民共和国行政复议法》释义</w:t>
            </w:r>
          </w:p>
        </w:tc>
        <w:tc>
          <w:tcPr>
            <w:tcW w:w="3227" w:type="dxa"/>
            <w:gridSpan w:val="2"/>
            <w:shd w:val="clear" w:color="auto" w:fill="auto"/>
            <w:noWrap w:val="0"/>
            <w:vAlign w:val="center"/>
          </w:tcPr>
          <w:p>
            <w:pPr>
              <w:pStyle w:val="13"/>
              <w:spacing w:before="24" w:line="225" w:lineRule="auto"/>
              <w:ind w:right="188" w:rightChars="0"/>
              <w:jc w:val="center"/>
              <w:rPr>
                <w:rFonts w:hint="eastAsia" w:ascii="仿宋" w:hAnsi="仿宋" w:eastAsia="仿宋" w:cs="仿宋"/>
                <w:spacing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1"/>
                <w:sz w:val="24"/>
                <w:szCs w:val="24"/>
              </w:rPr>
              <w:t>全国人大常委会法工</w:t>
            </w:r>
            <w:r>
              <w:rPr>
                <w:rFonts w:hint="eastAsia" w:ascii="仿宋" w:hAnsi="仿宋" w:eastAsia="仿宋" w:cs="仿宋"/>
                <w:spacing w:val="2"/>
                <w:sz w:val="24"/>
                <w:szCs w:val="24"/>
              </w:rPr>
              <w:t>委</w:t>
            </w:r>
          </w:p>
          <w:p>
            <w:pPr>
              <w:pStyle w:val="13"/>
              <w:spacing w:before="24" w:line="225" w:lineRule="auto"/>
              <w:ind w:right="188" w:rightChars="0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hint="eastAsia" w:ascii="仿宋" w:hAnsi="仿宋" w:eastAsia="仿宋" w:cs="仿宋"/>
                <w:spacing w:val="2"/>
                <w:sz w:val="24"/>
                <w:szCs w:val="24"/>
              </w:rPr>
              <w:t>司法部</w:t>
            </w:r>
          </w:p>
        </w:tc>
        <w:tc>
          <w:tcPr>
            <w:tcW w:w="750" w:type="dxa"/>
            <w:gridSpan w:val="2"/>
            <w:shd w:val="clear" w:color="auto" w:fill="auto"/>
            <w:noWrap w:val="0"/>
            <w:vAlign w:val="center"/>
          </w:tcPr>
          <w:p>
            <w:pPr>
              <w:pStyle w:val="13"/>
              <w:spacing w:before="257" w:line="183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hint="eastAsia" w:ascii="仿宋" w:hAnsi="仿宋" w:eastAsia="仿宋" w:cs="仿宋"/>
                <w:spacing w:val="-3"/>
                <w:sz w:val="24"/>
                <w:szCs w:val="24"/>
                <w:lang w:val="en-US" w:eastAsia="zh-CN"/>
              </w:rPr>
              <w:t>68</w:t>
            </w:r>
          </w:p>
        </w:tc>
        <w:tc>
          <w:tcPr>
            <w:tcW w:w="101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13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default" w:ascii="宋体" w:hAnsi="宋体" w:eastAsia="宋体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2442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jc w:val="center"/>
              <w:textAlignment w:val="auto"/>
              <w:rPr>
                <w:rFonts w:hint="eastAsia" w:ascii="宋体" w:hAnsi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合计金额（大写）</w:t>
            </w:r>
          </w:p>
        </w:tc>
        <w:tc>
          <w:tcPr>
            <w:tcW w:w="7924" w:type="dxa"/>
            <w:gridSpan w:val="7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tLeast"/>
              <w:ind w:firstLine="630" w:firstLineChars="300"/>
              <w:textAlignment w:val="auto"/>
              <w:rPr>
                <w:rFonts w:hint="eastAsia" w:ascii="宋体" w:hAnsi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21"/>
                <w:szCs w:val="21"/>
              </w:rPr>
              <w:t xml:space="preserve">拾  </w:t>
            </w: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sz w:val="21"/>
                <w:szCs w:val="21"/>
              </w:rPr>
              <w:t xml:space="preserve">万   仟   佰 </w:t>
            </w: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sz w:val="21"/>
                <w:szCs w:val="21"/>
              </w:rPr>
              <w:t xml:space="preserve">拾  </w:t>
            </w: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21"/>
                <w:szCs w:val="21"/>
              </w:rPr>
              <w:t xml:space="preserve">元  </w:t>
            </w: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21"/>
                <w:szCs w:val="21"/>
              </w:rPr>
              <w:t>角</w:t>
            </w: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 xml:space="preserve"> </w:t>
            </w:r>
            <w:bookmarkStart w:id="4" w:name="_GoBack"/>
            <w:bookmarkEnd w:id="4"/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21"/>
                <w:szCs w:val="21"/>
              </w:rPr>
              <w:t>分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textAlignment w:val="auto"/>
        <w:rPr>
          <w:rStyle w:val="12"/>
          <w:rFonts w:hint="eastAsia" w:ascii="宋体" w:hAnsi="宋体" w:eastAsia="宋体" w:cs="宋体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textAlignment w:val="auto"/>
        <w:rPr>
          <w:rStyle w:val="12"/>
          <w:rFonts w:hint="eastAsia" w:ascii="宋体" w:hAnsi="宋体" w:eastAsia="宋体" w:cs="宋体"/>
          <w:sz w:val="28"/>
          <w:szCs w:val="28"/>
          <w:lang w:val="en-US"/>
        </w:rPr>
      </w:pPr>
      <w:r>
        <w:rPr>
          <w:rStyle w:val="12"/>
          <w:rFonts w:hint="eastAsia" w:ascii="宋体" w:hAnsi="宋体" w:eastAsia="宋体" w:cs="宋体"/>
          <w:sz w:val="28"/>
          <w:szCs w:val="28"/>
        </w:rPr>
        <w:t xml:space="preserve">户  </w:t>
      </w:r>
      <w:r>
        <w:rPr>
          <w:rStyle w:val="12"/>
          <w:rFonts w:hint="eastAsia" w:ascii="宋体" w:hAnsi="宋体" w:eastAsia="宋体" w:cs="宋体"/>
          <w:sz w:val="28"/>
          <w:szCs w:val="28"/>
          <w:lang w:val="en-US"/>
        </w:rPr>
        <w:t xml:space="preserve">  </w:t>
      </w:r>
      <w:r>
        <w:rPr>
          <w:rStyle w:val="12"/>
          <w:rFonts w:hint="eastAsia" w:ascii="宋体" w:hAnsi="宋体" w:eastAsia="宋体" w:cs="宋体"/>
          <w:sz w:val="28"/>
          <w:szCs w:val="28"/>
        </w:rPr>
        <w:t>名：中国民主法制出版社有限公司</w:t>
      </w:r>
      <w:r>
        <w:rPr>
          <w:rStyle w:val="12"/>
          <w:rFonts w:hint="eastAsia" w:ascii="宋体" w:hAnsi="宋体" w:eastAsia="宋体" w:cs="宋体"/>
          <w:sz w:val="28"/>
          <w:szCs w:val="28"/>
          <w:lang w:val="en-US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textAlignment w:val="auto"/>
        <w:rPr>
          <w:rFonts w:hint="eastAsia" w:ascii="宋体" w:hAnsi="宋体" w:cs="宋体"/>
          <w:sz w:val="28"/>
          <w:szCs w:val="28"/>
          <w:lang w:val="en-US" w:eastAsia="zh-CN"/>
        </w:rPr>
      </w:pPr>
      <w:r>
        <w:rPr>
          <w:rStyle w:val="12"/>
          <w:rFonts w:hint="eastAsia" w:ascii="宋体" w:hAnsi="宋体" w:eastAsia="宋体" w:cs="宋体"/>
          <w:sz w:val="28"/>
          <w:szCs w:val="28"/>
        </w:rPr>
        <w:t>开</w:t>
      </w:r>
      <w:r>
        <w:rPr>
          <w:rStyle w:val="12"/>
          <w:rFonts w:hint="eastAsia" w:ascii="宋体" w:hAnsi="宋体" w:eastAsia="宋体" w:cs="宋体"/>
          <w:sz w:val="28"/>
          <w:szCs w:val="28"/>
          <w:lang w:val="en-US"/>
        </w:rPr>
        <w:t xml:space="preserve"> </w:t>
      </w:r>
      <w:r>
        <w:rPr>
          <w:rStyle w:val="12"/>
          <w:rFonts w:hint="eastAsia" w:ascii="宋体" w:hAnsi="宋体" w:eastAsia="宋体" w:cs="宋体"/>
          <w:sz w:val="28"/>
          <w:szCs w:val="28"/>
        </w:rPr>
        <w:t>户</w:t>
      </w:r>
      <w:r>
        <w:rPr>
          <w:rStyle w:val="12"/>
          <w:rFonts w:hint="eastAsia" w:ascii="宋体" w:hAnsi="宋体" w:eastAsia="宋体" w:cs="宋体"/>
          <w:sz w:val="28"/>
          <w:szCs w:val="28"/>
          <w:lang w:val="en-US"/>
        </w:rPr>
        <w:t xml:space="preserve"> </w:t>
      </w:r>
      <w:r>
        <w:rPr>
          <w:rStyle w:val="12"/>
          <w:rFonts w:hint="eastAsia" w:ascii="宋体" w:hAnsi="宋体" w:eastAsia="宋体" w:cs="宋体"/>
          <w:sz w:val="28"/>
          <w:szCs w:val="28"/>
        </w:rPr>
        <w:t>行：</w:t>
      </w:r>
      <w:r>
        <w:rPr>
          <w:rFonts w:hint="eastAsia" w:ascii="宋体" w:hAnsi="宋体" w:eastAsia="宋体" w:cs="宋体"/>
          <w:sz w:val="28"/>
          <w:szCs w:val="28"/>
        </w:rPr>
        <w:t>工</w:t>
      </w:r>
      <w:r>
        <w:rPr>
          <w:rFonts w:hint="eastAsia" w:ascii="宋体" w:hAnsi="宋体" w:cs="宋体"/>
          <w:sz w:val="28"/>
          <w:szCs w:val="28"/>
          <w:lang w:val="en-US" w:eastAsia="zh-CN"/>
        </w:rPr>
        <w:t>行</w:t>
      </w:r>
      <w:r>
        <w:rPr>
          <w:rFonts w:hint="eastAsia" w:ascii="宋体" w:hAnsi="宋体" w:eastAsia="宋体" w:cs="宋体"/>
          <w:sz w:val="28"/>
          <w:szCs w:val="28"/>
        </w:rPr>
        <w:t>北京右内大街支行</w:t>
      </w:r>
      <w:r>
        <w:rPr>
          <w:rFonts w:hint="eastAsia" w:ascii="宋体" w:hAnsi="宋体" w:cs="宋体"/>
          <w:sz w:val="28"/>
          <w:szCs w:val="28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Style w:val="12"/>
          <w:rFonts w:hint="eastAsia" w:ascii="宋体" w:hAnsi="宋体" w:eastAsia="宋体" w:cs="宋体"/>
          <w:sz w:val="28"/>
          <w:szCs w:val="28"/>
        </w:rPr>
        <w:t xml:space="preserve">账  </w:t>
      </w:r>
      <w:r>
        <w:rPr>
          <w:rStyle w:val="12"/>
          <w:rFonts w:hint="eastAsia" w:ascii="宋体" w:hAnsi="宋体" w:eastAsia="宋体" w:cs="宋体"/>
          <w:sz w:val="28"/>
          <w:szCs w:val="28"/>
          <w:lang w:val="en-US"/>
        </w:rPr>
        <w:t xml:space="preserve">  </w:t>
      </w:r>
      <w:r>
        <w:rPr>
          <w:rStyle w:val="12"/>
          <w:rFonts w:hint="eastAsia" w:ascii="宋体" w:hAnsi="宋体" w:eastAsia="宋体" w:cs="宋体"/>
          <w:sz w:val="28"/>
          <w:szCs w:val="28"/>
        </w:rPr>
        <w:t>号：</w:t>
      </w:r>
      <w:r>
        <w:rPr>
          <w:rFonts w:hint="eastAsia" w:ascii="宋体" w:hAnsi="宋体" w:eastAsia="宋体" w:cs="宋体"/>
          <w:sz w:val="28"/>
          <w:szCs w:val="28"/>
        </w:rPr>
        <w:t xml:space="preserve">0200243619200005226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textAlignment w:val="auto"/>
        <w:rPr>
          <w:rFonts w:hint="eastAsia" w:ascii="宋体" w:hAnsi="宋体" w:eastAsia="宋体" w:cs="宋体"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Cs/>
          <w:sz w:val="28"/>
          <w:szCs w:val="28"/>
        </w:rPr>
        <w:t>联 系 人：</w:t>
      </w:r>
      <w:r>
        <w:rPr>
          <w:rFonts w:hint="eastAsia" w:ascii="宋体" w:hAnsi="宋体" w:cs="宋体"/>
          <w:bCs/>
          <w:sz w:val="28"/>
          <w:szCs w:val="28"/>
          <w:lang w:val="en-US" w:eastAsia="zh-CN"/>
        </w:rPr>
        <w:t xml:space="preserve">卢金梅 </w:t>
      </w:r>
      <w:r>
        <w:rPr>
          <w:rFonts w:hint="eastAsia" w:ascii="宋体" w:hAnsi="宋体" w:eastAsia="宋体" w:cs="宋体"/>
          <w:bCs/>
          <w:sz w:val="28"/>
          <w:szCs w:val="28"/>
        </w:rPr>
        <w:t xml:space="preserve">袁丽娜  </w:t>
      </w:r>
      <w:r>
        <w:rPr>
          <w:rFonts w:hint="eastAsia" w:ascii="宋体" w:hAnsi="宋体" w:eastAsia="宋体" w:cs="宋体"/>
          <w:bCs/>
          <w:sz w:val="28"/>
          <w:szCs w:val="28"/>
          <w:lang w:val="en-US" w:eastAsia="zh-CN"/>
        </w:rPr>
        <w:t xml:space="preserve">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textAlignment w:val="auto"/>
        <w:rPr>
          <w:rFonts w:hint="eastAsia"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bCs/>
          <w:sz w:val="28"/>
          <w:szCs w:val="28"/>
        </w:rPr>
        <w:t>联系电话：</w:t>
      </w:r>
      <w:r>
        <w:rPr>
          <w:rFonts w:hint="eastAsia" w:ascii="宋体" w:hAnsi="宋体" w:eastAsia="宋体" w:cs="宋体"/>
          <w:bCs/>
          <w:sz w:val="28"/>
          <w:szCs w:val="28"/>
          <w:lang w:val="en-US" w:eastAsia="zh-CN"/>
        </w:rPr>
        <w:t>1</w:t>
      </w:r>
      <w:r>
        <w:rPr>
          <w:rFonts w:hint="eastAsia" w:ascii="宋体" w:hAnsi="宋体" w:cs="宋体"/>
          <w:bCs/>
          <w:sz w:val="28"/>
          <w:szCs w:val="28"/>
          <w:lang w:val="en-US" w:eastAsia="zh-CN"/>
        </w:rPr>
        <w:t>8611679380（同微信）</w:t>
      </w:r>
      <w:r>
        <w:rPr>
          <w:rFonts w:hint="eastAsia" w:ascii="宋体" w:hAnsi="宋体" w:eastAsia="宋体" w:cs="宋体"/>
          <w:bCs/>
          <w:sz w:val="28"/>
          <w:szCs w:val="28"/>
          <w:lang w:val="en-US" w:eastAsia="zh-CN"/>
        </w:rPr>
        <w:t>，</w:t>
      </w:r>
      <w:r>
        <w:rPr>
          <w:rFonts w:hint="eastAsia" w:ascii="宋体" w:hAnsi="宋体" w:eastAsia="宋体" w:cs="宋体"/>
          <w:bCs/>
          <w:sz w:val="28"/>
          <w:szCs w:val="28"/>
        </w:rPr>
        <w:t>010</w:t>
      </w:r>
      <w:r>
        <w:rPr>
          <w:rFonts w:hint="eastAsia" w:ascii="宋体" w:hAnsi="宋体" w:eastAsia="宋体" w:cs="宋体"/>
          <w:sz w:val="28"/>
          <w:szCs w:val="28"/>
        </w:rPr>
        <w:t>-</w:t>
      </w:r>
      <w:r>
        <w:rPr>
          <w:rFonts w:hint="eastAsia" w:ascii="宋体" w:hAnsi="宋体" w:eastAsia="宋体" w:cs="宋体"/>
          <w:bCs/>
          <w:sz w:val="28"/>
          <w:szCs w:val="28"/>
        </w:rPr>
        <w:t>57258080、84818831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textAlignment w:val="auto"/>
        <w:rPr>
          <w:rFonts w:hint="eastAsia" w:ascii="宋体" w:hAnsi="宋体" w:eastAsia="宋体" w:cs="宋体"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Cs/>
          <w:sz w:val="28"/>
          <w:szCs w:val="28"/>
        </w:rPr>
        <w:t>传真电话：010</w:t>
      </w:r>
      <w:r>
        <w:rPr>
          <w:rFonts w:hint="eastAsia" w:ascii="宋体" w:hAnsi="宋体" w:eastAsia="宋体" w:cs="宋体"/>
          <w:sz w:val="28"/>
          <w:szCs w:val="28"/>
        </w:rPr>
        <w:t>-</w:t>
      </w:r>
      <w:r>
        <w:rPr>
          <w:rFonts w:hint="eastAsia" w:ascii="宋体" w:hAnsi="宋体" w:eastAsia="宋体" w:cs="宋体"/>
          <w:bCs/>
          <w:sz w:val="28"/>
          <w:szCs w:val="28"/>
        </w:rPr>
        <w:t>84815841</w:t>
      </w:r>
      <w:r>
        <w:rPr>
          <w:rFonts w:hint="eastAsia" w:ascii="宋体" w:hAnsi="宋体" w:eastAsia="宋体" w:cs="宋体"/>
          <w:bCs/>
          <w:sz w:val="28"/>
          <w:szCs w:val="28"/>
          <w:lang w:val="en-US" w:eastAsia="zh-CN"/>
        </w:rPr>
        <w:t xml:space="preserve">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textAlignment w:val="auto"/>
        <w:rPr>
          <w:rFonts w:hint="eastAsia" w:ascii="仿宋" w:hAnsi="仿宋" w:eastAsia="仿宋"/>
          <w:bCs/>
          <w:sz w:val="28"/>
          <w:szCs w:val="28"/>
        </w:rPr>
      </w:pPr>
      <w:r>
        <w:rPr>
          <w:rFonts w:hint="eastAsia" w:ascii="宋体" w:hAnsi="宋体" w:eastAsia="宋体" w:cs="宋体"/>
          <w:bCs/>
          <w:sz w:val="28"/>
          <w:szCs w:val="28"/>
        </w:rPr>
        <w:t>电子邮箱：</w:t>
      </w:r>
      <w:r>
        <w:rPr>
          <w:rFonts w:hint="eastAsia" w:ascii="宋体" w:hAnsi="宋体" w:eastAsia="宋体" w:cs="宋体"/>
          <w:sz w:val="28"/>
          <w:szCs w:val="28"/>
        </w:rPr>
        <w:t>mzfz20</w:t>
      </w:r>
      <w:r>
        <w:rPr>
          <w:rFonts w:hint="eastAsia" w:ascii="宋体" w:hAnsi="宋体" w:eastAsia="宋体" w:cs="宋体"/>
          <w:bCs/>
          <w:sz w:val="28"/>
          <w:szCs w:val="28"/>
        </w:rPr>
        <w:t>15@vip.126.com</w:t>
      </w:r>
    </w:p>
    <w:sectPr>
      <w:pgSz w:w="11906" w:h="16838"/>
      <w:pgMar w:top="1327" w:right="1080" w:bottom="1383" w:left="108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大标宋_GBK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NotDisplayPageBoundaries w:val="1"/>
  <w:documentProtection w:enforcement="0"/>
  <w:defaultTabStop w:val="420"/>
  <w:displayHorizontalDrawingGridEvery w:val="1"/>
  <w:displayVerticalDrawingGridEvery w:val="1"/>
  <w:characterSpacingControl w:val="compressPunctuation"/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B1F0263"/>
    <w:rsid w:val="3E443450"/>
    <w:rsid w:val="45A81913"/>
    <w:rsid w:val="50221084"/>
    <w:rsid w:val="60685838"/>
    <w:rsid w:val="760C31B4"/>
    <w:rsid w:val="76D0168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1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默认段落字体1"/>
    <w:link w:val="1"/>
    <w:qFormat/>
    <w:uiPriority w:val="0"/>
    <w:rPr>
      <w:rFonts w:ascii="Times New Roman" w:hAnsi="Times New Roman" w:eastAsia="宋体"/>
    </w:rPr>
  </w:style>
  <w:style w:type="table" w:customStyle="1" w:styleId="5">
    <w:name w:val="普通表格1"/>
    <w:qFormat/>
    <w:uiPriority w:val="0"/>
    <w:rPr>
      <w:rFonts w:ascii="Times New Roman" w:hAnsi="Times New Roman" w:eastAsia="宋体"/>
    </w:rPr>
  </w:style>
  <w:style w:type="paragraph" w:customStyle="1" w:styleId="6">
    <w:name w:val="页眉1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  <w:lang w:val="en-US" w:eastAsia="en-US"/>
    </w:rPr>
  </w:style>
  <w:style w:type="character" w:customStyle="1" w:styleId="7">
    <w:name w:val="页眉 字符"/>
    <w:link w:val="6"/>
    <w:qFormat/>
    <w:uiPriority w:val="0"/>
    <w:rPr>
      <w:rFonts w:ascii="Calibri" w:hAnsi="Calibri" w:eastAsia="宋体"/>
      <w:kern w:val="2"/>
      <w:sz w:val="18"/>
      <w:szCs w:val="18"/>
    </w:rPr>
  </w:style>
  <w:style w:type="character" w:customStyle="1" w:styleId="8">
    <w:name w:val="超链接1"/>
    <w:link w:val="1"/>
    <w:qFormat/>
    <w:uiPriority w:val="0"/>
    <w:rPr>
      <w:rFonts w:ascii="Times New Roman" w:hAnsi="Times New Roman" w:eastAsia="宋体"/>
      <w:color w:val="0000FF"/>
      <w:u w:val="single"/>
    </w:rPr>
  </w:style>
  <w:style w:type="paragraph" w:customStyle="1" w:styleId="9">
    <w:name w:val="页脚1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en-US" w:eastAsia="en-US"/>
    </w:rPr>
  </w:style>
  <w:style w:type="character" w:customStyle="1" w:styleId="10">
    <w:name w:val="页脚 字符"/>
    <w:link w:val="9"/>
    <w:qFormat/>
    <w:uiPriority w:val="0"/>
    <w:rPr>
      <w:rFonts w:ascii="Calibri" w:hAnsi="Calibri" w:eastAsia="宋体"/>
      <w:kern w:val="2"/>
      <w:sz w:val="18"/>
      <w:szCs w:val="18"/>
    </w:rPr>
  </w:style>
  <w:style w:type="character" w:customStyle="1" w:styleId="11">
    <w:name w:val="未处理的提及"/>
    <w:link w:val="1"/>
    <w:qFormat/>
    <w:uiPriority w:val="0"/>
    <w:rPr>
      <w:rFonts w:ascii="Times New Roman" w:hAnsi="Times New Roman" w:eastAsia="宋体"/>
      <w:color w:val="605E5C"/>
      <w:shd w:val="clear" w:color="auto" w:fill="E1DFDD"/>
    </w:rPr>
  </w:style>
  <w:style w:type="character" w:customStyle="1" w:styleId="12">
    <w:name w:val="NormalCharacter"/>
    <w:link w:val="1"/>
    <w:qFormat/>
    <w:uiPriority w:val="0"/>
    <w:rPr>
      <w:rFonts w:ascii="Times New Roman" w:hAnsi="Times New Roman" w:eastAsia="宋体" w:cs="Times New Roman"/>
      <w:kern w:val="2"/>
      <w:sz w:val="36"/>
      <w:szCs w:val="21"/>
      <w:lang w:val="en-US" w:eastAsia="zh-CN" w:bidi="ar-SA"/>
      <w14:ligatures w14:val="none"/>
    </w:rPr>
  </w:style>
  <w:style w:type="paragraph" w:customStyle="1" w:styleId="13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1283</Words>
  <Characters>1384</Characters>
  <Lines>0</Lines>
  <Paragraphs>0</Paragraphs>
  <TotalTime>2</TotalTime>
  <ScaleCrop>false</ScaleCrop>
  <LinksUpToDate>false</LinksUpToDate>
  <CharactersWithSpaces>1474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2024-12-06T02:43:00Z</dcterms:created>
  <dc:creator>颖馨</dc:creator>
  <cp:lastModifiedBy>吕焕其</cp:lastModifiedBy>
  <dcterms:modified xsi:type="dcterms:W3CDTF">2025-03-26T02:29:11Z</dcterms:modified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4AF8E4626DFB4B248CB485C97E5768E5_13</vt:lpwstr>
  </property>
  <property fmtid="{D5CDD505-2E9C-101B-9397-08002B2CF9AE}" pid="4" name="KSOTemplateDocerSaveRecord">
    <vt:lpwstr>eyJoZGlkIjoiZTBkOWYxNTBiMWE3ODJmNDM3Y2NjNTlmMmU5MTQxYTgifQ==</vt:lpwstr>
  </property>
</Properties>
</file>